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4027FF" w14:textId="77777777" w:rsidR="00FF3955" w:rsidRPr="007C42FC" w:rsidRDefault="00B36A43" w:rsidP="00FF3955">
      <w:pPr>
        <w:pStyle w:val="Client"/>
      </w:pPr>
      <w:r>
        <w:rPr>
          <w:noProof/>
          <w:lang w:val="en-AU" w:eastAsia="en-AU"/>
        </w:rPr>
        <mc:AlternateContent>
          <mc:Choice Requires="wps">
            <w:drawing>
              <wp:anchor distT="0" distB="0" distL="114300" distR="114300" simplePos="0" relativeHeight="251655168" behindDoc="1" locked="0" layoutInCell="1" allowOverlap="1" wp14:anchorId="6101110C" wp14:editId="386E6669">
                <wp:simplePos x="0" y="0"/>
                <wp:positionH relativeFrom="column">
                  <wp:posOffset>-900430</wp:posOffset>
                </wp:positionH>
                <wp:positionV relativeFrom="paragraph">
                  <wp:posOffset>-720090</wp:posOffset>
                </wp:positionV>
                <wp:extent cx="7631430" cy="10763885"/>
                <wp:effectExtent l="0" t="0" r="7620" b="0"/>
                <wp:wrapNone/>
                <wp:docPr id="900" name="Rectangle 26" title="&quot; &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1430" cy="10763885"/>
                        </a:xfrm>
                        <a:prstGeom prst="rect">
                          <a:avLst/>
                        </a:prstGeom>
                        <a:solidFill>
                          <a:srgbClr val="0079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CF7748" id="Rectangle 26" o:spid="_x0000_s1026" alt="Title: &quot; &quot;" style="position:absolute;margin-left:-70.9pt;margin-top:-56.7pt;width:600.9pt;height:84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wsgIAALkFAAAOAAAAZHJzL2Uyb0RvYy54bWysVEtv2zAMvg/YfxB02G21naYvr04RpOgw&#10;IGiLtkPPiizHxmRRlZQ42a8fJdlu1hU7DMvBEcWPHx8ieXm1ayXZCmMbUAXNjlJKhOJQNmpd0O9P&#10;N5/PKbGOqZJJUKKge2Hp1ezjh8tO52ICNchSGIIkyuadLmjtnM6TxPJatMwegRYKlRWYljkUzTop&#10;DeuQvZXJJE1Pkw5MqQ1wYS3eXkclnQX+qhLc3VWVFY7IgmJsLnxN+K78N5ldsnxtmK4b3ofB/iGK&#10;ljUKnY5U18wxsjHNH1Rtww1YqNwRhzaBqmq4CDlgNln6JpvHmmkRcsHiWD2Wyf4/Wn67vTekKQt6&#10;kWJ9FGvxkR6wbEytpSCTU6xZ4yRefnrZgPtC4p+vW6dtjuaP+t74zK1eAv9hUZH8pvGC7TG7yrQe&#10;i3mTXXiE/fgIYucIx8uz0+NseoyxcNRlKYrn5yfeX8LywV4b674KaIk/FNRgvKH6bLu0LkIHSAgN&#10;ZFPeNFIGwaxXC2nIlvmWSM8uFlnPbg9hUnmwAm8WGf1NSC1mE/Jyeyk8TqoHUWEZMf5JiCQ0sBj9&#10;MM6FcllU1awU0f1Jir/Bu295bxEyDYSeuUL/I3dPMCAjycAdo+zx3lSE/h+N078FFo1Hi+AZlBuN&#10;20aBeY9AYla954gfihRL46u0gnKPTWYgTp/V/KbBd1sy6+6ZwXHDx8YV4u7wU0noCgr9iZIazM/3&#10;7j0epwC1lHQ4vgW1LxtmBCXym8L5uMimUz/vQZienE1QMIea1aFGbdoFYDtkuKw0D0ePd3I4Vgba&#10;Z9w0c+8VVUxx9F1Q7swgLFxcK7iruJjPAwxnXDO3VI+ae3JfVd+XT7tnZnTfvA4b/xaGUWf5mx6O&#10;WG+pYL5xUDWhwV/r2tcb90NonH6X+QV0KAfU68ad/QIAAP//AwBQSwMEFAAGAAgAAAAhAJnurgPj&#10;AAAADwEAAA8AAABkcnMvZG93bnJldi54bWxMj8FOwzAQRO9I/IO1SFxQa5uWUoU4FULiGEFbhDhu&#10;4m1iiO0odtvw9zincpvRjmbf5JvRduxEQzDeKZBzAYxc7bVxjYKP/etsDSxEdBo770jBLwXYFNdX&#10;OWban92WTrvYsFTiQoYK2hj7jPNQt2QxzH1PLt0OfrAYkx0argc8p3Lb8XshVtyicelDiz29tFT/&#10;7I5Wwddnf6gX33E0d9Ubvjdlud2bUqnbm/H5CVikMV7CMOEndCgSU+WPTgfWKZjJpUzscVJysQQ2&#10;ZcRKpIFVUg9r+Qi8yPn/HcUfAAAA//8DAFBLAQItABQABgAIAAAAIQC2gziS/gAAAOEBAAATAAAA&#10;AAAAAAAAAAAAAAAAAABbQ29udGVudF9UeXBlc10ueG1sUEsBAi0AFAAGAAgAAAAhADj9If/WAAAA&#10;lAEAAAsAAAAAAAAAAAAAAAAALwEAAF9yZWxzLy5yZWxzUEsBAi0AFAAGAAgAAAAhAPrKj7CyAgAA&#10;uQUAAA4AAAAAAAAAAAAAAAAALgIAAGRycy9lMm9Eb2MueG1sUEsBAi0AFAAGAAgAAAAhAJnurgPj&#10;AAAADwEAAA8AAAAAAAAAAAAAAAAADAUAAGRycy9kb3ducmV2LnhtbFBLBQYAAAAABAAEAPMAAAAc&#10;BgAAAAA=&#10;" fillcolor="#0079c1" stroked="f" strokeweight="2pt">
                <v:path arrowok="t"/>
              </v:rect>
            </w:pict>
          </mc:Fallback>
        </mc:AlternateContent>
      </w:r>
      <w:r w:rsidR="00FF3955" w:rsidRPr="00567460">
        <w:rPr>
          <w:noProof/>
          <w:lang w:val="en-AU" w:eastAsia="en-AU"/>
        </w:rPr>
        <w:t>Department of Social Services</w:t>
      </w:r>
    </w:p>
    <w:p w14:paraId="244B57A7" w14:textId="5A95295E" w:rsidR="00FF3955" w:rsidRPr="00F37E99" w:rsidRDefault="00FF3955" w:rsidP="00FF3955">
      <w:pPr>
        <w:pStyle w:val="Title"/>
        <w:rPr>
          <w:sz w:val="90"/>
        </w:rPr>
      </w:pPr>
      <w:r w:rsidRPr="00F37E99">
        <w:rPr>
          <w:sz w:val="90"/>
        </w:rPr>
        <w:t xml:space="preserve">Evaluation of the </w:t>
      </w:r>
      <w:r w:rsidR="008C5E6A" w:rsidRPr="00F37E99">
        <w:rPr>
          <w:sz w:val="90"/>
        </w:rPr>
        <w:t>I</w:t>
      </w:r>
      <w:r w:rsidR="00F37E99" w:rsidRPr="00F37E99">
        <w:rPr>
          <w:sz w:val="90"/>
        </w:rPr>
        <w:t xml:space="preserve">ntercountry </w:t>
      </w:r>
      <w:r w:rsidR="008C5E6A" w:rsidRPr="00F37E99">
        <w:rPr>
          <w:sz w:val="90"/>
        </w:rPr>
        <w:t>A</w:t>
      </w:r>
      <w:r w:rsidR="00F37E99" w:rsidRPr="00F37E99">
        <w:rPr>
          <w:sz w:val="90"/>
        </w:rPr>
        <w:t xml:space="preserve">doption </w:t>
      </w:r>
      <w:r w:rsidR="0036036C" w:rsidRPr="00F37E99">
        <w:rPr>
          <w:sz w:val="90"/>
        </w:rPr>
        <w:t>A</w:t>
      </w:r>
      <w:r w:rsidR="00F37E99" w:rsidRPr="00F37E99">
        <w:rPr>
          <w:sz w:val="90"/>
        </w:rPr>
        <w:t>ustralia</w:t>
      </w:r>
      <w:r w:rsidRPr="00F37E99">
        <w:rPr>
          <w:sz w:val="90"/>
        </w:rPr>
        <w:t xml:space="preserve"> Support Service</w:t>
      </w:r>
    </w:p>
    <w:p w14:paraId="796E585D" w14:textId="71B4599B" w:rsidR="00FF3955" w:rsidRPr="007C42FC" w:rsidRDefault="00F37E99" w:rsidP="00FF3955">
      <w:pPr>
        <w:pStyle w:val="Date"/>
      </w:pPr>
      <w:r w:rsidRPr="00CD7DCA">
        <w:rPr>
          <w:noProof/>
          <w:lang w:val="en-AU" w:eastAsia="en-AU"/>
        </w:rPr>
        <w:drawing>
          <wp:anchor distT="0" distB="0" distL="114300" distR="114300" simplePos="0" relativeHeight="251651072" behindDoc="0" locked="0" layoutInCell="1" allowOverlap="1" wp14:anchorId="5594BBED" wp14:editId="15D0F002">
            <wp:simplePos x="0" y="0"/>
            <wp:positionH relativeFrom="column">
              <wp:posOffset>-690880</wp:posOffset>
            </wp:positionH>
            <wp:positionV relativeFrom="paragraph">
              <wp:posOffset>703195</wp:posOffset>
            </wp:positionV>
            <wp:extent cx="7334036" cy="4362450"/>
            <wp:effectExtent l="0" t="0" r="635" b="0"/>
            <wp:wrapSquare wrapText="bothSides"/>
            <wp:docPr id="2" name="Picture 2" descr="&quot; &quot;" title="&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her\MBE\Images\27.08.14\iStock_000035991174Medium.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0698"/>
                    <a:stretch/>
                  </pic:blipFill>
                  <pic:spPr bwMode="auto">
                    <a:xfrm>
                      <a:off x="0" y="0"/>
                      <a:ext cx="7334036" cy="436245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955" w:rsidRPr="00567460">
        <w:t xml:space="preserve">Final Report </w:t>
      </w:r>
      <w:r w:rsidR="0059322D">
        <w:t>August</w:t>
      </w:r>
      <w:r w:rsidR="00BF7DB3" w:rsidRPr="00567460">
        <w:t xml:space="preserve"> </w:t>
      </w:r>
      <w:r w:rsidR="0059322D">
        <w:t>2017</w:t>
      </w:r>
    </w:p>
    <w:p w14:paraId="5F2D25E9" w14:textId="0BA4286A" w:rsidR="004278E9" w:rsidRPr="00331FE4" w:rsidRDefault="00B36A43" w:rsidP="004278E9">
      <w:r>
        <w:rPr>
          <w:noProof/>
          <w:lang w:val="en-AU" w:eastAsia="en-AU"/>
        </w:rPr>
        <mc:AlternateContent>
          <mc:Choice Requires="wpg">
            <w:drawing>
              <wp:anchor distT="0" distB="0" distL="114300" distR="114300" simplePos="0" relativeHeight="251657216" behindDoc="1" locked="0" layoutInCell="1" allowOverlap="1" wp14:anchorId="4392A1F8" wp14:editId="13763A06">
                <wp:simplePos x="0" y="0"/>
                <wp:positionH relativeFrom="column">
                  <wp:posOffset>-900430</wp:posOffset>
                </wp:positionH>
                <wp:positionV relativeFrom="page">
                  <wp:posOffset>9145270</wp:posOffset>
                </wp:positionV>
                <wp:extent cx="7714615" cy="1216660"/>
                <wp:effectExtent l="0" t="0" r="635" b="2540"/>
                <wp:wrapNone/>
                <wp:docPr id="901" name="Group 901" title="&quot; &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14615" cy="1216660"/>
                          <a:chOff x="0" y="0"/>
                          <a:chExt cx="7714428" cy="1217523"/>
                        </a:xfrm>
                      </wpg:grpSpPr>
                      <wps:wsp>
                        <wps:cNvPr id="902" name="Rectangle 26"/>
                        <wps:cNvSpPr>
                          <a:spLocks/>
                        </wps:cNvSpPr>
                        <wps:spPr>
                          <a:xfrm>
                            <a:off x="0" y="425669"/>
                            <a:ext cx="7631463" cy="791854"/>
                          </a:xfrm>
                          <a:prstGeom prst="rect">
                            <a:avLst/>
                          </a:prstGeom>
                          <a:solidFill>
                            <a:srgbClr val="71C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3" name="Rounded Rectangle 29"/>
                        <wps:cNvSpPr>
                          <a:spLocks/>
                        </wps:cNvSpPr>
                        <wps:spPr>
                          <a:xfrm>
                            <a:off x="1907628" y="0"/>
                            <a:ext cx="5806800" cy="828000"/>
                          </a:xfrm>
                          <a:prstGeom prst="round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1FBDCA2" w14:textId="77777777" w:rsidR="000B67DE" w:rsidRPr="00B00D05" w:rsidRDefault="000B67DE" w:rsidP="00FF3955">
                              <w:r w:rsidRPr="00B00D05">
                                <w:rPr>
                                  <w:noProof/>
                                  <w:lang w:val="en-AU" w:eastAsia="en-AU"/>
                                </w:rPr>
                                <w:drawing>
                                  <wp:inline distT="0" distB="0" distL="0" distR="0" wp14:anchorId="04370511" wp14:editId="087B9F0D">
                                    <wp:extent cx="4724400" cy="590550"/>
                                    <wp:effectExtent l="0" t="0" r="0" b="0"/>
                                    <wp:docPr id="673" name="Picture 673" title="Australian Healthcare Associat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4400" cy="59055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92A1F8" id="Group 901" o:spid="_x0000_s1026" alt="Title: &quot; &quot;" style="position:absolute;margin-left:-70.9pt;margin-top:720.1pt;width:607.45pt;height:95.8pt;z-index:-251659264;mso-position-vertical-relative:page;mso-width-relative:margin;mso-height-relative:margin" coordsize="77144,1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9upQMAADsLAAAOAAAAZHJzL2Uyb0RvYy54bWzsVktv4zYQvhfofyB46K3RI7Zsq1EWQbYO&#10;CgS7QbLFnmmKeqAUqSXpyNlf3xlSUhwnKIpdoAWK5qCQnCe/mfnMi3eHTpJHYWyrVUGTs5gSobgu&#10;W1UX9PdP25/XlFjHVMmkVqKgT8LSd5c//nAx9LlIdaNlKQwBJ8rmQ1/Qxrk+jyLLG9Exe6Z7oUBY&#10;adMxB1tTR6VhA3jvZJTGcRYN2pS90VxYC6fvg5Beev9VJbj7WFVWOCILCrk5/zX+u8NvdHnB8tqw&#10;vmn5mAb7hiw61ioIOrt6zxwje9O+ctW13GirK3fGdRfpqmq58HeA2yTxyW1ujN73/i51PtT9DBNA&#10;e4LTN7vlHx7vDGnLgm7ihBLFOiiSj0v8gWudhJOfvuy1+4WEfwja0Nc52N6Y/qG/M+HmsLzV/A8L&#10;4uhUjvv6WflQmQ6NAABy8NV4mqshDo5wOFytkkWWLCnhIEvSJMuysV68gaK+suPNr0eWixQ6b7Rc&#10;LdNzTDpieQjs05vTGXroPfsMr/0+eB8a1gtfNYsQzfCmE7z30JVM1VKQNAtYesUJSHuM4pEE07Qj&#10;2G/it0iXWbYJLT2DmJ0DiucBitUmWS8XL5BgeW+suxG6I7goqIHkfCezx1vrAmiTClbMatmW21ZK&#10;vzH17loa8shgvFbJ9Wa7Hb2/UJMKlZVGs+ART6AI04X8yj1JgXpS3YsKWhJaIPWZeDIQcxzGuVAu&#10;CaKGlSKEX8bwN0VH+kALX3PvED1XEH/2PTqYNIOTyXfIctRHU+G5ZDaO/yqxYDxb+Mhaudm4a5U2&#10;bzmQcKsxctCfQArQIEo7XT5BRxkdmMz2fNtC3W6ZdXfMAHUByQEdu4/wqaQeCqrHFSWNNl/fOkd9&#10;aHmQUjIAFRbUftkzIyiRvykYhk2yWCB3+s1iuUphY44lu2OJ2nfXGtoB2ASy80vUd3JaVkZ3n4G1&#10;rzAqiJjiELug3Jlpc+0CRQPvc3F15dWAL3vmbtVDz9E5oop9+enwmZl+bF4Hbf9BTwPI8pMeDrpo&#10;qfTV3umq9Q3+jOuIN5ABMtw/wgowmoF07/VelaIkR+zgZxnzABr5DnZINvEqQzp8zbHLdZytYWw8&#10;U65TWE4jNDHMNPsTPWCWmKIvwAm+SCOI7ovhP5neXT31+AuttylimruRiRCKwIB+9T9h/A3CcIfd&#10;ATgFAfs3uANaK/AGcoCnCVgEvoDFf4Ur/HsCXmj+52Z8TeIT8HjvueX5zXv5JwAAAP//AwBQSwME&#10;FAAGAAgAAAAhAJT+3OTjAAAADwEAAA8AAABkcnMvZG93bnJldi54bWxMj8FqwzAMhu+DvYPRYLfW&#10;dpN1I4tTStl2KoO1g7GbG6tJaGyH2E3St596Wm8S38+vT/lqsi0bsA+NdwrkXABDV3rTuErB9/59&#10;9gIsRO2Mbr1DBRcMsCru73KdGT+6Lxx2sWJU4kKmFdQxdhnnoazR6jD3HTpiR99bHWntK256PVK5&#10;bflCiCW3unF0odYdbmosT7uzVfAx6nGdyLdhezpuLr/7p8+frUSlHh+m9SuwiFP8D8NVn9ShIKeD&#10;PzsTWKtgJlNJ7pFImooFsGtGPCcS2IGmZUKUFzm//aP4AwAA//8DAFBLAQItABQABgAIAAAAIQC2&#10;gziS/gAAAOEBAAATAAAAAAAAAAAAAAAAAAAAAABbQ29udGVudF9UeXBlc10ueG1sUEsBAi0AFAAG&#10;AAgAAAAhADj9If/WAAAAlAEAAAsAAAAAAAAAAAAAAAAALwEAAF9yZWxzLy5yZWxzUEsBAi0AFAAG&#10;AAgAAAAhANjn726lAwAAOwsAAA4AAAAAAAAAAAAAAAAALgIAAGRycy9lMm9Eb2MueG1sUEsBAi0A&#10;FAAGAAgAAAAhAJT+3OTjAAAADwEAAA8AAAAAAAAAAAAAAAAA/wUAAGRycy9kb3ducmV2LnhtbFBL&#10;BQYAAAAABAAEAPMAAAAPBwAAAAA=&#10;">
                <v:rect id="Rectangle 26" o:spid="_x0000_s1027" style="position:absolute;top:4256;width:76314;height: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8qxgAAANwAAAAPAAAAZHJzL2Rvd25yZXYueG1sRI9BawIx&#10;FITvhf6H8ApepGa7h6VujWILSr0IWqHt7bF53V3cvKRJuq7/3ghCj8PMfMPMFoPpRE8+tJYVPE0y&#10;EMSV1S3XCg4fq8dnECEia+wsk4IzBVjM7+9mWGp74h31+1iLBOFQooImRldKGaqGDIaJdcTJ+7He&#10;YEzS11J7PCW46WSeZYU02HJaaNDRW0PVcf9nFBS2d9t1/nsef375lXuVm2I8fCs1ehiWLyAiDfE/&#10;fGu/awXTLIfrmXQE5PwCAAD//wMAUEsBAi0AFAAGAAgAAAAhANvh9svuAAAAhQEAABMAAAAAAAAA&#10;AAAAAAAAAAAAAFtDb250ZW50X1R5cGVzXS54bWxQSwECLQAUAAYACAAAACEAWvQsW78AAAAVAQAA&#10;CwAAAAAAAAAAAAAAAAAfAQAAX3JlbHMvLnJlbHNQSwECLQAUAAYACAAAACEAjYKfKsYAAADcAAAA&#10;DwAAAAAAAAAAAAAAAAAHAgAAZHJzL2Rvd25yZXYueG1sUEsFBgAAAAADAAMAtwAAAPoCAAAAAA==&#10;" fillcolor="#71c9ff" stroked="f" strokeweight="2pt">
                  <v:path arrowok="t"/>
                </v:rect>
                <v:roundrect id="Rounded Rectangle 29" o:spid="_x0000_s1028" style="position:absolute;left:19076;width:58068;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AgZvgAAANwAAAAPAAAAZHJzL2Rvd25yZXYueG1sRI/NCsIw&#10;EITvgu8QVvCmiQpiq1FEELyJP+B1bda22GxKE7W+vREEj8PMfMMsVq2txJMaXzrWMBoqEMSZMyXn&#10;Gs6n7WAGwgdkg5Vj0vAmD6tlt7PA1LgXH+h5DLmIEPYpaihCqFMpfVaQRT90NXH0bq6xGKJscmka&#10;fEW4reRYqam0WHJcKLCmTUHZ/fiwGhRt1K1eB3W4X0c+ecj9ZWz3Wvd77XoOIlAb/uFfe2c0JGoC&#10;3zPxCMjlBwAA//8DAFBLAQItABQABgAIAAAAIQDb4fbL7gAAAIUBAAATAAAAAAAAAAAAAAAAAAAA&#10;AABbQ29udGVudF9UeXBlc10ueG1sUEsBAi0AFAAGAAgAAAAhAFr0LFu/AAAAFQEAAAsAAAAAAAAA&#10;AAAAAAAAHwEAAF9yZWxzLy5yZWxzUEsBAi0AFAAGAAgAAAAhAAcoCBm+AAAA3AAAAA8AAAAAAAAA&#10;AAAAAAAABwIAAGRycy9kb3ducmV2LnhtbFBLBQYAAAAAAwADALcAAADyAgAAAAA=&#10;" fillcolor="white [3212]" stroked="f" strokeweight="2pt">
                  <v:path arrowok="t"/>
                  <v:textbox inset="0,0,0,0">
                    <w:txbxContent>
                      <w:p w14:paraId="61FBDCA2" w14:textId="77777777" w:rsidR="000B67DE" w:rsidRPr="00B00D05" w:rsidRDefault="000B67DE" w:rsidP="00FF3955">
                        <w:r w:rsidRPr="00B00D05">
                          <w:rPr>
                            <w:noProof/>
                            <w:lang w:val="en-AU" w:eastAsia="en-AU"/>
                          </w:rPr>
                          <w:drawing>
                            <wp:inline distT="0" distB="0" distL="0" distR="0" wp14:anchorId="04370511" wp14:editId="087B9F0D">
                              <wp:extent cx="4724400" cy="590550"/>
                              <wp:effectExtent l="0" t="0" r="0" b="0"/>
                              <wp:docPr id="673" name="Picture 673" title="Australian Healthcare Associat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4400" cy="590550"/>
                                      </a:xfrm>
                                      <a:prstGeom prst="rect">
                                        <a:avLst/>
                                      </a:prstGeom>
                                      <a:noFill/>
                                      <a:ln>
                                        <a:noFill/>
                                      </a:ln>
                                    </pic:spPr>
                                  </pic:pic>
                                </a:graphicData>
                              </a:graphic>
                            </wp:inline>
                          </w:drawing>
                        </w:r>
                      </w:p>
                    </w:txbxContent>
                  </v:textbox>
                </v:roundrect>
                <w10:wrap anchory="page"/>
              </v:group>
            </w:pict>
          </mc:Fallback>
        </mc:AlternateContent>
      </w:r>
      <w:r>
        <w:rPr>
          <w:noProof/>
          <w:lang w:val="en-AU" w:eastAsia="en-AU"/>
        </w:rPr>
        <mc:AlternateContent>
          <mc:Choice Requires="wpg">
            <w:drawing>
              <wp:anchor distT="0" distB="0" distL="114300" distR="114300" simplePos="0" relativeHeight="251653120" behindDoc="1" locked="0" layoutInCell="1" allowOverlap="1" wp14:anchorId="3099CB83" wp14:editId="293E3B25">
                <wp:simplePos x="0" y="0"/>
                <wp:positionH relativeFrom="column">
                  <wp:posOffset>-900430</wp:posOffset>
                </wp:positionH>
                <wp:positionV relativeFrom="page">
                  <wp:posOffset>9145270</wp:posOffset>
                </wp:positionV>
                <wp:extent cx="7714615" cy="1216660"/>
                <wp:effectExtent l="0" t="0" r="635" b="2540"/>
                <wp:wrapNone/>
                <wp:docPr id="697" name="Group 11" title="&quot; &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14615" cy="1216660"/>
                          <a:chOff x="0" y="0"/>
                          <a:chExt cx="7714428" cy="1217523"/>
                        </a:xfrm>
                      </wpg:grpSpPr>
                      <wps:wsp>
                        <wps:cNvPr id="701" name="Rectangle 26"/>
                        <wps:cNvSpPr>
                          <a:spLocks/>
                        </wps:cNvSpPr>
                        <wps:spPr>
                          <a:xfrm>
                            <a:off x="0" y="425669"/>
                            <a:ext cx="7631463" cy="791854"/>
                          </a:xfrm>
                          <a:prstGeom prst="rect">
                            <a:avLst/>
                          </a:prstGeom>
                          <a:solidFill>
                            <a:srgbClr val="71C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 name="Rounded Rectangle 29"/>
                        <wps:cNvSpPr>
                          <a:spLocks/>
                        </wps:cNvSpPr>
                        <wps:spPr>
                          <a:xfrm>
                            <a:off x="1907628" y="0"/>
                            <a:ext cx="5806800" cy="828000"/>
                          </a:xfrm>
                          <a:prstGeom prst="round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EDA709B" w14:textId="77777777" w:rsidR="000B67DE" w:rsidRPr="00B00D05" w:rsidRDefault="000B67DE" w:rsidP="00C241AB">
                              <w:r w:rsidRPr="00B00D05">
                                <w:rPr>
                                  <w:noProof/>
                                  <w:lang w:val="en-AU" w:eastAsia="en-AU"/>
                                </w:rPr>
                                <w:drawing>
                                  <wp:inline distT="0" distB="0" distL="0" distR="0" wp14:anchorId="5B582F10" wp14:editId="2FBCD1D4">
                                    <wp:extent cx="4724400" cy="590550"/>
                                    <wp:effectExtent l="0" t="0" r="0" b="0"/>
                                    <wp:docPr id="674" name="Picture 674" title="Australian Healthcare Associat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4400" cy="59055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99CB83" id="Group 11" o:spid="_x0000_s1029" alt="Title: &quot; &quot;" style="position:absolute;margin-left:-70.9pt;margin-top:720.1pt;width:607.45pt;height:95.8pt;z-index:-251663360;mso-position-vertical-relative:page;mso-width-relative:margin;mso-height-relative:margin" coordsize="77144,1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a5qwMAAEELAAAOAAAAZHJzL2Uyb0RvYy54bWzsVltv2zYUfh+w/0DwYW+LLrElW4tSBOkc&#10;DAjaoOnQZ5qiZGEUqZJ05PTX7xxSUhwnKIoW2IBheVBIniu/c85nXrw5dJI8CGNbrUqanMWUCMV1&#10;1aqmpH9+3Py6osQ6piomtRIlfRSWvrn8+aeLoS9EqndaVsIQcKJsMfQl3TnXF1Fk+U50zJ7pXigQ&#10;1tp0zMHWNFFl2ADeOxmlcZxFgzZVbzQX1sLp2yCkl95/XQvu3te1FY7IkkJuzn+N/27xG11esKIx&#10;rN+1fEyDfUcWHWsVBJ1dvWWOkb1pX7jqWm601bU747qLdF23XPg7wG2S+OQ2N0bve3+XphiafoYJ&#10;oD3B6bvd8ncPd4a0VUmzdU6JYh0UycclSQJ4tU7CwS+f99r9RsI/xGzomwJMb0x/39+ZcHFY3mr+&#10;lwVxdCrHffOkfKhNh0Zwf3LwxXiciyEOjnA4zPNkkSVLSjjIkjTJsmwsF99BTV/Y8d3vR5aLFBpv&#10;tMyX6TkmHbEiBPbpzekMPbSefULX/hi69zvWC180ixCN6OYxoBnQ/QBNyVQjBUmzgKVXnIC0xyge&#10;STBNO4L9Kn6LdJll69DRM4jZOaB4HqDI18lquXiGBCt6Y92N0B3BRUkNJOcbmT3cWhdAm1SwYlbL&#10;ttq0UvqNabbX0pAHBtOVJ9frzWb0/kxNKlRWGs2CRzyBIkwX8iv3KAXqSfVB1NCR0AKpz8RzgZjj&#10;MM6FckkQ7VglQvhlDH9TdGQPtPA19w7Rcw3xZ9+jg0kzOJl8hyxHfTQVnkpm4/hriQXj2cJH1srN&#10;xl2rtHnNgYRbjZGD/gRSgAZR2urqETrK6EBktuebFup2y6y7YwaYCzgO2Ni9h08t9VBSPa4o2Wnz&#10;5bVz1IeWByklAzBhSe3nPTOCEvmHgmFYJ4sFUqffLJZ5ChtzLNkeS9S+u9bQDtDukJ1for6T07I2&#10;uvsEpH2FUUHEFIfYJeXOTJtrFxgaaJ+LqyuvBnTZM3er7nuOzhFV7MuPh0/M9GPzOmj7d3oaQFac&#10;9HDQRUulr/ZO161v8CdcR7yBDJDh/gFWWKfpzAp6rypRkSN28LOMeQCN/AA7JOs4z5AOX3LschVn&#10;Kxgbz5SrFJbTCE0MM83+RA+YJaboC3CCL9IIovts+E+md9tMPf5M63WKmOZuZCKEIjCgX/1PGN9A&#10;GO6wPfifdw874vZvUAh0WKAPpALPFrAItAGL/wpl+GcFvNP8r874psSH4PHeU8zTy/fybwAAAP//&#10;AwBQSwMEFAAGAAgAAAAhAJT+3OTjAAAADwEAAA8AAABkcnMvZG93bnJldi54bWxMj8FqwzAMhu+D&#10;vYPRYLfWdpN1I4tTStl2KoO1g7GbG6tJaGyH2E3St596Wm8S38+vT/lqsi0bsA+NdwrkXABDV3rT&#10;uErB9/599gIsRO2Mbr1DBRcMsCru73KdGT+6Lxx2sWJU4kKmFdQxdhnnoazR6jD3HTpiR99bHWnt&#10;K256PVK5bflCiCW3unF0odYdbmosT7uzVfAx6nGdyLdhezpuLr/7p8+frUSlHh+m9SuwiFP8D8NV&#10;n9ShIKeDPzsTWKtgJlNJ7pFImooFsGtGPCcS2IGmZUKUFzm//aP4AwAA//8DAFBLAQItABQABgAI&#10;AAAAIQC2gziS/gAAAOEBAAATAAAAAAAAAAAAAAAAAAAAAABbQ29udGVudF9UeXBlc10ueG1sUEsB&#10;Ai0AFAAGAAgAAAAhADj9If/WAAAAlAEAAAsAAAAAAAAAAAAAAAAALwEAAF9yZWxzLy5yZWxzUEsB&#10;Ai0AFAAGAAgAAAAhAFNkprmrAwAAQQsAAA4AAAAAAAAAAAAAAAAALgIAAGRycy9lMm9Eb2MueG1s&#10;UEsBAi0AFAAGAAgAAAAhAJT+3OTjAAAADwEAAA8AAAAAAAAAAAAAAAAABQYAAGRycy9kb3ducmV2&#10;LnhtbFBLBQYAAAAABAAEAPMAAAAVBwAAAAA=&#10;">
                <v:rect id="Rectangle 26" o:spid="_x0000_s1030" style="position:absolute;top:4256;width:76314;height: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ZqWxgAAANwAAAAPAAAAZHJzL2Rvd25yZXYueG1sRI9BawIx&#10;FITvBf9DeIVeRLN62MpqlFqw2ItQLVRvj83r7tLNS5rEdf33jVDwOMzMN8xi1ZtWdORDY1nBZJyB&#10;IC6tbrhS8HnYjGYgQkTW2FomBVcKsFoOHhZYaHvhD+r2sRIJwqFABXWMrpAylDUZDGPriJP3bb3B&#10;mKSvpPZ4SXDTymmW5dJgw2mhRkevNZU/+7NRkNvO7d6mv9fh19Fv3Fq+58P+pNTTY/8yBxGpj/fw&#10;f3urFTxnE7idSUdALv8AAAD//wMAUEsBAi0AFAAGAAgAAAAhANvh9svuAAAAhQEAABMAAAAAAAAA&#10;AAAAAAAAAAAAAFtDb250ZW50X1R5cGVzXS54bWxQSwECLQAUAAYACAAAACEAWvQsW78AAAAVAQAA&#10;CwAAAAAAAAAAAAAAAAAfAQAAX3JlbHMvLnJlbHNQSwECLQAUAAYACAAAACEA/QWalsYAAADcAAAA&#10;DwAAAAAAAAAAAAAAAAAHAgAAZHJzL2Rvd25yZXYueG1sUEsFBgAAAAADAAMAtwAAAPoCAAAAAA==&#10;" fillcolor="#71c9ff" stroked="f" strokeweight="2pt">
                  <v:path arrowok="t"/>
                </v:rect>
                <v:roundrect id="Rounded Rectangle 29" o:spid="_x0000_s1031" style="position:absolute;left:19076;width:58068;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fHivgAAANwAAAAPAAAAZHJzL2Rvd25yZXYueG1sRI/NCsIw&#10;EITvgu8QVvBmE3sQrUYRQfAm/oDXtVnbYrMpTdT69kYQPA4z8w2zWHW2Fk9qfeVYwzhRIIhzZyou&#10;NJxP29EUhA/IBmvHpOFNHlbLfm+BmXEvPtDzGAoRIewz1FCG0GRS+rwkiz5xDXH0bq61GKJsC2la&#10;fEW4rWWq1ERarDgulNjQpqT8fnxYDYo26tasgzrcr2M/e8j9JbV7rYeDbj0HEagL//CvvTMaZmkK&#10;3zPxCMjlBwAA//8DAFBLAQItABQABgAIAAAAIQDb4fbL7gAAAIUBAAATAAAAAAAAAAAAAAAAAAAA&#10;AABbQ29udGVudF9UeXBlc10ueG1sUEsBAi0AFAAGAAgAAAAhAFr0LFu/AAAAFQEAAAsAAAAAAAAA&#10;AAAAAAAAHwEAAF9yZWxzLy5yZWxzUEsBAi0AFAAGAAgAAAAhACPR8eK+AAAA3AAAAA8AAAAAAAAA&#10;AAAAAAAABwIAAGRycy9kb3ducmV2LnhtbFBLBQYAAAAAAwADALcAAADyAgAAAAA=&#10;" fillcolor="white [3212]" stroked="f" strokeweight="2pt">
                  <v:path arrowok="t"/>
                  <v:textbox inset="0,0,0,0">
                    <w:txbxContent>
                      <w:p w14:paraId="7EDA709B" w14:textId="77777777" w:rsidR="000B67DE" w:rsidRPr="00B00D05" w:rsidRDefault="000B67DE" w:rsidP="00C241AB">
                        <w:r w:rsidRPr="00B00D05">
                          <w:rPr>
                            <w:noProof/>
                            <w:lang w:val="en-AU" w:eastAsia="en-AU"/>
                          </w:rPr>
                          <w:drawing>
                            <wp:inline distT="0" distB="0" distL="0" distR="0" wp14:anchorId="5B582F10" wp14:editId="2FBCD1D4">
                              <wp:extent cx="4724400" cy="590550"/>
                              <wp:effectExtent l="0" t="0" r="0" b="0"/>
                              <wp:docPr id="674" name="Picture 674" title="Australian Healthcare Associat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4400" cy="590550"/>
                                      </a:xfrm>
                                      <a:prstGeom prst="rect">
                                        <a:avLst/>
                                      </a:prstGeom>
                                      <a:noFill/>
                                      <a:ln>
                                        <a:noFill/>
                                      </a:ln>
                                    </pic:spPr>
                                  </pic:pic>
                                </a:graphicData>
                              </a:graphic>
                            </wp:inline>
                          </w:drawing>
                        </w:r>
                      </w:p>
                    </w:txbxContent>
                  </v:textbox>
                </v:roundrect>
                <w10:wrap anchory="page"/>
              </v:group>
            </w:pict>
          </mc:Fallback>
        </mc:AlternateContent>
      </w:r>
    </w:p>
    <w:p w14:paraId="62144BA9" w14:textId="77777777" w:rsidR="00C241AB" w:rsidRPr="00331FE4" w:rsidRDefault="00C241AB" w:rsidP="004278E9">
      <w:pPr>
        <w:sectPr w:rsidR="00C241AB" w:rsidRPr="00331FE4" w:rsidSect="00446ACC">
          <w:footerReference w:type="default" r:id="rId10"/>
          <w:footerReference w:type="first" r:id="rId11"/>
          <w:endnotePr>
            <w:numFmt w:val="decimal"/>
          </w:endnotePr>
          <w:pgSz w:w="11907" w:h="16840" w:code="9"/>
          <w:pgMar w:top="1134" w:right="1134" w:bottom="1134" w:left="1418" w:header="567" w:footer="567" w:gutter="0"/>
          <w:pgNumType w:fmt="lowerRoman"/>
          <w:cols w:space="560"/>
          <w:docGrid w:linePitch="326"/>
        </w:sectPr>
      </w:pPr>
    </w:p>
    <w:p w14:paraId="4553AB60" w14:textId="77777777" w:rsidR="002873D3" w:rsidRPr="00E71DBD" w:rsidRDefault="002873D3" w:rsidP="00E71DBD"/>
    <w:p w14:paraId="4E623412" w14:textId="77777777" w:rsidR="00E71DBD" w:rsidRPr="00E71DBD" w:rsidRDefault="00E71DBD" w:rsidP="00E71DBD">
      <w:pPr>
        <w:sectPr w:rsidR="00E71DBD" w:rsidRPr="00E71DBD" w:rsidSect="0027225E">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418" w:header="567" w:footer="567" w:gutter="0"/>
          <w:cols w:space="680"/>
          <w:docGrid w:linePitch="360"/>
        </w:sectPr>
      </w:pPr>
    </w:p>
    <w:p w14:paraId="1629DA40" w14:textId="0B9F790E" w:rsidR="00E71DBD" w:rsidRPr="00E71DBD" w:rsidRDefault="00E71DBD" w:rsidP="00283E1C">
      <w:pPr>
        <w:pStyle w:val="TOCHeading"/>
      </w:pPr>
      <w:r>
        <w:lastRenderedPageBreak/>
        <w:t>Acknowledgements</w:t>
      </w:r>
    </w:p>
    <w:p w14:paraId="59768486" w14:textId="7F37FCC9" w:rsidR="00592ADB" w:rsidRDefault="00592ADB" w:rsidP="00592ADB">
      <w:r>
        <w:t>The Evaluation of the Intercountry Adoption Australia Support Service occurred between May 2015 and 3</w:t>
      </w:r>
      <w:r w:rsidR="006B540A">
        <w:t>1</w:t>
      </w:r>
      <w:r>
        <w:t xml:space="preserve"> </w:t>
      </w:r>
      <w:r w:rsidR="006B540A">
        <w:t>August</w:t>
      </w:r>
      <w:r>
        <w:t xml:space="preserve"> 2016 and the Report reflects this period of time only.</w:t>
      </w:r>
    </w:p>
    <w:p w14:paraId="29703752" w14:textId="3DF41FD8" w:rsidR="007561CF" w:rsidRDefault="007561CF" w:rsidP="00E07D8E">
      <w:pPr>
        <w:pStyle w:val="Paragraph"/>
      </w:pPr>
      <w:r>
        <w:t xml:space="preserve">AHA would like to thank the many people who provided their thoughts and views on intercountry adoption </w:t>
      </w:r>
      <w:r w:rsidR="007E3103">
        <w:t xml:space="preserve">(ICA) </w:t>
      </w:r>
      <w:r>
        <w:t>in general and</w:t>
      </w:r>
      <w:r w:rsidR="007E3103">
        <w:t xml:space="preserve"> on issues associated with the I</w:t>
      </w:r>
      <w:r>
        <w:t>ntercoun</w:t>
      </w:r>
      <w:r w:rsidR="007E3103">
        <w:t>try A</w:t>
      </w:r>
      <w:r>
        <w:t xml:space="preserve">doption </w:t>
      </w:r>
      <w:r w:rsidR="007E3103">
        <w:t>Australia</w:t>
      </w:r>
      <w:r>
        <w:t xml:space="preserve"> </w:t>
      </w:r>
      <w:r w:rsidR="007E3103">
        <w:t xml:space="preserve">(IAA) service </w:t>
      </w:r>
      <w:r>
        <w:t>in particular</w:t>
      </w:r>
      <w:r w:rsidR="004C058C">
        <w:t>, including our expert advisors</w:t>
      </w:r>
      <w:r>
        <w:t xml:space="preserve">.  </w:t>
      </w:r>
    </w:p>
    <w:p w14:paraId="510717F5" w14:textId="6B7CDA9F" w:rsidR="007561CF" w:rsidRDefault="007561CF" w:rsidP="00E07D8E">
      <w:pPr>
        <w:pStyle w:val="Paragraph"/>
      </w:pPr>
      <w:r>
        <w:t xml:space="preserve">We appreciate the time taken by all </w:t>
      </w:r>
      <w:r w:rsidR="007E3103">
        <w:t xml:space="preserve">State and Territory Central Authorities (STCAs), Commonwealth </w:t>
      </w:r>
      <w:r>
        <w:t>government stakeholders</w:t>
      </w:r>
      <w:r w:rsidR="007E3103">
        <w:t>, parent support and advocacy groups, academics and DSS personnel</w:t>
      </w:r>
      <w:r>
        <w:t xml:space="preserve"> to consult with us to inform the evaluation.  </w:t>
      </w:r>
    </w:p>
    <w:p w14:paraId="132C374D" w14:textId="15AC1D2C" w:rsidR="007561CF" w:rsidRDefault="007E3103" w:rsidP="00E07D8E">
      <w:pPr>
        <w:pStyle w:val="Paragraph"/>
      </w:pPr>
      <w:r>
        <w:t>P</w:t>
      </w:r>
      <w:r w:rsidR="007561CF">
        <w:t xml:space="preserve">eople involved </w:t>
      </w:r>
      <w:r>
        <w:t xml:space="preserve">in all stages of the </w:t>
      </w:r>
      <w:r w:rsidR="007561CF">
        <w:t xml:space="preserve">intercountry adoption </w:t>
      </w:r>
      <w:r>
        <w:t>process</w:t>
      </w:r>
      <w:r w:rsidR="007561CF">
        <w:t xml:space="preserve"> took time from their busy days to convey stories that were often quite personal.  The generosity of people who have experienced or are currently experiencing the emotional journey that is ICA, was humbling. </w:t>
      </w:r>
    </w:p>
    <w:p w14:paraId="0639C5D2" w14:textId="4F1BDCE0" w:rsidR="009B4D60" w:rsidRPr="00E71DBD" w:rsidRDefault="007561CF" w:rsidP="00E07D8E">
      <w:pPr>
        <w:pStyle w:val="Paragraph"/>
      </w:pPr>
      <w:r>
        <w:t>Listening to and learning from the experiences</w:t>
      </w:r>
      <w:r w:rsidR="007E3103">
        <w:t xml:space="preserve"> of this diverse range of stakeholder</w:t>
      </w:r>
      <w:r w:rsidR="00494CE6">
        <w:t>s</w:t>
      </w:r>
      <w:r w:rsidR="007E3103">
        <w:t xml:space="preserve"> </w:t>
      </w:r>
      <w:r>
        <w:t xml:space="preserve">helped us to gain an enriched understanding and empathy that provided us with a bespoke lens through which to complete the </w:t>
      </w:r>
      <w:r w:rsidR="007E3103">
        <w:t>IAA</w:t>
      </w:r>
      <w:r>
        <w:t xml:space="preserve"> evaluation.</w:t>
      </w:r>
    </w:p>
    <w:p w14:paraId="7166BB90" w14:textId="77777777" w:rsidR="000452C1" w:rsidRPr="00E71DBD" w:rsidRDefault="000452C1" w:rsidP="00E71DBD">
      <w:pPr>
        <w:sectPr w:rsidR="000452C1" w:rsidRPr="00E71DBD" w:rsidSect="00E71DBD">
          <w:footerReference w:type="default" r:id="rId18"/>
          <w:pgSz w:w="11907" w:h="16840" w:code="9"/>
          <w:pgMar w:top="1134" w:right="1134" w:bottom="1134" w:left="1418" w:header="567" w:footer="567" w:gutter="0"/>
          <w:pgNumType w:fmt="lowerRoman" w:start="1"/>
          <w:cols w:space="680"/>
          <w:docGrid w:linePitch="360"/>
        </w:sectPr>
      </w:pPr>
    </w:p>
    <w:p w14:paraId="0D367EF3" w14:textId="2CCE7EA9" w:rsidR="001A1BFF" w:rsidRDefault="009258DF" w:rsidP="00283E1C">
      <w:pPr>
        <w:pStyle w:val="TOCHeading"/>
      </w:pPr>
      <w:r w:rsidRPr="00331FE4">
        <w:lastRenderedPageBreak/>
        <w:t xml:space="preserve">Table of </w:t>
      </w:r>
      <w:r w:rsidR="00CF3866">
        <w:t>c</w:t>
      </w:r>
      <w:r w:rsidRPr="00331FE4">
        <w:t>ontents</w:t>
      </w:r>
    </w:p>
    <w:p w14:paraId="2CB33EEC" w14:textId="21A782A4" w:rsidR="005263DE" w:rsidRDefault="00863490">
      <w:pPr>
        <w:pStyle w:val="TOC1"/>
        <w:rPr>
          <w:rFonts w:asciiTheme="minorHAnsi" w:eastAsiaTheme="minorEastAsia" w:hAnsiTheme="minorHAnsi" w:cstheme="minorBidi"/>
          <w:b w:val="0"/>
          <w:color w:val="auto"/>
          <w:lang w:val="en-AU"/>
        </w:rPr>
      </w:pPr>
      <w:r>
        <w:rPr>
          <w:color w:val="00A2C1" w:themeColor="accent3"/>
        </w:rPr>
        <w:fldChar w:fldCharType="begin"/>
      </w:r>
      <w:r w:rsidR="009B184C">
        <w:instrText xml:space="preserve"> TOC \t "Heading 1,1,Heading 2,2,Heading 7,1" </w:instrText>
      </w:r>
      <w:r>
        <w:rPr>
          <w:color w:val="00A2C1" w:themeColor="accent3"/>
        </w:rPr>
        <w:fldChar w:fldCharType="separate"/>
      </w:r>
      <w:r w:rsidR="005263DE">
        <w:t>1.</w:t>
      </w:r>
      <w:r w:rsidR="005263DE">
        <w:rPr>
          <w:rFonts w:asciiTheme="minorHAnsi" w:eastAsiaTheme="minorEastAsia" w:hAnsiTheme="minorHAnsi" w:cstheme="minorBidi"/>
          <w:b w:val="0"/>
          <w:color w:val="auto"/>
          <w:lang w:val="en-AU"/>
        </w:rPr>
        <w:tab/>
      </w:r>
      <w:r w:rsidR="005263DE">
        <w:t>Executive summary</w:t>
      </w:r>
      <w:r w:rsidR="005263DE">
        <w:tab/>
      </w:r>
      <w:r w:rsidR="005263DE">
        <w:fldChar w:fldCharType="begin"/>
      </w:r>
      <w:r w:rsidR="005263DE">
        <w:instrText xml:space="preserve"> PAGEREF _Toc490481602 \h </w:instrText>
      </w:r>
      <w:r w:rsidR="005263DE">
        <w:fldChar w:fldCharType="separate"/>
      </w:r>
      <w:r w:rsidR="00487073">
        <w:t>1</w:t>
      </w:r>
      <w:r w:rsidR="005263DE">
        <w:fldChar w:fldCharType="end"/>
      </w:r>
    </w:p>
    <w:p w14:paraId="7381A79E" w14:textId="1A31D341" w:rsidR="005263DE" w:rsidRDefault="005263DE">
      <w:pPr>
        <w:pStyle w:val="TOC2"/>
        <w:tabs>
          <w:tab w:val="left" w:pos="1134"/>
        </w:tabs>
        <w:rPr>
          <w:rFonts w:asciiTheme="minorHAnsi" w:eastAsiaTheme="minorEastAsia" w:hAnsiTheme="minorHAnsi" w:cstheme="minorBidi"/>
          <w:szCs w:val="22"/>
          <w:lang w:val="en-AU"/>
        </w:rPr>
      </w:pPr>
      <w:r>
        <w:t>1.1.</w:t>
      </w:r>
      <w:r>
        <w:rPr>
          <w:rFonts w:asciiTheme="minorHAnsi" w:eastAsiaTheme="minorEastAsia" w:hAnsiTheme="minorHAnsi" w:cstheme="minorBidi"/>
          <w:szCs w:val="22"/>
          <w:lang w:val="en-AU"/>
        </w:rPr>
        <w:tab/>
      </w:r>
      <w:r>
        <w:t>Introduction</w:t>
      </w:r>
      <w:r>
        <w:tab/>
      </w:r>
      <w:r>
        <w:fldChar w:fldCharType="begin"/>
      </w:r>
      <w:r>
        <w:instrText xml:space="preserve"> PAGEREF _Toc490481603 \h </w:instrText>
      </w:r>
      <w:r>
        <w:fldChar w:fldCharType="separate"/>
      </w:r>
      <w:r w:rsidR="00487073">
        <w:t>2</w:t>
      </w:r>
      <w:r>
        <w:fldChar w:fldCharType="end"/>
      </w:r>
    </w:p>
    <w:p w14:paraId="500847F7" w14:textId="100AE333" w:rsidR="005263DE" w:rsidRDefault="005263DE">
      <w:pPr>
        <w:pStyle w:val="TOC2"/>
        <w:tabs>
          <w:tab w:val="left" w:pos="1134"/>
        </w:tabs>
        <w:rPr>
          <w:rFonts w:asciiTheme="minorHAnsi" w:eastAsiaTheme="minorEastAsia" w:hAnsiTheme="minorHAnsi" w:cstheme="minorBidi"/>
          <w:szCs w:val="22"/>
          <w:lang w:val="en-AU"/>
        </w:rPr>
      </w:pPr>
      <w:r>
        <w:t>1.2.</w:t>
      </w:r>
      <w:r>
        <w:rPr>
          <w:rFonts w:asciiTheme="minorHAnsi" w:eastAsiaTheme="minorEastAsia" w:hAnsiTheme="minorHAnsi" w:cstheme="minorBidi"/>
          <w:szCs w:val="22"/>
          <w:lang w:val="en-AU"/>
        </w:rPr>
        <w:tab/>
      </w:r>
      <w:r>
        <w:t>Evaluation objectives</w:t>
      </w:r>
      <w:r>
        <w:tab/>
      </w:r>
      <w:r>
        <w:fldChar w:fldCharType="begin"/>
      </w:r>
      <w:r>
        <w:instrText xml:space="preserve"> PAGEREF _Toc490481604 \h </w:instrText>
      </w:r>
      <w:r>
        <w:fldChar w:fldCharType="separate"/>
      </w:r>
      <w:r w:rsidR="00487073">
        <w:t>2</w:t>
      </w:r>
      <w:r>
        <w:fldChar w:fldCharType="end"/>
      </w:r>
    </w:p>
    <w:p w14:paraId="68BDBA66" w14:textId="77BAD2FA" w:rsidR="005263DE" w:rsidRDefault="005263DE">
      <w:pPr>
        <w:pStyle w:val="TOC2"/>
        <w:tabs>
          <w:tab w:val="left" w:pos="1134"/>
        </w:tabs>
        <w:rPr>
          <w:rFonts w:asciiTheme="minorHAnsi" w:eastAsiaTheme="minorEastAsia" w:hAnsiTheme="minorHAnsi" w:cstheme="minorBidi"/>
          <w:szCs w:val="22"/>
          <w:lang w:val="en-AU"/>
        </w:rPr>
      </w:pPr>
      <w:r>
        <w:t>1.3.</w:t>
      </w:r>
      <w:r>
        <w:rPr>
          <w:rFonts w:asciiTheme="minorHAnsi" w:eastAsiaTheme="minorEastAsia" w:hAnsiTheme="minorHAnsi" w:cstheme="minorBidi"/>
          <w:szCs w:val="22"/>
          <w:lang w:val="en-AU"/>
        </w:rPr>
        <w:tab/>
      </w:r>
      <w:r>
        <w:t>Methods</w:t>
      </w:r>
      <w:r>
        <w:tab/>
      </w:r>
      <w:r>
        <w:fldChar w:fldCharType="begin"/>
      </w:r>
      <w:r>
        <w:instrText xml:space="preserve"> PAGEREF _Toc490481605 \h </w:instrText>
      </w:r>
      <w:r>
        <w:fldChar w:fldCharType="separate"/>
      </w:r>
      <w:r w:rsidR="00487073">
        <w:t>2</w:t>
      </w:r>
      <w:r>
        <w:fldChar w:fldCharType="end"/>
      </w:r>
    </w:p>
    <w:p w14:paraId="51A4DBEE" w14:textId="16D15469" w:rsidR="005263DE" w:rsidRDefault="005263DE">
      <w:pPr>
        <w:pStyle w:val="TOC2"/>
        <w:tabs>
          <w:tab w:val="left" w:pos="1134"/>
        </w:tabs>
        <w:rPr>
          <w:rFonts w:asciiTheme="minorHAnsi" w:eastAsiaTheme="minorEastAsia" w:hAnsiTheme="minorHAnsi" w:cstheme="minorBidi"/>
          <w:szCs w:val="22"/>
          <w:lang w:val="en-AU"/>
        </w:rPr>
      </w:pPr>
      <w:r>
        <w:t>1.4.</w:t>
      </w:r>
      <w:r>
        <w:rPr>
          <w:rFonts w:asciiTheme="minorHAnsi" w:eastAsiaTheme="minorEastAsia" w:hAnsiTheme="minorHAnsi" w:cstheme="minorBidi"/>
          <w:szCs w:val="22"/>
          <w:lang w:val="en-AU"/>
        </w:rPr>
        <w:tab/>
      </w:r>
      <w:r>
        <w:t>Summary of findings in relation to the key evaluation questions:</w:t>
      </w:r>
      <w:r>
        <w:tab/>
      </w:r>
      <w:r>
        <w:fldChar w:fldCharType="begin"/>
      </w:r>
      <w:r>
        <w:instrText xml:space="preserve"> PAGEREF _Toc490481606 \h </w:instrText>
      </w:r>
      <w:r>
        <w:fldChar w:fldCharType="separate"/>
      </w:r>
      <w:r w:rsidR="00487073">
        <w:t>3</w:t>
      </w:r>
      <w:r>
        <w:fldChar w:fldCharType="end"/>
      </w:r>
    </w:p>
    <w:p w14:paraId="3C96237C" w14:textId="52935B6B" w:rsidR="005263DE" w:rsidRDefault="005263DE">
      <w:pPr>
        <w:pStyle w:val="TOC2"/>
        <w:tabs>
          <w:tab w:val="left" w:pos="1134"/>
        </w:tabs>
        <w:rPr>
          <w:rFonts w:asciiTheme="minorHAnsi" w:eastAsiaTheme="minorEastAsia" w:hAnsiTheme="minorHAnsi" w:cstheme="minorBidi"/>
          <w:szCs w:val="22"/>
          <w:lang w:val="en-AU"/>
        </w:rPr>
      </w:pPr>
      <w:r>
        <w:t>1.5.</w:t>
      </w:r>
      <w:r>
        <w:rPr>
          <w:rFonts w:asciiTheme="minorHAnsi" w:eastAsiaTheme="minorEastAsia" w:hAnsiTheme="minorHAnsi" w:cstheme="minorBidi"/>
          <w:szCs w:val="22"/>
          <w:lang w:val="en-AU"/>
        </w:rPr>
        <w:tab/>
      </w:r>
      <w:r>
        <w:t>Implications of findings – key considerations going forward</w:t>
      </w:r>
      <w:r>
        <w:tab/>
      </w:r>
      <w:r>
        <w:fldChar w:fldCharType="begin"/>
      </w:r>
      <w:r>
        <w:instrText xml:space="preserve"> PAGEREF _Toc490481607 \h </w:instrText>
      </w:r>
      <w:r>
        <w:fldChar w:fldCharType="separate"/>
      </w:r>
      <w:r w:rsidR="00487073">
        <w:t>8</w:t>
      </w:r>
      <w:r>
        <w:fldChar w:fldCharType="end"/>
      </w:r>
    </w:p>
    <w:p w14:paraId="66DC26B5" w14:textId="44ABD26D" w:rsidR="005263DE" w:rsidRDefault="005263DE">
      <w:pPr>
        <w:pStyle w:val="TOC1"/>
        <w:rPr>
          <w:rFonts w:asciiTheme="minorHAnsi" w:eastAsiaTheme="minorEastAsia" w:hAnsiTheme="minorHAnsi" w:cstheme="minorBidi"/>
          <w:b w:val="0"/>
          <w:color w:val="auto"/>
          <w:lang w:val="en-AU"/>
        </w:rPr>
      </w:pPr>
      <w:r>
        <w:t>2.</w:t>
      </w:r>
      <w:r>
        <w:rPr>
          <w:rFonts w:asciiTheme="minorHAnsi" w:eastAsiaTheme="minorEastAsia" w:hAnsiTheme="minorHAnsi" w:cstheme="minorBidi"/>
          <w:b w:val="0"/>
          <w:color w:val="auto"/>
          <w:lang w:val="en-AU"/>
        </w:rPr>
        <w:tab/>
      </w:r>
      <w:r>
        <w:t>Introduction</w:t>
      </w:r>
      <w:r>
        <w:tab/>
      </w:r>
      <w:r>
        <w:fldChar w:fldCharType="begin"/>
      </w:r>
      <w:r>
        <w:instrText xml:space="preserve"> PAGEREF _Toc490481608 \h </w:instrText>
      </w:r>
      <w:r>
        <w:fldChar w:fldCharType="separate"/>
      </w:r>
      <w:r w:rsidR="00487073">
        <w:t>10</w:t>
      </w:r>
      <w:r>
        <w:fldChar w:fldCharType="end"/>
      </w:r>
    </w:p>
    <w:p w14:paraId="26C5E5B7" w14:textId="3B1CA0F3" w:rsidR="005263DE" w:rsidRDefault="005263DE">
      <w:pPr>
        <w:pStyle w:val="TOC2"/>
        <w:tabs>
          <w:tab w:val="left" w:pos="1134"/>
        </w:tabs>
        <w:rPr>
          <w:rFonts w:asciiTheme="minorHAnsi" w:eastAsiaTheme="minorEastAsia" w:hAnsiTheme="minorHAnsi" w:cstheme="minorBidi"/>
          <w:szCs w:val="22"/>
          <w:lang w:val="en-AU"/>
        </w:rPr>
      </w:pPr>
      <w:r>
        <w:t>2.1.</w:t>
      </w:r>
      <w:r>
        <w:rPr>
          <w:rFonts w:asciiTheme="minorHAnsi" w:eastAsiaTheme="minorEastAsia" w:hAnsiTheme="minorHAnsi" w:cstheme="minorBidi"/>
          <w:szCs w:val="22"/>
          <w:lang w:val="en-AU"/>
        </w:rPr>
        <w:tab/>
      </w:r>
      <w:r>
        <w:t>Defining ICA</w:t>
      </w:r>
      <w:r>
        <w:tab/>
      </w:r>
      <w:r>
        <w:fldChar w:fldCharType="begin"/>
      </w:r>
      <w:r>
        <w:instrText xml:space="preserve"> PAGEREF _Toc490481609 \h </w:instrText>
      </w:r>
      <w:r>
        <w:fldChar w:fldCharType="separate"/>
      </w:r>
      <w:r w:rsidR="00487073">
        <w:t>11</w:t>
      </w:r>
      <w:r>
        <w:fldChar w:fldCharType="end"/>
      </w:r>
    </w:p>
    <w:p w14:paraId="110A6FE8" w14:textId="35587F36" w:rsidR="005263DE" w:rsidRDefault="005263DE">
      <w:pPr>
        <w:pStyle w:val="TOC2"/>
        <w:tabs>
          <w:tab w:val="left" w:pos="1134"/>
        </w:tabs>
        <w:rPr>
          <w:rFonts w:asciiTheme="minorHAnsi" w:eastAsiaTheme="minorEastAsia" w:hAnsiTheme="minorHAnsi" w:cstheme="minorBidi"/>
          <w:szCs w:val="22"/>
          <w:lang w:val="en-AU"/>
        </w:rPr>
      </w:pPr>
      <w:r>
        <w:t>2.2.</w:t>
      </w:r>
      <w:r>
        <w:rPr>
          <w:rFonts w:asciiTheme="minorHAnsi" w:eastAsiaTheme="minorEastAsia" w:hAnsiTheme="minorHAnsi" w:cstheme="minorBidi"/>
          <w:szCs w:val="22"/>
          <w:lang w:val="en-AU"/>
        </w:rPr>
        <w:tab/>
      </w:r>
      <w:r>
        <w:t>Historical perspective</w:t>
      </w:r>
      <w:r>
        <w:tab/>
      </w:r>
      <w:r>
        <w:fldChar w:fldCharType="begin"/>
      </w:r>
      <w:r>
        <w:instrText xml:space="preserve"> PAGEREF _Toc490481610 \h </w:instrText>
      </w:r>
      <w:r>
        <w:fldChar w:fldCharType="separate"/>
      </w:r>
      <w:r w:rsidR="00487073">
        <w:t>11</w:t>
      </w:r>
      <w:r>
        <w:fldChar w:fldCharType="end"/>
      </w:r>
    </w:p>
    <w:p w14:paraId="5873C343" w14:textId="076B166C" w:rsidR="005263DE" w:rsidRDefault="005263DE">
      <w:pPr>
        <w:pStyle w:val="TOC2"/>
        <w:tabs>
          <w:tab w:val="left" w:pos="1134"/>
        </w:tabs>
        <w:rPr>
          <w:rFonts w:asciiTheme="minorHAnsi" w:eastAsiaTheme="minorEastAsia" w:hAnsiTheme="minorHAnsi" w:cstheme="minorBidi"/>
          <w:szCs w:val="22"/>
          <w:lang w:val="en-AU"/>
        </w:rPr>
      </w:pPr>
      <w:r>
        <w:t>2.3.</w:t>
      </w:r>
      <w:r>
        <w:rPr>
          <w:rFonts w:asciiTheme="minorHAnsi" w:eastAsiaTheme="minorEastAsia" w:hAnsiTheme="minorHAnsi" w:cstheme="minorBidi"/>
          <w:szCs w:val="22"/>
          <w:lang w:val="en-AU"/>
        </w:rPr>
        <w:tab/>
      </w:r>
      <w:r>
        <w:t>Recent trends</w:t>
      </w:r>
      <w:r>
        <w:tab/>
      </w:r>
      <w:r>
        <w:fldChar w:fldCharType="begin"/>
      </w:r>
      <w:r>
        <w:instrText xml:space="preserve"> PAGEREF _Toc490481611 \h </w:instrText>
      </w:r>
      <w:r>
        <w:fldChar w:fldCharType="separate"/>
      </w:r>
      <w:r w:rsidR="00487073">
        <w:t>11</w:t>
      </w:r>
      <w:r>
        <w:fldChar w:fldCharType="end"/>
      </w:r>
    </w:p>
    <w:p w14:paraId="6C16D314" w14:textId="07E3D60E" w:rsidR="005263DE" w:rsidRDefault="005263DE">
      <w:pPr>
        <w:pStyle w:val="TOC2"/>
        <w:tabs>
          <w:tab w:val="left" w:pos="1134"/>
        </w:tabs>
        <w:rPr>
          <w:rFonts w:asciiTheme="minorHAnsi" w:eastAsiaTheme="minorEastAsia" w:hAnsiTheme="minorHAnsi" w:cstheme="minorBidi"/>
          <w:szCs w:val="22"/>
          <w:lang w:val="en-AU"/>
        </w:rPr>
      </w:pPr>
      <w:r>
        <w:t>2.4.</w:t>
      </w:r>
      <w:r>
        <w:rPr>
          <w:rFonts w:asciiTheme="minorHAnsi" w:eastAsiaTheme="minorEastAsia" w:hAnsiTheme="minorHAnsi" w:cstheme="minorBidi"/>
          <w:szCs w:val="22"/>
          <w:lang w:val="en-AU"/>
        </w:rPr>
        <w:tab/>
      </w:r>
      <w:r>
        <w:t>Recent Australian ICA reforms</w:t>
      </w:r>
      <w:r>
        <w:tab/>
      </w:r>
      <w:r>
        <w:fldChar w:fldCharType="begin"/>
      </w:r>
      <w:r>
        <w:instrText xml:space="preserve"> PAGEREF _Toc490481612 \h </w:instrText>
      </w:r>
      <w:r>
        <w:fldChar w:fldCharType="separate"/>
      </w:r>
      <w:r w:rsidR="00487073">
        <w:t>12</w:t>
      </w:r>
      <w:r>
        <w:fldChar w:fldCharType="end"/>
      </w:r>
    </w:p>
    <w:p w14:paraId="42AC9C21" w14:textId="33637FB5" w:rsidR="005263DE" w:rsidRDefault="005263DE">
      <w:pPr>
        <w:pStyle w:val="TOC1"/>
        <w:rPr>
          <w:rFonts w:asciiTheme="minorHAnsi" w:eastAsiaTheme="minorEastAsia" w:hAnsiTheme="minorHAnsi" w:cstheme="minorBidi"/>
          <w:b w:val="0"/>
          <w:color w:val="auto"/>
          <w:lang w:val="en-AU"/>
        </w:rPr>
      </w:pPr>
      <w:r>
        <w:t>3.</w:t>
      </w:r>
      <w:r>
        <w:rPr>
          <w:rFonts w:asciiTheme="minorHAnsi" w:eastAsiaTheme="minorEastAsia" w:hAnsiTheme="minorHAnsi" w:cstheme="minorBidi"/>
          <w:b w:val="0"/>
          <w:color w:val="auto"/>
          <w:lang w:val="en-AU"/>
        </w:rPr>
        <w:tab/>
      </w:r>
      <w:r>
        <w:t>Current ICA processes in Australia</w:t>
      </w:r>
      <w:r>
        <w:tab/>
      </w:r>
      <w:r>
        <w:fldChar w:fldCharType="begin"/>
      </w:r>
      <w:r>
        <w:instrText xml:space="preserve"> PAGEREF _Toc490481613 \h </w:instrText>
      </w:r>
      <w:r>
        <w:fldChar w:fldCharType="separate"/>
      </w:r>
      <w:r w:rsidR="00487073">
        <w:t>15</w:t>
      </w:r>
      <w:r>
        <w:fldChar w:fldCharType="end"/>
      </w:r>
    </w:p>
    <w:p w14:paraId="72EE6D2F" w14:textId="77277D63" w:rsidR="005263DE" w:rsidRDefault="005263DE">
      <w:pPr>
        <w:pStyle w:val="TOC2"/>
        <w:tabs>
          <w:tab w:val="left" w:pos="1134"/>
        </w:tabs>
        <w:rPr>
          <w:rFonts w:asciiTheme="minorHAnsi" w:eastAsiaTheme="minorEastAsia" w:hAnsiTheme="minorHAnsi" w:cstheme="minorBidi"/>
          <w:szCs w:val="22"/>
          <w:lang w:val="en-AU"/>
        </w:rPr>
      </w:pPr>
      <w:r>
        <w:t>3.1.</w:t>
      </w:r>
      <w:r>
        <w:rPr>
          <w:rFonts w:asciiTheme="minorHAnsi" w:eastAsiaTheme="minorEastAsia" w:hAnsiTheme="minorHAnsi" w:cstheme="minorBidi"/>
          <w:szCs w:val="22"/>
          <w:lang w:val="en-AU"/>
        </w:rPr>
        <w:tab/>
      </w:r>
      <w:r>
        <w:t>Overview</w:t>
      </w:r>
      <w:r>
        <w:tab/>
      </w:r>
      <w:r>
        <w:fldChar w:fldCharType="begin"/>
      </w:r>
      <w:r>
        <w:instrText xml:space="preserve"> PAGEREF _Toc490481614 \h </w:instrText>
      </w:r>
      <w:r>
        <w:fldChar w:fldCharType="separate"/>
      </w:r>
      <w:r w:rsidR="00487073">
        <w:t>16</w:t>
      </w:r>
      <w:r>
        <w:fldChar w:fldCharType="end"/>
      </w:r>
    </w:p>
    <w:p w14:paraId="3FDFA40D" w14:textId="0CD9B668" w:rsidR="005263DE" w:rsidRDefault="005263DE">
      <w:pPr>
        <w:pStyle w:val="TOC2"/>
        <w:tabs>
          <w:tab w:val="left" w:pos="1134"/>
        </w:tabs>
        <w:rPr>
          <w:rFonts w:asciiTheme="minorHAnsi" w:eastAsiaTheme="minorEastAsia" w:hAnsiTheme="minorHAnsi" w:cstheme="minorBidi"/>
          <w:szCs w:val="22"/>
          <w:lang w:val="en-AU"/>
        </w:rPr>
      </w:pPr>
      <w:r>
        <w:t>3.2.</w:t>
      </w:r>
      <w:r>
        <w:rPr>
          <w:rFonts w:asciiTheme="minorHAnsi" w:eastAsiaTheme="minorEastAsia" w:hAnsiTheme="minorHAnsi" w:cstheme="minorBidi"/>
          <w:szCs w:val="22"/>
          <w:lang w:val="en-AU"/>
        </w:rPr>
        <w:tab/>
      </w:r>
      <w:r>
        <w:t>Australia’s ICA program partners</w:t>
      </w:r>
      <w:r>
        <w:tab/>
      </w:r>
      <w:r>
        <w:fldChar w:fldCharType="begin"/>
      </w:r>
      <w:r>
        <w:instrText xml:space="preserve"> PAGEREF _Toc490481615 \h </w:instrText>
      </w:r>
      <w:r>
        <w:fldChar w:fldCharType="separate"/>
      </w:r>
      <w:r w:rsidR="00487073">
        <w:t>19</w:t>
      </w:r>
      <w:r>
        <w:fldChar w:fldCharType="end"/>
      </w:r>
    </w:p>
    <w:p w14:paraId="01A569DB" w14:textId="4652A030" w:rsidR="005263DE" w:rsidRDefault="005263DE">
      <w:pPr>
        <w:pStyle w:val="TOC2"/>
        <w:tabs>
          <w:tab w:val="left" w:pos="1134"/>
        </w:tabs>
        <w:rPr>
          <w:rFonts w:asciiTheme="minorHAnsi" w:eastAsiaTheme="minorEastAsia" w:hAnsiTheme="minorHAnsi" w:cstheme="minorBidi"/>
          <w:szCs w:val="22"/>
          <w:lang w:val="en-AU"/>
        </w:rPr>
      </w:pPr>
      <w:r>
        <w:t>3.3.</w:t>
      </w:r>
      <w:r>
        <w:rPr>
          <w:rFonts w:asciiTheme="minorHAnsi" w:eastAsiaTheme="minorEastAsia" w:hAnsiTheme="minorHAnsi" w:cstheme="minorBidi"/>
          <w:szCs w:val="22"/>
          <w:lang w:val="en-AU"/>
        </w:rPr>
        <w:tab/>
      </w:r>
      <w:r>
        <w:t>How ICA is operationalised in Australia</w:t>
      </w:r>
      <w:r>
        <w:tab/>
      </w:r>
      <w:r>
        <w:fldChar w:fldCharType="begin"/>
      </w:r>
      <w:r>
        <w:instrText xml:space="preserve"> PAGEREF _Toc490481616 \h </w:instrText>
      </w:r>
      <w:r>
        <w:fldChar w:fldCharType="separate"/>
      </w:r>
      <w:r w:rsidR="00487073">
        <w:t>20</w:t>
      </w:r>
      <w:r>
        <w:fldChar w:fldCharType="end"/>
      </w:r>
    </w:p>
    <w:p w14:paraId="41DAB5F3" w14:textId="022672CA" w:rsidR="005263DE" w:rsidRDefault="005263DE">
      <w:pPr>
        <w:pStyle w:val="TOC1"/>
        <w:rPr>
          <w:rFonts w:asciiTheme="minorHAnsi" w:eastAsiaTheme="minorEastAsia" w:hAnsiTheme="minorHAnsi" w:cstheme="minorBidi"/>
          <w:b w:val="0"/>
          <w:color w:val="auto"/>
          <w:lang w:val="en-AU"/>
        </w:rPr>
      </w:pPr>
      <w:r>
        <w:t>4.</w:t>
      </w:r>
      <w:r>
        <w:rPr>
          <w:rFonts w:asciiTheme="minorHAnsi" w:eastAsiaTheme="minorEastAsia" w:hAnsiTheme="minorHAnsi" w:cstheme="minorBidi"/>
          <w:b w:val="0"/>
          <w:color w:val="auto"/>
          <w:lang w:val="en-AU"/>
        </w:rPr>
        <w:tab/>
      </w:r>
      <w:r>
        <w:t>Evaluation approach and methods</w:t>
      </w:r>
      <w:r>
        <w:tab/>
      </w:r>
      <w:r>
        <w:fldChar w:fldCharType="begin"/>
      </w:r>
      <w:r>
        <w:instrText xml:space="preserve"> PAGEREF _Toc490481617 \h </w:instrText>
      </w:r>
      <w:r>
        <w:fldChar w:fldCharType="separate"/>
      </w:r>
      <w:r w:rsidR="00487073">
        <w:t>28</w:t>
      </w:r>
      <w:r>
        <w:fldChar w:fldCharType="end"/>
      </w:r>
    </w:p>
    <w:p w14:paraId="7E82F860" w14:textId="789D7E7E" w:rsidR="005263DE" w:rsidRDefault="005263DE">
      <w:pPr>
        <w:pStyle w:val="TOC2"/>
        <w:tabs>
          <w:tab w:val="left" w:pos="1134"/>
        </w:tabs>
        <w:rPr>
          <w:rFonts w:asciiTheme="minorHAnsi" w:eastAsiaTheme="minorEastAsia" w:hAnsiTheme="minorHAnsi" w:cstheme="minorBidi"/>
          <w:szCs w:val="22"/>
          <w:lang w:val="en-AU"/>
        </w:rPr>
      </w:pPr>
      <w:r>
        <w:t>4.1.</w:t>
      </w:r>
      <w:r>
        <w:rPr>
          <w:rFonts w:asciiTheme="minorHAnsi" w:eastAsiaTheme="minorEastAsia" w:hAnsiTheme="minorHAnsi" w:cstheme="minorBidi"/>
          <w:szCs w:val="22"/>
          <w:lang w:val="en-AU"/>
        </w:rPr>
        <w:tab/>
      </w:r>
      <w:r>
        <w:t>Overview</w:t>
      </w:r>
      <w:r>
        <w:tab/>
      </w:r>
      <w:r>
        <w:fldChar w:fldCharType="begin"/>
      </w:r>
      <w:r>
        <w:instrText xml:space="preserve"> PAGEREF _Toc490481618 \h </w:instrText>
      </w:r>
      <w:r>
        <w:fldChar w:fldCharType="separate"/>
      </w:r>
      <w:r w:rsidR="00487073">
        <w:t>29</w:t>
      </w:r>
      <w:r>
        <w:fldChar w:fldCharType="end"/>
      </w:r>
    </w:p>
    <w:p w14:paraId="017F8306" w14:textId="2C765805" w:rsidR="005263DE" w:rsidRDefault="005263DE">
      <w:pPr>
        <w:pStyle w:val="TOC2"/>
        <w:tabs>
          <w:tab w:val="left" w:pos="1134"/>
        </w:tabs>
        <w:rPr>
          <w:rFonts w:asciiTheme="minorHAnsi" w:eastAsiaTheme="minorEastAsia" w:hAnsiTheme="minorHAnsi" w:cstheme="minorBidi"/>
          <w:szCs w:val="22"/>
          <w:lang w:val="en-AU"/>
        </w:rPr>
      </w:pPr>
      <w:r>
        <w:t>4.2.</w:t>
      </w:r>
      <w:r>
        <w:rPr>
          <w:rFonts w:asciiTheme="minorHAnsi" w:eastAsiaTheme="minorEastAsia" w:hAnsiTheme="minorHAnsi" w:cstheme="minorBidi"/>
          <w:szCs w:val="22"/>
          <w:lang w:val="en-AU"/>
        </w:rPr>
        <w:tab/>
      </w:r>
      <w:r>
        <w:t>Data sources</w:t>
      </w:r>
      <w:r>
        <w:tab/>
      </w:r>
      <w:r>
        <w:fldChar w:fldCharType="begin"/>
      </w:r>
      <w:r>
        <w:instrText xml:space="preserve"> PAGEREF _Toc490481619 \h </w:instrText>
      </w:r>
      <w:r>
        <w:fldChar w:fldCharType="separate"/>
      </w:r>
      <w:r w:rsidR="00487073">
        <w:t>30</w:t>
      </w:r>
      <w:r>
        <w:fldChar w:fldCharType="end"/>
      </w:r>
    </w:p>
    <w:p w14:paraId="13D2324F" w14:textId="623CDC62" w:rsidR="005263DE" w:rsidRDefault="005263DE">
      <w:pPr>
        <w:pStyle w:val="TOC2"/>
        <w:tabs>
          <w:tab w:val="left" w:pos="1134"/>
        </w:tabs>
        <w:rPr>
          <w:rFonts w:asciiTheme="minorHAnsi" w:eastAsiaTheme="minorEastAsia" w:hAnsiTheme="minorHAnsi" w:cstheme="minorBidi"/>
          <w:szCs w:val="22"/>
          <w:lang w:val="en-AU"/>
        </w:rPr>
      </w:pPr>
      <w:r>
        <w:t>4.3.</w:t>
      </w:r>
      <w:r>
        <w:rPr>
          <w:rFonts w:asciiTheme="minorHAnsi" w:eastAsiaTheme="minorEastAsia" w:hAnsiTheme="minorHAnsi" w:cstheme="minorBidi"/>
          <w:szCs w:val="22"/>
          <w:lang w:val="en-AU"/>
        </w:rPr>
        <w:tab/>
      </w:r>
      <w:r>
        <w:t>Stakeholder recruitment and participation</w:t>
      </w:r>
      <w:r>
        <w:tab/>
      </w:r>
      <w:r>
        <w:fldChar w:fldCharType="begin"/>
      </w:r>
      <w:r>
        <w:instrText xml:space="preserve"> PAGEREF _Toc490481620 \h </w:instrText>
      </w:r>
      <w:r>
        <w:fldChar w:fldCharType="separate"/>
      </w:r>
      <w:r w:rsidR="00487073">
        <w:t>31</w:t>
      </w:r>
      <w:r>
        <w:fldChar w:fldCharType="end"/>
      </w:r>
    </w:p>
    <w:p w14:paraId="01E0ABDD" w14:textId="4385E9BA" w:rsidR="005263DE" w:rsidRDefault="005263DE">
      <w:pPr>
        <w:pStyle w:val="TOC2"/>
        <w:tabs>
          <w:tab w:val="left" w:pos="1134"/>
        </w:tabs>
        <w:rPr>
          <w:rFonts w:asciiTheme="minorHAnsi" w:eastAsiaTheme="minorEastAsia" w:hAnsiTheme="minorHAnsi" w:cstheme="minorBidi"/>
          <w:szCs w:val="22"/>
          <w:lang w:val="en-AU"/>
        </w:rPr>
      </w:pPr>
      <w:r>
        <w:t>4.4.</w:t>
      </w:r>
      <w:r>
        <w:rPr>
          <w:rFonts w:asciiTheme="minorHAnsi" w:eastAsiaTheme="minorEastAsia" w:hAnsiTheme="minorHAnsi" w:cstheme="minorBidi"/>
          <w:szCs w:val="22"/>
          <w:lang w:val="en-AU"/>
        </w:rPr>
        <w:tab/>
      </w:r>
      <w:r>
        <w:t>Data analysis process</w:t>
      </w:r>
      <w:r>
        <w:tab/>
      </w:r>
      <w:r>
        <w:fldChar w:fldCharType="begin"/>
      </w:r>
      <w:r>
        <w:instrText xml:space="preserve"> PAGEREF _Toc490481621 \h </w:instrText>
      </w:r>
      <w:r>
        <w:fldChar w:fldCharType="separate"/>
      </w:r>
      <w:r w:rsidR="00487073">
        <w:t>32</w:t>
      </w:r>
      <w:r>
        <w:fldChar w:fldCharType="end"/>
      </w:r>
    </w:p>
    <w:p w14:paraId="232DEDE1" w14:textId="3981769B" w:rsidR="005263DE" w:rsidRDefault="005263DE">
      <w:pPr>
        <w:pStyle w:val="TOC2"/>
        <w:tabs>
          <w:tab w:val="left" w:pos="1134"/>
        </w:tabs>
        <w:rPr>
          <w:rFonts w:asciiTheme="minorHAnsi" w:eastAsiaTheme="minorEastAsia" w:hAnsiTheme="minorHAnsi" w:cstheme="minorBidi"/>
          <w:szCs w:val="22"/>
          <w:lang w:val="en-AU"/>
        </w:rPr>
      </w:pPr>
      <w:r>
        <w:t>4.5.</w:t>
      </w:r>
      <w:r>
        <w:rPr>
          <w:rFonts w:asciiTheme="minorHAnsi" w:eastAsiaTheme="minorEastAsia" w:hAnsiTheme="minorHAnsi" w:cstheme="minorBidi"/>
          <w:szCs w:val="22"/>
          <w:lang w:val="en-AU"/>
        </w:rPr>
        <w:tab/>
      </w:r>
      <w:r>
        <w:t>Evaluability issues</w:t>
      </w:r>
      <w:r>
        <w:tab/>
      </w:r>
      <w:r>
        <w:fldChar w:fldCharType="begin"/>
      </w:r>
      <w:r>
        <w:instrText xml:space="preserve"> PAGEREF _Toc490481622 \h </w:instrText>
      </w:r>
      <w:r>
        <w:fldChar w:fldCharType="separate"/>
      </w:r>
      <w:r w:rsidR="00487073">
        <w:t>33</w:t>
      </w:r>
      <w:r>
        <w:fldChar w:fldCharType="end"/>
      </w:r>
    </w:p>
    <w:p w14:paraId="340B8F7E" w14:textId="163FD51C" w:rsidR="005263DE" w:rsidRDefault="005263DE">
      <w:pPr>
        <w:pStyle w:val="TOC1"/>
        <w:rPr>
          <w:rFonts w:asciiTheme="minorHAnsi" w:eastAsiaTheme="minorEastAsia" w:hAnsiTheme="minorHAnsi" w:cstheme="minorBidi"/>
          <w:b w:val="0"/>
          <w:color w:val="auto"/>
          <w:lang w:val="en-AU"/>
        </w:rPr>
      </w:pPr>
      <w:r>
        <w:t>5.</w:t>
      </w:r>
      <w:r>
        <w:rPr>
          <w:rFonts w:asciiTheme="minorHAnsi" w:eastAsiaTheme="minorEastAsia" w:hAnsiTheme="minorHAnsi" w:cstheme="minorBidi"/>
          <w:b w:val="0"/>
          <w:color w:val="auto"/>
          <w:lang w:val="en-AU"/>
        </w:rPr>
        <w:tab/>
      </w:r>
      <w:r>
        <w:t>Implementation of IAA</w:t>
      </w:r>
      <w:r>
        <w:tab/>
      </w:r>
      <w:r>
        <w:fldChar w:fldCharType="begin"/>
      </w:r>
      <w:r>
        <w:instrText xml:space="preserve"> PAGEREF _Toc490481623 \h </w:instrText>
      </w:r>
      <w:r>
        <w:fldChar w:fldCharType="separate"/>
      </w:r>
      <w:r w:rsidR="00487073">
        <w:t>34</w:t>
      </w:r>
      <w:r>
        <w:fldChar w:fldCharType="end"/>
      </w:r>
    </w:p>
    <w:p w14:paraId="3A8CB731" w14:textId="77862A60" w:rsidR="005263DE" w:rsidRDefault="005263DE">
      <w:pPr>
        <w:pStyle w:val="TOC2"/>
        <w:tabs>
          <w:tab w:val="left" w:pos="1134"/>
        </w:tabs>
        <w:rPr>
          <w:rFonts w:asciiTheme="minorHAnsi" w:eastAsiaTheme="minorEastAsia" w:hAnsiTheme="minorHAnsi" w:cstheme="minorBidi"/>
          <w:szCs w:val="22"/>
          <w:lang w:val="en-AU"/>
        </w:rPr>
      </w:pPr>
      <w:r>
        <w:t>5.1.</w:t>
      </w:r>
      <w:r>
        <w:rPr>
          <w:rFonts w:asciiTheme="minorHAnsi" w:eastAsiaTheme="minorEastAsia" w:hAnsiTheme="minorHAnsi" w:cstheme="minorBidi"/>
          <w:szCs w:val="22"/>
          <w:lang w:val="en-AU"/>
        </w:rPr>
        <w:tab/>
      </w:r>
      <w:r>
        <w:t>Introduction</w:t>
      </w:r>
      <w:r>
        <w:tab/>
      </w:r>
      <w:r>
        <w:fldChar w:fldCharType="begin"/>
      </w:r>
      <w:r>
        <w:instrText xml:space="preserve"> PAGEREF _Toc490481624 \h </w:instrText>
      </w:r>
      <w:r>
        <w:fldChar w:fldCharType="separate"/>
      </w:r>
      <w:r w:rsidR="00487073">
        <w:t>35</w:t>
      </w:r>
      <w:r>
        <w:fldChar w:fldCharType="end"/>
      </w:r>
    </w:p>
    <w:p w14:paraId="435CAFE6" w14:textId="40559EB4" w:rsidR="005263DE" w:rsidRDefault="005263DE">
      <w:pPr>
        <w:pStyle w:val="TOC2"/>
        <w:tabs>
          <w:tab w:val="left" w:pos="1134"/>
        </w:tabs>
        <w:rPr>
          <w:rFonts w:asciiTheme="minorHAnsi" w:eastAsiaTheme="minorEastAsia" w:hAnsiTheme="minorHAnsi" w:cstheme="minorBidi"/>
          <w:szCs w:val="22"/>
          <w:lang w:val="en-AU"/>
        </w:rPr>
      </w:pPr>
      <w:r>
        <w:t>5.2.</w:t>
      </w:r>
      <w:r>
        <w:rPr>
          <w:rFonts w:asciiTheme="minorHAnsi" w:eastAsiaTheme="minorEastAsia" w:hAnsiTheme="minorHAnsi" w:cstheme="minorBidi"/>
          <w:szCs w:val="22"/>
          <w:lang w:val="en-AU"/>
        </w:rPr>
        <w:tab/>
      </w:r>
      <w:r>
        <w:t>Achievements against Reform Implementation Plan milestones and deliverables</w:t>
      </w:r>
      <w:r>
        <w:tab/>
      </w:r>
      <w:r>
        <w:fldChar w:fldCharType="begin"/>
      </w:r>
      <w:r>
        <w:instrText xml:space="preserve"> PAGEREF _Toc490481625 \h </w:instrText>
      </w:r>
      <w:r>
        <w:fldChar w:fldCharType="separate"/>
      </w:r>
      <w:r w:rsidR="00487073">
        <w:t>35</w:t>
      </w:r>
      <w:r>
        <w:fldChar w:fldCharType="end"/>
      </w:r>
    </w:p>
    <w:p w14:paraId="55D4EBA9" w14:textId="7E7EC9ED" w:rsidR="005263DE" w:rsidRDefault="005263DE">
      <w:pPr>
        <w:pStyle w:val="TOC2"/>
        <w:tabs>
          <w:tab w:val="left" w:pos="1134"/>
        </w:tabs>
        <w:rPr>
          <w:rFonts w:asciiTheme="minorHAnsi" w:eastAsiaTheme="minorEastAsia" w:hAnsiTheme="minorHAnsi" w:cstheme="minorBidi"/>
          <w:szCs w:val="22"/>
          <w:lang w:val="en-AU"/>
        </w:rPr>
      </w:pPr>
      <w:r>
        <w:t>5.3.</w:t>
      </w:r>
      <w:r>
        <w:rPr>
          <w:rFonts w:asciiTheme="minorHAnsi" w:eastAsiaTheme="minorEastAsia" w:hAnsiTheme="minorHAnsi" w:cstheme="minorBidi"/>
          <w:szCs w:val="22"/>
          <w:lang w:val="en-AU"/>
        </w:rPr>
        <w:tab/>
      </w:r>
      <w:r>
        <w:t>Achievements against measures of success</w:t>
      </w:r>
      <w:r>
        <w:tab/>
      </w:r>
      <w:r>
        <w:fldChar w:fldCharType="begin"/>
      </w:r>
      <w:r>
        <w:instrText xml:space="preserve"> PAGEREF _Toc490481626 \h </w:instrText>
      </w:r>
      <w:r>
        <w:fldChar w:fldCharType="separate"/>
      </w:r>
      <w:r w:rsidR="00487073">
        <w:t>39</w:t>
      </w:r>
      <w:r>
        <w:fldChar w:fldCharType="end"/>
      </w:r>
    </w:p>
    <w:p w14:paraId="64619BD1" w14:textId="13945176" w:rsidR="005263DE" w:rsidRDefault="005263DE">
      <w:pPr>
        <w:pStyle w:val="TOC2"/>
        <w:tabs>
          <w:tab w:val="left" w:pos="1134"/>
        </w:tabs>
        <w:rPr>
          <w:rFonts w:asciiTheme="minorHAnsi" w:eastAsiaTheme="minorEastAsia" w:hAnsiTheme="minorHAnsi" w:cstheme="minorBidi"/>
          <w:szCs w:val="22"/>
          <w:lang w:val="en-AU"/>
        </w:rPr>
      </w:pPr>
      <w:r>
        <w:t>5.4.</w:t>
      </w:r>
      <w:r>
        <w:rPr>
          <w:rFonts w:asciiTheme="minorHAnsi" w:eastAsiaTheme="minorEastAsia" w:hAnsiTheme="minorHAnsi" w:cstheme="minorBidi"/>
          <w:szCs w:val="22"/>
          <w:lang w:val="en-AU"/>
        </w:rPr>
        <w:tab/>
      </w:r>
      <w:r>
        <w:t>Post-implementation IAA service delivery developments</w:t>
      </w:r>
      <w:r>
        <w:tab/>
      </w:r>
      <w:r>
        <w:fldChar w:fldCharType="begin"/>
      </w:r>
      <w:r>
        <w:instrText xml:space="preserve"> PAGEREF _Toc490481627 \h </w:instrText>
      </w:r>
      <w:r>
        <w:fldChar w:fldCharType="separate"/>
      </w:r>
      <w:r w:rsidR="00487073">
        <w:t>57</w:t>
      </w:r>
      <w:r>
        <w:fldChar w:fldCharType="end"/>
      </w:r>
    </w:p>
    <w:p w14:paraId="0FA39092" w14:textId="48C773EC" w:rsidR="005263DE" w:rsidRDefault="005263DE">
      <w:pPr>
        <w:pStyle w:val="TOC1"/>
        <w:rPr>
          <w:rFonts w:asciiTheme="minorHAnsi" w:eastAsiaTheme="minorEastAsia" w:hAnsiTheme="minorHAnsi" w:cstheme="minorBidi"/>
          <w:b w:val="0"/>
          <w:color w:val="auto"/>
          <w:lang w:val="en-AU"/>
        </w:rPr>
      </w:pPr>
      <w:r>
        <w:t>6.</w:t>
      </w:r>
      <w:r>
        <w:rPr>
          <w:rFonts w:asciiTheme="minorHAnsi" w:eastAsiaTheme="minorEastAsia" w:hAnsiTheme="minorHAnsi" w:cstheme="minorBidi"/>
          <w:b w:val="0"/>
          <w:color w:val="auto"/>
          <w:lang w:val="en-AU"/>
        </w:rPr>
        <w:tab/>
      </w:r>
      <w:r>
        <w:t>Progress in relation to intended outcomes</w:t>
      </w:r>
      <w:r>
        <w:tab/>
      </w:r>
      <w:r>
        <w:fldChar w:fldCharType="begin"/>
      </w:r>
      <w:r>
        <w:instrText xml:space="preserve"> PAGEREF _Toc490481628 \h </w:instrText>
      </w:r>
      <w:r>
        <w:fldChar w:fldCharType="separate"/>
      </w:r>
      <w:r w:rsidR="00487073">
        <w:t>65</w:t>
      </w:r>
      <w:r>
        <w:fldChar w:fldCharType="end"/>
      </w:r>
    </w:p>
    <w:p w14:paraId="10EDFD3F" w14:textId="543A4B9E" w:rsidR="005263DE" w:rsidRDefault="005263DE">
      <w:pPr>
        <w:pStyle w:val="TOC2"/>
        <w:tabs>
          <w:tab w:val="left" w:pos="1134"/>
        </w:tabs>
        <w:rPr>
          <w:rFonts w:asciiTheme="minorHAnsi" w:eastAsiaTheme="minorEastAsia" w:hAnsiTheme="minorHAnsi" w:cstheme="minorBidi"/>
          <w:szCs w:val="22"/>
          <w:lang w:val="en-AU"/>
        </w:rPr>
      </w:pPr>
      <w:r>
        <w:t>6.1.</w:t>
      </w:r>
      <w:r>
        <w:rPr>
          <w:rFonts w:asciiTheme="minorHAnsi" w:eastAsiaTheme="minorEastAsia" w:hAnsiTheme="minorHAnsi" w:cstheme="minorBidi"/>
          <w:szCs w:val="22"/>
          <w:lang w:val="en-AU"/>
        </w:rPr>
        <w:tab/>
      </w:r>
      <w:r>
        <w:t>Introduction</w:t>
      </w:r>
      <w:r>
        <w:tab/>
      </w:r>
      <w:r>
        <w:fldChar w:fldCharType="begin"/>
      </w:r>
      <w:r>
        <w:instrText xml:space="preserve"> PAGEREF _Toc490481629 \h </w:instrText>
      </w:r>
      <w:r>
        <w:fldChar w:fldCharType="separate"/>
      </w:r>
      <w:r w:rsidR="00487073">
        <w:t>66</w:t>
      </w:r>
      <w:r>
        <w:fldChar w:fldCharType="end"/>
      </w:r>
    </w:p>
    <w:p w14:paraId="151902F3" w14:textId="05E1A8CF" w:rsidR="005263DE" w:rsidRDefault="005263DE">
      <w:pPr>
        <w:pStyle w:val="TOC2"/>
        <w:tabs>
          <w:tab w:val="left" w:pos="1134"/>
        </w:tabs>
        <w:rPr>
          <w:rFonts w:asciiTheme="minorHAnsi" w:eastAsiaTheme="minorEastAsia" w:hAnsiTheme="minorHAnsi" w:cstheme="minorBidi"/>
          <w:szCs w:val="22"/>
          <w:lang w:val="en-AU"/>
        </w:rPr>
      </w:pPr>
      <w:r>
        <w:t>6.2.</w:t>
      </w:r>
      <w:r>
        <w:rPr>
          <w:rFonts w:asciiTheme="minorHAnsi" w:eastAsiaTheme="minorEastAsia" w:hAnsiTheme="minorHAnsi" w:cstheme="minorBidi"/>
          <w:szCs w:val="22"/>
          <w:lang w:val="en-AU"/>
        </w:rPr>
        <w:tab/>
      </w:r>
      <w:r>
        <w:t>Prospective adoptive parents and adoptive parents have access to information and referral to support services</w:t>
      </w:r>
      <w:r>
        <w:tab/>
      </w:r>
      <w:r>
        <w:fldChar w:fldCharType="begin"/>
      </w:r>
      <w:r>
        <w:instrText xml:space="preserve"> PAGEREF _Toc490481630 \h </w:instrText>
      </w:r>
      <w:r>
        <w:fldChar w:fldCharType="separate"/>
      </w:r>
      <w:r w:rsidR="00487073">
        <w:t>66</w:t>
      </w:r>
      <w:r>
        <w:fldChar w:fldCharType="end"/>
      </w:r>
    </w:p>
    <w:p w14:paraId="7B92EC6E" w14:textId="03E43D2C" w:rsidR="005263DE" w:rsidRDefault="005263DE">
      <w:pPr>
        <w:pStyle w:val="TOC2"/>
        <w:tabs>
          <w:tab w:val="left" w:pos="1134"/>
        </w:tabs>
        <w:rPr>
          <w:rFonts w:asciiTheme="minorHAnsi" w:eastAsiaTheme="minorEastAsia" w:hAnsiTheme="minorHAnsi" w:cstheme="minorBidi"/>
          <w:szCs w:val="22"/>
          <w:lang w:val="en-AU"/>
        </w:rPr>
      </w:pPr>
      <w:r>
        <w:t>6.3.</w:t>
      </w:r>
      <w:r>
        <w:rPr>
          <w:rFonts w:asciiTheme="minorHAnsi" w:eastAsiaTheme="minorEastAsia" w:hAnsiTheme="minorHAnsi" w:cstheme="minorBidi"/>
          <w:szCs w:val="22"/>
          <w:lang w:val="en-AU"/>
        </w:rPr>
        <w:tab/>
      </w:r>
      <w:r>
        <w:t>Prospective adoptive parents and adoptive parents’ experiences of the ICA process are positive</w:t>
      </w:r>
      <w:r>
        <w:tab/>
      </w:r>
      <w:r>
        <w:fldChar w:fldCharType="begin"/>
      </w:r>
      <w:r>
        <w:instrText xml:space="preserve"> PAGEREF _Toc490481631 \h </w:instrText>
      </w:r>
      <w:r>
        <w:fldChar w:fldCharType="separate"/>
      </w:r>
      <w:r w:rsidR="00487073">
        <w:t>77</w:t>
      </w:r>
      <w:r>
        <w:fldChar w:fldCharType="end"/>
      </w:r>
    </w:p>
    <w:p w14:paraId="4E853517" w14:textId="6311E6EC" w:rsidR="005263DE" w:rsidRDefault="005263DE">
      <w:pPr>
        <w:pStyle w:val="TOC2"/>
        <w:tabs>
          <w:tab w:val="left" w:pos="1134"/>
        </w:tabs>
        <w:rPr>
          <w:rFonts w:asciiTheme="minorHAnsi" w:eastAsiaTheme="minorEastAsia" w:hAnsiTheme="minorHAnsi" w:cstheme="minorBidi"/>
          <w:szCs w:val="22"/>
          <w:lang w:val="en-AU"/>
        </w:rPr>
      </w:pPr>
      <w:r>
        <w:lastRenderedPageBreak/>
        <w:t>6.4.</w:t>
      </w:r>
      <w:r>
        <w:rPr>
          <w:rFonts w:asciiTheme="minorHAnsi" w:eastAsiaTheme="minorEastAsia" w:hAnsiTheme="minorHAnsi" w:cstheme="minorBidi"/>
          <w:szCs w:val="22"/>
          <w:lang w:val="en-AU"/>
        </w:rPr>
        <w:tab/>
      </w:r>
      <w:r>
        <w:t>Are adoptive parents’ experiences of immigration and passport processes improved?</w:t>
      </w:r>
      <w:r>
        <w:tab/>
      </w:r>
      <w:r>
        <w:fldChar w:fldCharType="begin"/>
      </w:r>
      <w:r>
        <w:instrText xml:space="preserve"> PAGEREF _Toc490481632 \h </w:instrText>
      </w:r>
      <w:r>
        <w:fldChar w:fldCharType="separate"/>
      </w:r>
      <w:r w:rsidR="00487073">
        <w:t>80</w:t>
      </w:r>
      <w:r>
        <w:fldChar w:fldCharType="end"/>
      </w:r>
    </w:p>
    <w:p w14:paraId="67529A61" w14:textId="3FE87057" w:rsidR="005263DE" w:rsidRDefault="005263DE">
      <w:pPr>
        <w:pStyle w:val="TOC2"/>
        <w:tabs>
          <w:tab w:val="left" w:pos="1134"/>
        </w:tabs>
        <w:rPr>
          <w:rFonts w:asciiTheme="minorHAnsi" w:eastAsiaTheme="minorEastAsia" w:hAnsiTheme="minorHAnsi" w:cstheme="minorBidi"/>
          <w:szCs w:val="22"/>
          <w:lang w:val="en-AU"/>
        </w:rPr>
      </w:pPr>
      <w:r>
        <w:t>6.5.</w:t>
      </w:r>
      <w:r>
        <w:rPr>
          <w:rFonts w:asciiTheme="minorHAnsi" w:eastAsiaTheme="minorEastAsia" w:hAnsiTheme="minorHAnsi" w:cstheme="minorBidi"/>
          <w:szCs w:val="22"/>
          <w:lang w:val="en-AU"/>
        </w:rPr>
        <w:tab/>
      </w:r>
      <w:r>
        <w:t>Does the service inform ICA policies and practices?</w:t>
      </w:r>
      <w:r>
        <w:tab/>
      </w:r>
      <w:r>
        <w:fldChar w:fldCharType="begin"/>
      </w:r>
      <w:r>
        <w:instrText xml:space="preserve"> PAGEREF _Toc490481633 \h </w:instrText>
      </w:r>
      <w:r>
        <w:fldChar w:fldCharType="separate"/>
      </w:r>
      <w:r w:rsidR="00487073">
        <w:t>81</w:t>
      </w:r>
      <w:r>
        <w:fldChar w:fldCharType="end"/>
      </w:r>
    </w:p>
    <w:p w14:paraId="66F97213" w14:textId="212B47D3" w:rsidR="005263DE" w:rsidRDefault="005263DE">
      <w:pPr>
        <w:pStyle w:val="TOC1"/>
        <w:rPr>
          <w:rFonts w:asciiTheme="minorHAnsi" w:eastAsiaTheme="minorEastAsia" w:hAnsiTheme="minorHAnsi" w:cstheme="minorBidi"/>
          <w:b w:val="0"/>
          <w:color w:val="auto"/>
          <w:lang w:val="en-AU"/>
        </w:rPr>
      </w:pPr>
      <w:r>
        <w:t>7.</w:t>
      </w:r>
      <w:r>
        <w:rPr>
          <w:rFonts w:asciiTheme="minorHAnsi" w:eastAsiaTheme="minorEastAsia" w:hAnsiTheme="minorHAnsi" w:cstheme="minorBidi"/>
          <w:b w:val="0"/>
          <w:color w:val="auto"/>
          <w:lang w:val="en-AU"/>
        </w:rPr>
        <w:tab/>
      </w:r>
      <w:r w:rsidRPr="00F11095">
        <w:rPr>
          <w:lang w:val="en-AU"/>
        </w:rPr>
        <w:t>Stakeholder suggestions for improvement going forward</w:t>
      </w:r>
      <w:r>
        <w:tab/>
      </w:r>
      <w:r>
        <w:fldChar w:fldCharType="begin"/>
      </w:r>
      <w:r>
        <w:instrText xml:space="preserve"> PAGEREF _Toc490481634 \h </w:instrText>
      </w:r>
      <w:r>
        <w:fldChar w:fldCharType="separate"/>
      </w:r>
      <w:r w:rsidR="00487073">
        <w:t>84</w:t>
      </w:r>
      <w:r>
        <w:fldChar w:fldCharType="end"/>
      </w:r>
    </w:p>
    <w:p w14:paraId="0A9A1FE4" w14:textId="07D6D47B" w:rsidR="005263DE" w:rsidRDefault="005263DE">
      <w:pPr>
        <w:pStyle w:val="TOC2"/>
        <w:tabs>
          <w:tab w:val="left" w:pos="1134"/>
        </w:tabs>
        <w:rPr>
          <w:rFonts w:asciiTheme="minorHAnsi" w:eastAsiaTheme="minorEastAsia" w:hAnsiTheme="minorHAnsi" w:cstheme="minorBidi"/>
          <w:szCs w:val="22"/>
          <w:lang w:val="en-AU"/>
        </w:rPr>
      </w:pPr>
      <w:r>
        <w:t>7.1.</w:t>
      </w:r>
      <w:r>
        <w:rPr>
          <w:rFonts w:asciiTheme="minorHAnsi" w:eastAsiaTheme="minorEastAsia" w:hAnsiTheme="minorHAnsi" w:cstheme="minorBidi"/>
          <w:szCs w:val="22"/>
          <w:lang w:val="en-AU"/>
        </w:rPr>
        <w:tab/>
      </w:r>
      <w:r>
        <w:t>Introduction</w:t>
      </w:r>
      <w:r>
        <w:tab/>
      </w:r>
      <w:r>
        <w:fldChar w:fldCharType="begin"/>
      </w:r>
      <w:r>
        <w:instrText xml:space="preserve"> PAGEREF _Toc490481635 \h </w:instrText>
      </w:r>
      <w:r>
        <w:fldChar w:fldCharType="separate"/>
      </w:r>
      <w:r w:rsidR="00487073">
        <w:t>85</w:t>
      </w:r>
      <w:r>
        <w:fldChar w:fldCharType="end"/>
      </w:r>
    </w:p>
    <w:p w14:paraId="55C63143" w14:textId="020C2B2B" w:rsidR="005263DE" w:rsidRDefault="005263DE">
      <w:pPr>
        <w:pStyle w:val="TOC2"/>
        <w:tabs>
          <w:tab w:val="left" w:pos="1134"/>
        </w:tabs>
        <w:rPr>
          <w:rFonts w:asciiTheme="minorHAnsi" w:eastAsiaTheme="minorEastAsia" w:hAnsiTheme="minorHAnsi" w:cstheme="minorBidi"/>
          <w:szCs w:val="22"/>
          <w:lang w:val="en-AU"/>
        </w:rPr>
      </w:pPr>
      <w:r>
        <w:t>7.2.</w:t>
      </w:r>
      <w:r>
        <w:rPr>
          <w:rFonts w:asciiTheme="minorHAnsi" w:eastAsiaTheme="minorEastAsia" w:hAnsiTheme="minorHAnsi" w:cstheme="minorBidi"/>
          <w:szCs w:val="22"/>
          <w:lang w:val="en-AU"/>
        </w:rPr>
        <w:tab/>
      </w:r>
      <w:r>
        <w:t>Client and parent/advocacy group perspectives</w:t>
      </w:r>
      <w:r>
        <w:tab/>
      </w:r>
      <w:r>
        <w:fldChar w:fldCharType="begin"/>
      </w:r>
      <w:r>
        <w:instrText xml:space="preserve"> PAGEREF _Toc490481636 \h </w:instrText>
      </w:r>
      <w:r>
        <w:fldChar w:fldCharType="separate"/>
      </w:r>
      <w:r w:rsidR="00487073">
        <w:t>85</w:t>
      </w:r>
      <w:r>
        <w:fldChar w:fldCharType="end"/>
      </w:r>
    </w:p>
    <w:p w14:paraId="2F5CC376" w14:textId="71BF080F" w:rsidR="005263DE" w:rsidRDefault="005263DE">
      <w:pPr>
        <w:pStyle w:val="TOC2"/>
        <w:tabs>
          <w:tab w:val="left" w:pos="1134"/>
        </w:tabs>
        <w:rPr>
          <w:rFonts w:asciiTheme="minorHAnsi" w:eastAsiaTheme="minorEastAsia" w:hAnsiTheme="minorHAnsi" w:cstheme="minorBidi"/>
          <w:szCs w:val="22"/>
          <w:lang w:val="en-AU"/>
        </w:rPr>
      </w:pPr>
      <w:r>
        <w:t>7.3.</w:t>
      </w:r>
      <w:r>
        <w:rPr>
          <w:rFonts w:asciiTheme="minorHAnsi" w:eastAsiaTheme="minorEastAsia" w:hAnsiTheme="minorHAnsi" w:cstheme="minorBidi"/>
          <w:szCs w:val="22"/>
          <w:lang w:val="en-AU"/>
        </w:rPr>
        <w:tab/>
      </w:r>
      <w:r>
        <w:t>STCA perspectives</w:t>
      </w:r>
      <w:r>
        <w:tab/>
      </w:r>
      <w:r>
        <w:fldChar w:fldCharType="begin"/>
      </w:r>
      <w:r>
        <w:instrText xml:space="preserve"> PAGEREF _Toc490481637 \h </w:instrText>
      </w:r>
      <w:r>
        <w:fldChar w:fldCharType="separate"/>
      </w:r>
      <w:r w:rsidR="00487073">
        <w:t>86</w:t>
      </w:r>
      <w:r>
        <w:fldChar w:fldCharType="end"/>
      </w:r>
    </w:p>
    <w:p w14:paraId="14C363D5" w14:textId="0270891C" w:rsidR="005263DE" w:rsidRDefault="005263DE">
      <w:pPr>
        <w:pStyle w:val="TOC2"/>
        <w:tabs>
          <w:tab w:val="left" w:pos="1134"/>
        </w:tabs>
        <w:rPr>
          <w:rFonts w:asciiTheme="minorHAnsi" w:eastAsiaTheme="minorEastAsia" w:hAnsiTheme="minorHAnsi" w:cstheme="minorBidi"/>
          <w:szCs w:val="22"/>
          <w:lang w:val="en-AU"/>
        </w:rPr>
      </w:pPr>
      <w:r>
        <w:t>7.4.</w:t>
      </w:r>
      <w:r>
        <w:rPr>
          <w:rFonts w:asciiTheme="minorHAnsi" w:eastAsiaTheme="minorEastAsia" w:hAnsiTheme="minorHAnsi" w:cstheme="minorBidi"/>
          <w:szCs w:val="22"/>
          <w:lang w:val="en-AU"/>
        </w:rPr>
        <w:tab/>
      </w:r>
      <w:r>
        <w:t>Academic perspectives</w:t>
      </w:r>
      <w:r>
        <w:tab/>
      </w:r>
      <w:r>
        <w:fldChar w:fldCharType="begin"/>
      </w:r>
      <w:r>
        <w:instrText xml:space="preserve"> PAGEREF _Toc490481638 \h </w:instrText>
      </w:r>
      <w:r>
        <w:fldChar w:fldCharType="separate"/>
      </w:r>
      <w:r w:rsidR="00487073">
        <w:t>87</w:t>
      </w:r>
      <w:r>
        <w:fldChar w:fldCharType="end"/>
      </w:r>
    </w:p>
    <w:p w14:paraId="26D98D51" w14:textId="282F1AD6" w:rsidR="005263DE" w:rsidRDefault="005263DE">
      <w:pPr>
        <w:pStyle w:val="TOC1"/>
        <w:rPr>
          <w:rFonts w:asciiTheme="minorHAnsi" w:eastAsiaTheme="minorEastAsia" w:hAnsiTheme="minorHAnsi" w:cstheme="minorBidi"/>
          <w:b w:val="0"/>
          <w:color w:val="auto"/>
          <w:lang w:val="en-AU"/>
        </w:rPr>
      </w:pPr>
      <w:r>
        <w:t>8.</w:t>
      </w:r>
      <w:r>
        <w:rPr>
          <w:rFonts w:asciiTheme="minorHAnsi" w:eastAsiaTheme="minorEastAsia" w:hAnsiTheme="minorHAnsi" w:cstheme="minorBidi"/>
          <w:b w:val="0"/>
          <w:color w:val="auto"/>
          <w:lang w:val="en-AU"/>
        </w:rPr>
        <w:tab/>
      </w:r>
      <w:r>
        <w:t>Discussion and conclusions</w:t>
      </w:r>
      <w:r>
        <w:tab/>
      </w:r>
      <w:r>
        <w:fldChar w:fldCharType="begin"/>
      </w:r>
      <w:r>
        <w:instrText xml:space="preserve"> PAGEREF _Toc490481639 \h </w:instrText>
      </w:r>
      <w:r>
        <w:fldChar w:fldCharType="separate"/>
      </w:r>
      <w:r w:rsidR="00487073">
        <w:t>89</w:t>
      </w:r>
      <w:r>
        <w:fldChar w:fldCharType="end"/>
      </w:r>
    </w:p>
    <w:p w14:paraId="030F12FA" w14:textId="5A621E64" w:rsidR="005263DE" w:rsidRDefault="005263DE">
      <w:pPr>
        <w:pStyle w:val="TOC2"/>
        <w:tabs>
          <w:tab w:val="left" w:pos="1134"/>
        </w:tabs>
        <w:rPr>
          <w:rFonts w:asciiTheme="minorHAnsi" w:eastAsiaTheme="minorEastAsia" w:hAnsiTheme="minorHAnsi" w:cstheme="minorBidi"/>
          <w:szCs w:val="22"/>
          <w:lang w:val="en-AU"/>
        </w:rPr>
      </w:pPr>
      <w:r>
        <w:t>8.1.</w:t>
      </w:r>
      <w:r>
        <w:rPr>
          <w:rFonts w:asciiTheme="minorHAnsi" w:eastAsiaTheme="minorEastAsia" w:hAnsiTheme="minorHAnsi" w:cstheme="minorBidi"/>
          <w:szCs w:val="22"/>
          <w:lang w:val="en-AU"/>
        </w:rPr>
        <w:tab/>
      </w:r>
      <w:r>
        <w:t>Introduction</w:t>
      </w:r>
      <w:r>
        <w:tab/>
      </w:r>
      <w:r>
        <w:fldChar w:fldCharType="begin"/>
      </w:r>
      <w:r>
        <w:instrText xml:space="preserve"> PAGEREF _Toc490481640 \h </w:instrText>
      </w:r>
      <w:r>
        <w:fldChar w:fldCharType="separate"/>
      </w:r>
      <w:r w:rsidR="00487073">
        <w:t>90</w:t>
      </w:r>
      <w:r>
        <w:fldChar w:fldCharType="end"/>
      </w:r>
    </w:p>
    <w:p w14:paraId="7457BD49" w14:textId="62202CE4" w:rsidR="005263DE" w:rsidRDefault="005263DE">
      <w:pPr>
        <w:pStyle w:val="TOC2"/>
        <w:tabs>
          <w:tab w:val="left" w:pos="1134"/>
        </w:tabs>
        <w:rPr>
          <w:rFonts w:asciiTheme="minorHAnsi" w:eastAsiaTheme="minorEastAsia" w:hAnsiTheme="minorHAnsi" w:cstheme="minorBidi"/>
          <w:szCs w:val="22"/>
          <w:lang w:val="en-AU"/>
        </w:rPr>
      </w:pPr>
      <w:r>
        <w:t>8.2.</w:t>
      </w:r>
      <w:r>
        <w:rPr>
          <w:rFonts w:asciiTheme="minorHAnsi" w:eastAsiaTheme="minorEastAsia" w:hAnsiTheme="minorHAnsi" w:cstheme="minorBidi"/>
          <w:szCs w:val="22"/>
          <w:lang w:val="en-AU"/>
        </w:rPr>
        <w:tab/>
      </w:r>
      <w:r>
        <w:t>Was IAA implemented as intended</w:t>
      </w:r>
      <w:r>
        <w:tab/>
      </w:r>
      <w:r>
        <w:fldChar w:fldCharType="begin"/>
      </w:r>
      <w:r>
        <w:instrText xml:space="preserve"> PAGEREF _Toc490481641 \h </w:instrText>
      </w:r>
      <w:r>
        <w:fldChar w:fldCharType="separate"/>
      </w:r>
      <w:r w:rsidR="00487073">
        <w:t>90</w:t>
      </w:r>
      <w:r>
        <w:fldChar w:fldCharType="end"/>
      </w:r>
    </w:p>
    <w:p w14:paraId="650589C3" w14:textId="17F2E1D8" w:rsidR="005263DE" w:rsidRDefault="005263DE">
      <w:pPr>
        <w:pStyle w:val="TOC2"/>
        <w:tabs>
          <w:tab w:val="left" w:pos="1134"/>
        </w:tabs>
        <w:rPr>
          <w:rFonts w:asciiTheme="minorHAnsi" w:eastAsiaTheme="minorEastAsia" w:hAnsiTheme="minorHAnsi" w:cstheme="minorBidi"/>
          <w:szCs w:val="22"/>
          <w:lang w:val="en-AU"/>
        </w:rPr>
      </w:pPr>
      <w:r>
        <w:t>8.3.</w:t>
      </w:r>
      <w:r>
        <w:rPr>
          <w:rFonts w:asciiTheme="minorHAnsi" w:eastAsiaTheme="minorEastAsia" w:hAnsiTheme="minorHAnsi" w:cstheme="minorBidi"/>
          <w:szCs w:val="22"/>
          <w:lang w:val="en-AU"/>
        </w:rPr>
        <w:tab/>
      </w:r>
      <w:r>
        <w:t>Implications of findings – key considerations going forward</w:t>
      </w:r>
      <w:r>
        <w:tab/>
      </w:r>
      <w:r>
        <w:fldChar w:fldCharType="begin"/>
      </w:r>
      <w:r>
        <w:instrText xml:space="preserve"> PAGEREF _Toc490481642 \h </w:instrText>
      </w:r>
      <w:r>
        <w:fldChar w:fldCharType="separate"/>
      </w:r>
      <w:r w:rsidR="00487073">
        <w:t>96</w:t>
      </w:r>
      <w:r>
        <w:fldChar w:fldCharType="end"/>
      </w:r>
    </w:p>
    <w:p w14:paraId="2082F281" w14:textId="27EE8B33" w:rsidR="005263DE" w:rsidRDefault="005263DE">
      <w:pPr>
        <w:pStyle w:val="TOC1"/>
        <w:rPr>
          <w:rFonts w:asciiTheme="minorHAnsi" w:eastAsiaTheme="minorEastAsia" w:hAnsiTheme="minorHAnsi" w:cstheme="minorBidi"/>
          <w:b w:val="0"/>
          <w:color w:val="auto"/>
          <w:lang w:val="en-AU"/>
        </w:rPr>
      </w:pPr>
      <w:r w:rsidRPr="00F11095">
        <w:t>Appendix A.</w:t>
      </w:r>
      <w:r>
        <w:rPr>
          <w:rFonts w:asciiTheme="minorHAnsi" w:eastAsiaTheme="minorEastAsia" w:hAnsiTheme="minorHAnsi" w:cstheme="minorBidi"/>
          <w:b w:val="0"/>
          <w:color w:val="auto"/>
          <w:lang w:val="en-AU"/>
        </w:rPr>
        <w:tab/>
      </w:r>
      <w:r>
        <w:t>Key considerations and support needs in ICA</w:t>
      </w:r>
      <w:r>
        <w:tab/>
      </w:r>
      <w:r>
        <w:fldChar w:fldCharType="begin"/>
      </w:r>
      <w:r>
        <w:instrText xml:space="preserve"> PAGEREF _Toc490481643 \h </w:instrText>
      </w:r>
      <w:r>
        <w:fldChar w:fldCharType="separate"/>
      </w:r>
      <w:r w:rsidR="00487073">
        <w:t>98</w:t>
      </w:r>
      <w:r>
        <w:fldChar w:fldCharType="end"/>
      </w:r>
    </w:p>
    <w:p w14:paraId="5A9E1195" w14:textId="263F46F0" w:rsidR="005263DE" w:rsidRDefault="005263DE">
      <w:pPr>
        <w:pStyle w:val="TOC1"/>
        <w:rPr>
          <w:rFonts w:asciiTheme="minorHAnsi" w:eastAsiaTheme="minorEastAsia" w:hAnsiTheme="minorHAnsi" w:cstheme="minorBidi"/>
          <w:b w:val="0"/>
          <w:color w:val="auto"/>
          <w:lang w:val="en-AU"/>
        </w:rPr>
      </w:pPr>
      <w:r w:rsidRPr="00F11095">
        <w:t>Appendix B.</w:t>
      </w:r>
      <w:r>
        <w:rPr>
          <w:rFonts w:asciiTheme="minorHAnsi" w:eastAsiaTheme="minorEastAsia" w:hAnsiTheme="minorHAnsi" w:cstheme="minorBidi"/>
          <w:b w:val="0"/>
          <w:color w:val="auto"/>
          <w:lang w:val="en-AU"/>
        </w:rPr>
        <w:tab/>
      </w:r>
      <w:r>
        <w:t>List of people consulted</w:t>
      </w:r>
      <w:r>
        <w:tab/>
      </w:r>
      <w:r>
        <w:fldChar w:fldCharType="begin"/>
      </w:r>
      <w:r>
        <w:instrText xml:space="preserve"> PAGEREF _Toc490481644 \h </w:instrText>
      </w:r>
      <w:r>
        <w:fldChar w:fldCharType="separate"/>
      </w:r>
      <w:r w:rsidR="00487073">
        <w:t>107</w:t>
      </w:r>
      <w:r>
        <w:fldChar w:fldCharType="end"/>
      </w:r>
    </w:p>
    <w:p w14:paraId="7D156F58" w14:textId="2F7A0BC4" w:rsidR="005263DE" w:rsidRDefault="005263DE">
      <w:pPr>
        <w:pStyle w:val="TOC1"/>
        <w:rPr>
          <w:rFonts w:asciiTheme="minorHAnsi" w:eastAsiaTheme="minorEastAsia" w:hAnsiTheme="minorHAnsi" w:cstheme="minorBidi"/>
          <w:b w:val="0"/>
          <w:color w:val="auto"/>
          <w:lang w:val="en-AU"/>
        </w:rPr>
      </w:pPr>
      <w:r w:rsidRPr="00F11095">
        <w:t>Appendix C.</w:t>
      </w:r>
      <w:r>
        <w:rPr>
          <w:rFonts w:asciiTheme="minorHAnsi" w:eastAsiaTheme="minorEastAsia" w:hAnsiTheme="minorHAnsi" w:cstheme="minorBidi"/>
          <w:b w:val="0"/>
          <w:color w:val="auto"/>
          <w:lang w:val="en-AU"/>
        </w:rPr>
        <w:tab/>
      </w:r>
      <w:r>
        <w:t>Survey results</w:t>
      </w:r>
      <w:r>
        <w:tab/>
      </w:r>
      <w:r>
        <w:fldChar w:fldCharType="begin"/>
      </w:r>
      <w:r>
        <w:instrText xml:space="preserve"> PAGEREF _Toc490481645 \h </w:instrText>
      </w:r>
      <w:r>
        <w:fldChar w:fldCharType="separate"/>
      </w:r>
      <w:r w:rsidR="00487073">
        <w:t>109</w:t>
      </w:r>
      <w:r>
        <w:fldChar w:fldCharType="end"/>
      </w:r>
    </w:p>
    <w:p w14:paraId="3A5D8A97" w14:textId="4FF2DC07" w:rsidR="005263DE" w:rsidRDefault="005263DE">
      <w:pPr>
        <w:pStyle w:val="TOC1"/>
        <w:rPr>
          <w:rFonts w:asciiTheme="minorHAnsi" w:eastAsiaTheme="minorEastAsia" w:hAnsiTheme="minorHAnsi" w:cstheme="minorBidi"/>
          <w:b w:val="0"/>
          <w:color w:val="auto"/>
          <w:lang w:val="en-AU"/>
        </w:rPr>
      </w:pPr>
      <w:r w:rsidRPr="00F11095">
        <w:t>Appendix D.</w:t>
      </w:r>
      <w:r>
        <w:rPr>
          <w:rFonts w:asciiTheme="minorHAnsi" w:eastAsiaTheme="minorEastAsia" w:hAnsiTheme="minorHAnsi" w:cstheme="minorBidi"/>
          <w:b w:val="0"/>
          <w:color w:val="auto"/>
          <w:lang w:val="en-AU"/>
        </w:rPr>
        <w:tab/>
      </w:r>
      <w:r>
        <w:t>Cited references</w:t>
      </w:r>
      <w:r>
        <w:tab/>
      </w:r>
      <w:r>
        <w:fldChar w:fldCharType="begin"/>
      </w:r>
      <w:r>
        <w:instrText xml:space="preserve"> PAGEREF _Toc490481646 \h </w:instrText>
      </w:r>
      <w:r>
        <w:fldChar w:fldCharType="separate"/>
      </w:r>
      <w:r w:rsidR="00487073">
        <w:t>123</w:t>
      </w:r>
      <w:r>
        <w:fldChar w:fldCharType="end"/>
      </w:r>
    </w:p>
    <w:p w14:paraId="0A88B421" w14:textId="656FBD14" w:rsidR="00EB056E" w:rsidRDefault="00863490" w:rsidP="009B184C">
      <w:r>
        <w:rPr>
          <w:noProof/>
        </w:rPr>
        <w:fldChar w:fldCharType="end"/>
      </w:r>
    </w:p>
    <w:p w14:paraId="39731321" w14:textId="54505737" w:rsidR="00EB056E" w:rsidRDefault="00EB056E" w:rsidP="00283E1C">
      <w:pPr>
        <w:pStyle w:val="TOCHeading2"/>
      </w:pPr>
      <w:bookmarkStart w:id="0" w:name="_Toc399928791"/>
      <w:r w:rsidRPr="00900E2D">
        <w:t xml:space="preserve">List of </w:t>
      </w:r>
      <w:r w:rsidR="00E07D8E">
        <w:t>T</w:t>
      </w:r>
      <w:r w:rsidRPr="003437A4">
        <w:t>ables</w:t>
      </w:r>
      <w:bookmarkEnd w:id="0"/>
    </w:p>
    <w:p w14:paraId="67CA9C38" w14:textId="42EFBD97" w:rsidR="005263DE" w:rsidRDefault="00863490">
      <w:pPr>
        <w:pStyle w:val="TableofFigures"/>
        <w:rPr>
          <w:rFonts w:asciiTheme="minorHAnsi" w:eastAsiaTheme="minorEastAsia" w:hAnsiTheme="minorHAnsi" w:cstheme="minorBidi"/>
          <w:noProof/>
          <w:lang w:val="en-AU" w:eastAsia="en-AU"/>
        </w:rPr>
      </w:pPr>
      <w:r>
        <w:fldChar w:fldCharType="begin"/>
      </w:r>
      <w:r w:rsidR="009A2C56">
        <w:instrText xml:space="preserve"> TOC \f T \h \z \c "Table" </w:instrText>
      </w:r>
      <w:r>
        <w:fldChar w:fldCharType="separate"/>
      </w:r>
      <w:hyperlink w:anchor="_Toc490481647" w:history="1">
        <w:r w:rsidR="005263DE" w:rsidRPr="00C77E0A">
          <w:rPr>
            <w:rStyle w:val="Hyperlink"/>
          </w:rPr>
          <w:t>Table 3</w:t>
        </w:r>
        <w:r w:rsidR="005263DE" w:rsidRPr="00C77E0A">
          <w:rPr>
            <w:rStyle w:val="Hyperlink"/>
          </w:rPr>
          <w:noBreakHyphen/>
          <w:t>1:</w:t>
        </w:r>
        <w:r w:rsidR="005263DE">
          <w:rPr>
            <w:rFonts w:asciiTheme="minorHAnsi" w:eastAsiaTheme="minorEastAsia" w:hAnsiTheme="minorHAnsi" w:cstheme="minorBidi"/>
            <w:noProof/>
            <w:lang w:val="en-AU" w:eastAsia="en-AU"/>
          </w:rPr>
          <w:tab/>
        </w:r>
        <w:r w:rsidR="005263DE" w:rsidRPr="00C77E0A">
          <w:rPr>
            <w:rStyle w:val="Hyperlink"/>
          </w:rPr>
          <w:t>General process for ICA in Australia</w:t>
        </w:r>
        <w:r w:rsidR="005263DE">
          <w:rPr>
            <w:noProof/>
            <w:webHidden/>
          </w:rPr>
          <w:tab/>
        </w:r>
        <w:r w:rsidR="005263DE">
          <w:rPr>
            <w:noProof/>
            <w:webHidden/>
          </w:rPr>
          <w:fldChar w:fldCharType="begin"/>
        </w:r>
        <w:r w:rsidR="005263DE">
          <w:rPr>
            <w:noProof/>
            <w:webHidden/>
          </w:rPr>
          <w:instrText xml:space="preserve"> PAGEREF _Toc490481647 \h </w:instrText>
        </w:r>
        <w:r w:rsidR="005263DE">
          <w:rPr>
            <w:noProof/>
            <w:webHidden/>
          </w:rPr>
        </w:r>
        <w:r w:rsidR="005263DE">
          <w:rPr>
            <w:noProof/>
            <w:webHidden/>
          </w:rPr>
          <w:fldChar w:fldCharType="separate"/>
        </w:r>
        <w:r w:rsidR="00487073">
          <w:rPr>
            <w:noProof/>
            <w:webHidden/>
          </w:rPr>
          <w:t>17</w:t>
        </w:r>
        <w:r w:rsidR="005263DE">
          <w:rPr>
            <w:noProof/>
            <w:webHidden/>
          </w:rPr>
          <w:fldChar w:fldCharType="end"/>
        </w:r>
      </w:hyperlink>
    </w:p>
    <w:p w14:paraId="62D7EF6D" w14:textId="4B63EFE7" w:rsidR="005263DE" w:rsidRDefault="000B67DE">
      <w:pPr>
        <w:pStyle w:val="TableofFigures"/>
        <w:rPr>
          <w:rFonts w:asciiTheme="minorHAnsi" w:eastAsiaTheme="minorEastAsia" w:hAnsiTheme="minorHAnsi" w:cstheme="minorBidi"/>
          <w:noProof/>
          <w:lang w:val="en-AU" w:eastAsia="en-AU"/>
        </w:rPr>
      </w:pPr>
      <w:hyperlink w:anchor="_Toc490481648" w:history="1">
        <w:r w:rsidR="005263DE" w:rsidRPr="00C77E0A">
          <w:rPr>
            <w:rStyle w:val="Hyperlink"/>
          </w:rPr>
          <w:t>Table 3</w:t>
        </w:r>
        <w:r w:rsidR="005263DE" w:rsidRPr="00C77E0A">
          <w:rPr>
            <w:rStyle w:val="Hyperlink"/>
          </w:rPr>
          <w:noBreakHyphen/>
          <w:t>2:</w:t>
        </w:r>
        <w:r w:rsidR="005263DE">
          <w:rPr>
            <w:rFonts w:asciiTheme="minorHAnsi" w:eastAsiaTheme="minorEastAsia" w:hAnsiTheme="minorHAnsi" w:cstheme="minorBidi"/>
            <w:noProof/>
            <w:lang w:val="en-AU" w:eastAsia="en-AU"/>
          </w:rPr>
          <w:tab/>
        </w:r>
        <w:r w:rsidR="005263DE" w:rsidRPr="00C77E0A">
          <w:rPr>
            <w:rStyle w:val="Hyperlink"/>
          </w:rPr>
          <w:t>Australia's ICA program status as at 31 August 2016</w:t>
        </w:r>
        <w:r w:rsidR="005263DE">
          <w:rPr>
            <w:noProof/>
            <w:webHidden/>
          </w:rPr>
          <w:tab/>
        </w:r>
        <w:r w:rsidR="005263DE">
          <w:rPr>
            <w:noProof/>
            <w:webHidden/>
          </w:rPr>
          <w:fldChar w:fldCharType="begin"/>
        </w:r>
        <w:r w:rsidR="005263DE">
          <w:rPr>
            <w:noProof/>
            <w:webHidden/>
          </w:rPr>
          <w:instrText xml:space="preserve"> PAGEREF _Toc490481648 \h </w:instrText>
        </w:r>
        <w:r w:rsidR="005263DE">
          <w:rPr>
            <w:noProof/>
            <w:webHidden/>
          </w:rPr>
        </w:r>
        <w:r w:rsidR="005263DE">
          <w:rPr>
            <w:noProof/>
            <w:webHidden/>
          </w:rPr>
          <w:fldChar w:fldCharType="separate"/>
        </w:r>
        <w:r w:rsidR="00487073">
          <w:rPr>
            <w:noProof/>
            <w:webHidden/>
          </w:rPr>
          <w:t>19</w:t>
        </w:r>
        <w:r w:rsidR="005263DE">
          <w:rPr>
            <w:noProof/>
            <w:webHidden/>
          </w:rPr>
          <w:fldChar w:fldCharType="end"/>
        </w:r>
      </w:hyperlink>
    </w:p>
    <w:p w14:paraId="110915B2" w14:textId="53B93D98" w:rsidR="005263DE" w:rsidRDefault="000B67DE">
      <w:pPr>
        <w:pStyle w:val="TableofFigures"/>
        <w:rPr>
          <w:rFonts w:asciiTheme="minorHAnsi" w:eastAsiaTheme="minorEastAsia" w:hAnsiTheme="minorHAnsi" w:cstheme="minorBidi"/>
          <w:noProof/>
          <w:lang w:val="en-AU" w:eastAsia="en-AU"/>
        </w:rPr>
      </w:pPr>
      <w:hyperlink w:anchor="_Toc490481649" w:history="1">
        <w:r w:rsidR="005263DE" w:rsidRPr="00C77E0A">
          <w:rPr>
            <w:rStyle w:val="Hyperlink"/>
          </w:rPr>
          <w:t>Table 3</w:t>
        </w:r>
        <w:r w:rsidR="005263DE" w:rsidRPr="00C77E0A">
          <w:rPr>
            <w:rStyle w:val="Hyperlink"/>
          </w:rPr>
          <w:noBreakHyphen/>
          <w:t>3:</w:t>
        </w:r>
        <w:r w:rsidR="005263DE">
          <w:rPr>
            <w:rFonts w:asciiTheme="minorHAnsi" w:eastAsiaTheme="minorEastAsia" w:hAnsiTheme="minorHAnsi" w:cstheme="minorBidi"/>
            <w:noProof/>
            <w:lang w:val="en-AU" w:eastAsia="en-AU"/>
          </w:rPr>
          <w:tab/>
        </w:r>
        <w:r w:rsidR="005263DE" w:rsidRPr="00C77E0A">
          <w:rPr>
            <w:rStyle w:val="Hyperlink"/>
          </w:rPr>
          <w:t>State/territory central authorities—information sources available to people interested/involved in ICA (current as at 31 August 2016)</w:t>
        </w:r>
        <w:r w:rsidR="005263DE">
          <w:rPr>
            <w:noProof/>
            <w:webHidden/>
          </w:rPr>
          <w:tab/>
        </w:r>
        <w:r w:rsidR="005263DE">
          <w:rPr>
            <w:noProof/>
            <w:webHidden/>
          </w:rPr>
          <w:fldChar w:fldCharType="begin"/>
        </w:r>
        <w:r w:rsidR="005263DE">
          <w:rPr>
            <w:noProof/>
            <w:webHidden/>
          </w:rPr>
          <w:instrText xml:space="preserve"> PAGEREF _Toc490481649 \h </w:instrText>
        </w:r>
        <w:r w:rsidR="005263DE">
          <w:rPr>
            <w:noProof/>
            <w:webHidden/>
          </w:rPr>
        </w:r>
        <w:r w:rsidR="005263DE">
          <w:rPr>
            <w:noProof/>
            <w:webHidden/>
          </w:rPr>
          <w:fldChar w:fldCharType="separate"/>
        </w:r>
        <w:r w:rsidR="00487073">
          <w:rPr>
            <w:noProof/>
            <w:webHidden/>
          </w:rPr>
          <w:t>24</w:t>
        </w:r>
        <w:r w:rsidR="005263DE">
          <w:rPr>
            <w:noProof/>
            <w:webHidden/>
          </w:rPr>
          <w:fldChar w:fldCharType="end"/>
        </w:r>
      </w:hyperlink>
    </w:p>
    <w:p w14:paraId="24921320" w14:textId="457CAF4C" w:rsidR="005263DE" w:rsidRDefault="000B67DE">
      <w:pPr>
        <w:pStyle w:val="TableofFigures"/>
        <w:rPr>
          <w:rFonts w:asciiTheme="minorHAnsi" w:eastAsiaTheme="minorEastAsia" w:hAnsiTheme="minorHAnsi" w:cstheme="minorBidi"/>
          <w:noProof/>
          <w:lang w:val="en-AU" w:eastAsia="en-AU"/>
        </w:rPr>
      </w:pPr>
      <w:hyperlink w:anchor="_Toc490481650" w:history="1">
        <w:r w:rsidR="005263DE" w:rsidRPr="00C77E0A">
          <w:rPr>
            <w:rStyle w:val="Hyperlink"/>
          </w:rPr>
          <w:t>Table 4</w:t>
        </w:r>
        <w:r w:rsidR="005263DE" w:rsidRPr="00C77E0A">
          <w:rPr>
            <w:rStyle w:val="Hyperlink"/>
          </w:rPr>
          <w:noBreakHyphen/>
          <w:t>1:</w:t>
        </w:r>
        <w:r w:rsidR="005263DE">
          <w:rPr>
            <w:rFonts w:asciiTheme="minorHAnsi" w:eastAsiaTheme="minorEastAsia" w:hAnsiTheme="minorHAnsi" w:cstheme="minorBidi"/>
            <w:noProof/>
            <w:lang w:val="en-AU" w:eastAsia="en-AU"/>
          </w:rPr>
          <w:tab/>
        </w:r>
        <w:r w:rsidR="005263DE" w:rsidRPr="00C77E0A">
          <w:rPr>
            <w:rStyle w:val="Hyperlink"/>
          </w:rPr>
          <w:t>Stakeholder participation</w:t>
        </w:r>
        <w:r w:rsidR="005263DE">
          <w:rPr>
            <w:noProof/>
            <w:webHidden/>
          </w:rPr>
          <w:tab/>
        </w:r>
        <w:r w:rsidR="005263DE">
          <w:rPr>
            <w:noProof/>
            <w:webHidden/>
          </w:rPr>
          <w:fldChar w:fldCharType="begin"/>
        </w:r>
        <w:r w:rsidR="005263DE">
          <w:rPr>
            <w:noProof/>
            <w:webHidden/>
          </w:rPr>
          <w:instrText xml:space="preserve"> PAGEREF _Toc490481650 \h </w:instrText>
        </w:r>
        <w:r w:rsidR="005263DE">
          <w:rPr>
            <w:noProof/>
            <w:webHidden/>
          </w:rPr>
        </w:r>
        <w:r w:rsidR="005263DE">
          <w:rPr>
            <w:noProof/>
            <w:webHidden/>
          </w:rPr>
          <w:fldChar w:fldCharType="separate"/>
        </w:r>
        <w:r w:rsidR="00487073">
          <w:rPr>
            <w:noProof/>
            <w:webHidden/>
          </w:rPr>
          <w:t>32</w:t>
        </w:r>
        <w:r w:rsidR="005263DE">
          <w:rPr>
            <w:noProof/>
            <w:webHidden/>
          </w:rPr>
          <w:fldChar w:fldCharType="end"/>
        </w:r>
      </w:hyperlink>
    </w:p>
    <w:p w14:paraId="12F474B7" w14:textId="3A68AE0F" w:rsidR="005263DE" w:rsidRDefault="000B67DE">
      <w:pPr>
        <w:pStyle w:val="TableofFigures"/>
        <w:rPr>
          <w:rFonts w:asciiTheme="minorHAnsi" w:eastAsiaTheme="minorEastAsia" w:hAnsiTheme="minorHAnsi" w:cstheme="minorBidi"/>
          <w:noProof/>
          <w:lang w:val="en-AU" w:eastAsia="en-AU"/>
        </w:rPr>
      </w:pPr>
      <w:hyperlink w:anchor="_Toc490481651" w:history="1">
        <w:r w:rsidR="005263DE" w:rsidRPr="00C77E0A">
          <w:rPr>
            <w:rStyle w:val="Hyperlink"/>
          </w:rPr>
          <w:t>Table 5</w:t>
        </w:r>
        <w:r w:rsidR="005263DE" w:rsidRPr="00C77E0A">
          <w:rPr>
            <w:rStyle w:val="Hyperlink"/>
          </w:rPr>
          <w:noBreakHyphen/>
          <w:t>1:</w:t>
        </w:r>
        <w:r w:rsidR="005263DE">
          <w:rPr>
            <w:rFonts w:asciiTheme="minorHAnsi" w:eastAsiaTheme="minorEastAsia" w:hAnsiTheme="minorHAnsi" w:cstheme="minorBidi"/>
            <w:noProof/>
            <w:lang w:val="en-AU" w:eastAsia="en-AU"/>
          </w:rPr>
          <w:tab/>
        </w:r>
        <w:r w:rsidR="005263DE" w:rsidRPr="00C77E0A">
          <w:rPr>
            <w:rStyle w:val="Hyperlink"/>
          </w:rPr>
          <w:t>Milestones/deliverables applicable to 1800 information line</w:t>
        </w:r>
        <w:r w:rsidR="005263DE">
          <w:rPr>
            <w:noProof/>
            <w:webHidden/>
          </w:rPr>
          <w:tab/>
        </w:r>
        <w:r w:rsidR="005263DE">
          <w:rPr>
            <w:noProof/>
            <w:webHidden/>
          </w:rPr>
          <w:fldChar w:fldCharType="begin"/>
        </w:r>
        <w:r w:rsidR="005263DE">
          <w:rPr>
            <w:noProof/>
            <w:webHidden/>
          </w:rPr>
          <w:instrText xml:space="preserve"> PAGEREF _Toc490481651 \h </w:instrText>
        </w:r>
        <w:r w:rsidR="005263DE">
          <w:rPr>
            <w:noProof/>
            <w:webHidden/>
          </w:rPr>
        </w:r>
        <w:r w:rsidR="005263DE">
          <w:rPr>
            <w:noProof/>
            <w:webHidden/>
          </w:rPr>
          <w:fldChar w:fldCharType="separate"/>
        </w:r>
        <w:r w:rsidR="00487073">
          <w:rPr>
            <w:noProof/>
            <w:webHidden/>
          </w:rPr>
          <w:t>36</w:t>
        </w:r>
        <w:r w:rsidR="005263DE">
          <w:rPr>
            <w:noProof/>
            <w:webHidden/>
          </w:rPr>
          <w:fldChar w:fldCharType="end"/>
        </w:r>
      </w:hyperlink>
    </w:p>
    <w:p w14:paraId="472E4BE6" w14:textId="251E6DFA" w:rsidR="005263DE" w:rsidRDefault="000B67DE">
      <w:pPr>
        <w:pStyle w:val="TableofFigures"/>
        <w:rPr>
          <w:rFonts w:asciiTheme="minorHAnsi" w:eastAsiaTheme="minorEastAsia" w:hAnsiTheme="minorHAnsi" w:cstheme="minorBidi"/>
          <w:noProof/>
          <w:lang w:val="en-AU" w:eastAsia="en-AU"/>
        </w:rPr>
      </w:pPr>
      <w:hyperlink w:anchor="_Toc490481652" w:history="1">
        <w:r w:rsidR="005263DE" w:rsidRPr="00C77E0A">
          <w:rPr>
            <w:rStyle w:val="Hyperlink"/>
          </w:rPr>
          <w:t>Table 5</w:t>
        </w:r>
        <w:r w:rsidR="005263DE" w:rsidRPr="00C77E0A">
          <w:rPr>
            <w:rStyle w:val="Hyperlink"/>
          </w:rPr>
          <w:noBreakHyphen/>
          <w:t>2:</w:t>
        </w:r>
        <w:r w:rsidR="005263DE">
          <w:rPr>
            <w:rFonts w:asciiTheme="minorHAnsi" w:eastAsiaTheme="minorEastAsia" w:hAnsiTheme="minorHAnsi" w:cstheme="minorBidi"/>
            <w:noProof/>
            <w:lang w:val="en-AU" w:eastAsia="en-AU"/>
          </w:rPr>
          <w:tab/>
        </w:r>
        <w:r w:rsidR="005263DE" w:rsidRPr="00C77E0A">
          <w:rPr>
            <w:rStyle w:val="Hyperlink"/>
          </w:rPr>
          <w:t>Milestones/deliverables applicable to IAA website</w:t>
        </w:r>
        <w:r w:rsidR="005263DE">
          <w:rPr>
            <w:noProof/>
            <w:webHidden/>
          </w:rPr>
          <w:tab/>
        </w:r>
        <w:r w:rsidR="005263DE">
          <w:rPr>
            <w:noProof/>
            <w:webHidden/>
          </w:rPr>
          <w:fldChar w:fldCharType="begin"/>
        </w:r>
        <w:r w:rsidR="005263DE">
          <w:rPr>
            <w:noProof/>
            <w:webHidden/>
          </w:rPr>
          <w:instrText xml:space="preserve"> PAGEREF _Toc490481652 \h </w:instrText>
        </w:r>
        <w:r w:rsidR="005263DE">
          <w:rPr>
            <w:noProof/>
            <w:webHidden/>
          </w:rPr>
        </w:r>
        <w:r w:rsidR="005263DE">
          <w:rPr>
            <w:noProof/>
            <w:webHidden/>
          </w:rPr>
          <w:fldChar w:fldCharType="separate"/>
        </w:r>
        <w:r w:rsidR="00487073">
          <w:rPr>
            <w:noProof/>
            <w:webHidden/>
          </w:rPr>
          <w:t>37</w:t>
        </w:r>
        <w:r w:rsidR="005263DE">
          <w:rPr>
            <w:noProof/>
            <w:webHidden/>
          </w:rPr>
          <w:fldChar w:fldCharType="end"/>
        </w:r>
      </w:hyperlink>
    </w:p>
    <w:p w14:paraId="562291F7" w14:textId="60FD7D56" w:rsidR="005263DE" w:rsidRDefault="000B67DE">
      <w:pPr>
        <w:pStyle w:val="TableofFigures"/>
        <w:rPr>
          <w:rFonts w:asciiTheme="minorHAnsi" w:eastAsiaTheme="minorEastAsia" w:hAnsiTheme="minorHAnsi" w:cstheme="minorBidi"/>
          <w:noProof/>
          <w:lang w:val="en-AU" w:eastAsia="en-AU"/>
        </w:rPr>
      </w:pPr>
      <w:hyperlink w:anchor="_Toc490481653" w:history="1">
        <w:r w:rsidR="005263DE" w:rsidRPr="00C77E0A">
          <w:rPr>
            <w:rStyle w:val="Hyperlink"/>
          </w:rPr>
          <w:t>Table 5</w:t>
        </w:r>
        <w:r w:rsidR="005263DE" w:rsidRPr="00C77E0A">
          <w:rPr>
            <w:rStyle w:val="Hyperlink"/>
          </w:rPr>
          <w:noBreakHyphen/>
          <w:t>3:</w:t>
        </w:r>
        <w:r w:rsidR="005263DE">
          <w:rPr>
            <w:rFonts w:asciiTheme="minorHAnsi" w:eastAsiaTheme="minorEastAsia" w:hAnsiTheme="minorHAnsi" w:cstheme="minorBidi"/>
            <w:noProof/>
            <w:lang w:val="en-AU" w:eastAsia="en-AU"/>
          </w:rPr>
          <w:tab/>
        </w:r>
        <w:r w:rsidR="005263DE" w:rsidRPr="00C77E0A">
          <w:rPr>
            <w:rStyle w:val="Hyperlink"/>
          </w:rPr>
          <w:t>Milestones/deliverables applicable to referral pathways</w:t>
        </w:r>
        <w:r w:rsidR="005263DE">
          <w:rPr>
            <w:noProof/>
            <w:webHidden/>
          </w:rPr>
          <w:tab/>
        </w:r>
        <w:r w:rsidR="005263DE">
          <w:rPr>
            <w:noProof/>
            <w:webHidden/>
          </w:rPr>
          <w:fldChar w:fldCharType="begin"/>
        </w:r>
        <w:r w:rsidR="005263DE">
          <w:rPr>
            <w:noProof/>
            <w:webHidden/>
          </w:rPr>
          <w:instrText xml:space="preserve"> PAGEREF _Toc490481653 \h </w:instrText>
        </w:r>
        <w:r w:rsidR="005263DE">
          <w:rPr>
            <w:noProof/>
            <w:webHidden/>
          </w:rPr>
        </w:r>
        <w:r w:rsidR="005263DE">
          <w:rPr>
            <w:noProof/>
            <w:webHidden/>
          </w:rPr>
          <w:fldChar w:fldCharType="separate"/>
        </w:r>
        <w:r w:rsidR="00487073">
          <w:rPr>
            <w:noProof/>
            <w:webHidden/>
          </w:rPr>
          <w:t>38</w:t>
        </w:r>
        <w:r w:rsidR="005263DE">
          <w:rPr>
            <w:noProof/>
            <w:webHidden/>
          </w:rPr>
          <w:fldChar w:fldCharType="end"/>
        </w:r>
      </w:hyperlink>
    </w:p>
    <w:p w14:paraId="0746A1A7" w14:textId="54BF25B0" w:rsidR="005263DE" w:rsidRDefault="000B67DE">
      <w:pPr>
        <w:pStyle w:val="TableofFigures"/>
        <w:rPr>
          <w:rFonts w:asciiTheme="minorHAnsi" w:eastAsiaTheme="minorEastAsia" w:hAnsiTheme="minorHAnsi" w:cstheme="minorBidi"/>
          <w:noProof/>
          <w:lang w:val="en-AU" w:eastAsia="en-AU"/>
        </w:rPr>
      </w:pPr>
      <w:hyperlink w:anchor="_Toc490481654" w:history="1">
        <w:r w:rsidR="005263DE" w:rsidRPr="00C77E0A">
          <w:rPr>
            <w:rStyle w:val="Hyperlink"/>
          </w:rPr>
          <w:t>Table 5</w:t>
        </w:r>
        <w:r w:rsidR="005263DE" w:rsidRPr="00C77E0A">
          <w:rPr>
            <w:rStyle w:val="Hyperlink"/>
          </w:rPr>
          <w:noBreakHyphen/>
          <w:t>4:</w:t>
        </w:r>
        <w:r w:rsidR="005263DE">
          <w:rPr>
            <w:rFonts w:asciiTheme="minorHAnsi" w:eastAsiaTheme="minorEastAsia" w:hAnsiTheme="minorHAnsi" w:cstheme="minorBidi"/>
            <w:noProof/>
            <w:lang w:val="en-AU" w:eastAsia="en-AU"/>
          </w:rPr>
          <w:tab/>
        </w:r>
        <w:r w:rsidR="005263DE" w:rsidRPr="00C77E0A">
          <w:rPr>
            <w:rStyle w:val="Hyperlink"/>
          </w:rPr>
          <w:t>Measures of success specified in Reform Implementation Plan</w:t>
        </w:r>
        <w:r w:rsidR="005263DE">
          <w:rPr>
            <w:noProof/>
            <w:webHidden/>
          </w:rPr>
          <w:tab/>
        </w:r>
        <w:r w:rsidR="005263DE">
          <w:rPr>
            <w:noProof/>
            <w:webHidden/>
          </w:rPr>
          <w:fldChar w:fldCharType="begin"/>
        </w:r>
        <w:r w:rsidR="005263DE">
          <w:rPr>
            <w:noProof/>
            <w:webHidden/>
          </w:rPr>
          <w:instrText xml:space="preserve"> PAGEREF _Toc490481654 \h </w:instrText>
        </w:r>
        <w:r w:rsidR="005263DE">
          <w:rPr>
            <w:noProof/>
            <w:webHidden/>
          </w:rPr>
        </w:r>
        <w:r w:rsidR="005263DE">
          <w:rPr>
            <w:noProof/>
            <w:webHidden/>
          </w:rPr>
          <w:fldChar w:fldCharType="separate"/>
        </w:r>
        <w:r w:rsidR="00487073">
          <w:rPr>
            <w:noProof/>
            <w:webHidden/>
          </w:rPr>
          <w:t>40</w:t>
        </w:r>
        <w:r w:rsidR="005263DE">
          <w:rPr>
            <w:noProof/>
            <w:webHidden/>
          </w:rPr>
          <w:fldChar w:fldCharType="end"/>
        </w:r>
      </w:hyperlink>
    </w:p>
    <w:p w14:paraId="3BB42CE1" w14:textId="10115147" w:rsidR="005263DE" w:rsidRDefault="000B67DE">
      <w:pPr>
        <w:pStyle w:val="TableofFigures"/>
        <w:rPr>
          <w:rFonts w:asciiTheme="minorHAnsi" w:eastAsiaTheme="minorEastAsia" w:hAnsiTheme="minorHAnsi" w:cstheme="minorBidi"/>
          <w:noProof/>
          <w:lang w:val="en-AU" w:eastAsia="en-AU"/>
        </w:rPr>
      </w:pPr>
      <w:hyperlink w:anchor="_Toc490481655" w:history="1">
        <w:r w:rsidR="005263DE" w:rsidRPr="00C77E0A">
          <w:rPr>
            <w:rStyle w:val="Hyperlink"/>
          </w:rPr>
          <w:t>Table 5</w:t>
        </w:r>
        <w:r w:rsidR="005263DE" w:rsidRPr="00C77E0A">
          <w:rPr>
            <w:rStyle w:val="Hyperlink"/>
          </w:rPr>
          <w:noBreakHyphen/>
          <w:t>5:</w:t>
        </w:r>
        <w:r w:rsidR="005263DE">
          <w:rPr>
            <w:rFonts w:asciiTheme="minorHAnsi" w:eastAsiaTheme="minorEastAsia" w:hAnsiTheme="minorHAnsi" w:cstheme="minorBidi"/>
            <w:noProof/>
            <w:lang w:val="en-AU" w:eastAsia="en-AU"/>
          </w:rPr>
          <w:tab/>
        </w:r>
        <w:r w:rsidR="005263DE" w:rsidRPr="00C77E0A">
          <w:rPr>
            <w:rStyle w:val="Hyperlink"/>
          </w:rPr>
          <w:t>Web analytics by city</w:t>
        </w:r>
        <w:r w:rsidR="005263DE">
          <w:rPr>
            <w:noProof/>
            <w:webHidden/>
          </w:rPr>
          <w:tab/>
        </w:r>
        <w:r w:rsidR="005263DE">
          <w:rPr>
            <w:noProof/>
            <w:webHidden/>
          </w:rPr>
          <w:fldChar w:fldCharType="begin"/>
        </w:r>
        <w:r w:rsidR="005263DE">
          <w:rPr>
            <w:noProof/>
            <w:webHidden/>
          </w:rPr>
          <w:instrText xml:space="preserve"> PAGEREF _Toc490481655 \h </w:instrText>
        </w:r>
        <w:r w:rsidR="005263DE">
          <w:rPr>
            <w:noProof/>
            <w:webHidden/>
          </w:rPr>
        </w:r>
        <w:r w:rsidR="005263DE">
          <w:rPr>
            <w:noProof/>
            <w:webHidden/>
          </w:rPr>
          <w:fldChar w:fldCharType="separate"/>
        </w:r>
        <w:r w:rsidR="00487073">
          <w:rPr>
            <w:noProof/>
            <w:webHidden/>
          </w:rPr>
          <w:t>42</w:t>
        </w:r>
        <w:r w:rsidR="005263DE">
          <w:rPr>
            <w:noProof/>
            <w:webHidden/>
          </w:rPr>
          <w:fldChar w:fldCharType="end"/>
        </w:r>
      </w:hyperlink>
    </w:p>
    <w:p w14:paraId="0A2A89D6" w14:textId="3DBC29EE" w:rsidR="005263DE" w:rsidRDefault="000B67DE">
      <w:pPr>
        <w:pStyle w:val="TableofFigures"/>
        <w:rPr>
          <w:rFonts w:asciiTheme="minorHAnsi" w:eastAsiaTheme="minorEastAsia" w:hAnsiTheme="minorHAnsi" w:cstheme="minorBidi"/>
          <w:noProof/>
          <w:lang w:val="en-AU" w:eastAsia="en-AU"/>
        </w:rPr>
      </w:pPr>
      <w:hyperlink w:anchor="_Toc490481656" w:history="1">
        <w:r w:rsidR="005263DE" w:rsidRPr="00C77E0A">
          <w:rPr>
            <w:rStyle w:val="Hyperlink"/>
          </w:rPr>
          <w:t>Table 5</w:t>
        </w:r>
        <w:r w:rsidR="005263DE" w:rsidRPr="00C77E0A">
          <w:rPr>
            <w:rStyle w:val="Hyperlink"/>
          </w:rPr>
          <w:noBreakHyphen/>
          <w:t>6:</w:t>
        </w:r>
        <w:r w:rsidR="005263DE">
          <w:rPr>
            <w:rFonts w:asciiTheme="minorHAnsi" w:eastAsiaTheme="minorEastAsia" w:hAnsiTheme="minorHAnsi" w:cstheme="minorBidi"/>
            <w:noProof/>
            <w:lang w:val="en-AU" w:eastAsia="en-AU"/>
          </w:rPr>
          <w:tab/>
        </w:r>
        <w:r w:rsidR="005263DE" w:rsidRPr="00C77E0A">
          <w:rPr>
            <w:rStyle w:val="Hyperlink"/>
          </w:rPr>
          <w:t>Achievements related to service usage measures</w:t>
        </w:r>
        <w:r w:rsidR="005263DE">
          <w:rPr>
            <w:noProof/>
            <w:webHidden/>
          </w:rPr>
          <w:tab/>
        </w:r>
        <w:r w:rsidR="005263DE">
          <w:rPr>
            <w:noProof/>
            <w:webHidden/>
          </w:rPr>
          <w:fldChar w:fldCharType="begin"/>
        </w:r>
        <w:r w:rsidR="005263DE">
          <w:rPr>
            <w:noProof/>
            <w:webHidden/>
          </w:rPr>
          <w:instrText xml:space="preserve"> PAGEREF _Toc490481656 \h </w:instrText>
        </w:r>
        <w:r w:rsidR="005263DE">
          <w:rPr>
            <w:noProof/>
            <w:webHidden/>
          </w:rPr>
        </w:r>
        <w:r w:rsidR="005263DE">
          <w:rPr>
            <w:noProof/>
            <w:webHidden/>
          </w:rPr>
          <w:fldChar w:fldCharType="separate"/>
        </w:r>
        <w:r w:rsidR="00487073">
          <w:rPr>
            <w:noProof/>
            <w:webHidden/>
          </w:rPr>
          <w:t>43</w:t>
        </w:r>
        <w:r w:rsidR="005263DE">
          <w:rPr>
            <w:noProof/>
            <w:webHidden/>
          </w:rPr>
          <w:fldChar w:fldCharType="end"/>
        </w:r>
      </w:hyperlink>
    </w:p>
    <w:p w14:paraId="1CF67EE8" w14:textId="29010444" w:rsidR="005263DE" w:rsidRDefault="000B67DE">
      <w:pPr>
        <w:pStyle w:val="TableofFigures"/>
        <w:rPr>
          <w:rFonts w:asciiTheme="minorHAnsi" w:eastAsiaTheme="minorEastAsia" w:hAnsiTheme="minorHAnsi" w:cstheme="minorBidi"/>
          <w:noProof/>
          <w:lang w:val="en-AU" w:eastAsia="en-AU"/>
        </w:rPr>
      </w:pPr>
      <w:hyperlink w:anchor="_Toc490481657" w:history="1">
        <w:r w:rsidR="005263DE" w:rsidRPr="00C77E0A">
          <w:rPr>
            <w:rStyle w:val="Hyperlink"/>
          </w:rPr>
          <w:t>Table 5</w:t>
        </w:r>
        <w:r w:rsidR="005263DE" w:rsidRPr="00C77E0A">
          <w:rPr>
            <w:rStyle w:val="Hyperlink"/>
          </w:rPr>
          <w:noBreakHyphen/>
          <w:t>7:</w:t>
        </w:r>
        <w:r w:rsidR="005263DE">
          <w:rPr>
            <w:rFonts w:asciiTheme="minorHAnsi" w:eastAsiaTheme="minorEastAsia" w:hAnsiTheme="minorHAnsi" w:cstheme="minorBidi"/>
            <w:noProof/>
            <w:lang w:val="en-AU" w:eastAsia="en-AU"/>
          </w:rPr>
          <w:tab/>
        </w:r>
        <w:r w:rsidR="005263DE" w:rsidRPr="00C77E0A">
          <w:rPr>
            <w:rStyle w:val="Hyperlink"/>
          </w:rPr>
          <w:t>Achievements related to operational success measures</w:t>
        </w:r>
        <w:r w:rsidR="005263DE">
          <w:rPr>
            <w:noProof/>
            <w:webHidden/>
          </w:rPr>
          <w:tab/>
        </w:r>
        <w:r w:rsidR="005263DE">
          <w:rPr>
            <w:noProof/>
            <w:webHidden/>
          </w:rPr>
          <w:fldChar w:fldCharType="begin"/>
        </w:r>
        <w:r w:rsidR="005263DE">
          <w:rPr>
            <w:noProof/>
            <w:webHidden/>
          </w:rPr>
          <w:instrText xml:space="preserve"> PAGEREF _Toc490481657 \h </w:instrText>
        </w:r>
        <w:r w:rsidR="005263DE">
          <w:rPr>
            <w:noProof/>
            <w:webHidden/>
          </w:rPr>
        </w:r>
        <w:r w:rsidR="005263DE">
          <w:rPr>
            <w:noProof/>
            <w:webHidden/>
          </w:rPr>
          <w:fldChar w:fldCharType="separate"/>
        </w:r>
        <w:r w:rsidR="00487073">
          <w:rPr>
            <w:noProof/>
            <w:webHidden/>
          </w:rPr>
          <w:t>44</w:t>
        </w:r>
        <w:r w:rsidR="005263DE">
          <w:rPr>
            <w:noProof/>
            <w:webHidden/>
          </w:rPr>
          <w:fldChar w:fldCharType="end"/>
        </w:r>
      </w:hyperlink>
    </w:p>
    <w:p w14:paraId="376F4B8B" w14:textId="4BBC6C2B" w:rsidR="005263DE" w:rsidRDefault="000B67DE">
      <w:pPr>
        <w:pStyle w:val="TableofFigures"/>
        <w:rPr>
          <w:rFonts w:asciiTheme="minorHAnsi" w:eastAsiaTheme="minorEastAsia" w:hAnsiTheme="minorHAnsi" w:cstheme="minorBidi"/>
          <w:noProof/>
          <w:lang w:val="en-AU" w:eastAsia="en-AU"/>
        </w:rPr>
      </w:pPr>
      <w:hyperlink w:anchor="_Toc490481658" w:history="1">
        <w:r w:rsidR="005263DE" w:rsidRPr="00C77E0A">
          <w:rPr>
            <w:rStyle w:val="Hyperlink"/>
          </w:rPr>
          <w:t>Table 5</w:t>
        </w:r>
        <w:r w:rsidR="005263DE" w:rsidRPr="00C77E0A">
          <w:rPr>
            <w:rStyle w:val="Hyperlink"/>
          </w:rPr>
          <w:noBreakHyphen/>
          <w:t>8:</w:t>
        </w:r>
        <w:r w:rsidR="005263DE">
          <w:rPr>
            <w:rFonts w:asciiTheme="minorHAnsi" w:eastAsiaTheme="minorEastAsia" w:hAnsiTheme="minorHAnsi" w:cstheme="minorBidi"/>
            <w:noProof/>
            <w:lang w:val="en-AU" w:eastAsia="en-AU"/>
          </w:rPr>
          <w:tab/>
        </w:r>
        <w:r w:rsidR="005263DE" w:rsidRPr="00C77E0A">
          <w:rPr>
            <w:rStyle w:val="Hyperlink"/>
          </w:rPr>
          <w:t>Client satisfaction with the action taken in interaction with IAA</w:t>
        </w:r>
        <w:r w:rsidR="005263DE">
          <w:rPr>
            <w:noProof/>
            <w:webHidden/>
          </w:rPr>
          <w:tab/>
        </w:r>
        <w:r w:rsidR="005263DE">
          <w:rPr>
            <w:noProof/>
            <w:webHidden/>
          </w:rPr>
          <w:fldChar w:fldCharType="begin"/>
        </w:r>
        <w:r w:rsidR="005263DE">
          <w:rPr>
            <w:noProof/>
            <w:webHidden/>
          </w:rPr>
          <w:instrText xml:space="preserve"> PAGEREF _Toc490481658 \h </w:instrText>
        </w:r>
        <w:r w:rsidR="005263DE">
          <w:rPr>
            <w:noProof/>
            <w:webHidden/>
          </w:rPr>
        </w:r>
        <w:r w:rsidR="005263DE">
          <w:rPr>
            <w:noProof/>
            <w:webHidden/>
          </w:rPr>
          <w:fldChar w:fldCharType="separate"/>
        </w:r>
        <w:r w:rsidR="00487073">
          <w:rPr>
            <w:noProof/>
            <w:webHidden/>
          </w:rPr>
          <w:t>47</w:t>
        </w:r>
        <w:r w:rsidR="005263DE">
          <w:rPr>
            <w:noProof/>
            <w:webHidden/>
          </w:rPr>
          <w:fldChar w:fldCharType="end"/>
        </w:r>
      </w:hyperlink>
    </w:p>
    <w:p w14:paraId="43B1F55A" w14:textId="74DE4C50" w:rsidR="005263DE" w:rsidRDefault="000B67DE">
      <w:pPr>
        <w:pStyle w:val="TableofFigures"/>
        <w:rPr>
          <w:rFonts w:asciiTheme="minorHAnsi" w:eastAsiaTheme="minorEastAsia" w:hAnsiTheme="minorHAnsi" w:cstheme="minorBidi"/>
          <w:noProof/>
          <w:lang w:val="en-AU" w:eastAsia="en-AU"/>
        </w:rPr>
      </w:pPr>
      <w:hyperlink w:anchor="_Toc490481659" w:history="1">
        <w:r w:rsidR="005263DE" w:rsidRPr="00C77E0A">
          <w:rPr>
            <w:rStyle w:val="Hyperlink"/>
          </w:rPr>
          <w:t>Table 5</w:t>
        </w:r>
        <w:r w:rsidR="005263DE" w:rsidRPr="00C77E0A">
          <w:rPr>
            <w:rStyle w:val="Hyperlink"/>
          </w:rPr>
          <w:noBreakHyphen/>
          <w:t>9:</w:t>
        </w:r>
        <w:r w:rsidR="005263DE">
          <w:rPr>
            <w:rFonts w:asciiTheme="minorHAnsi" w:eastAsiaTheme="minorEastAsia" w:hAnsiTheme="minorHAnsi" w:cstheme="minorBidi"/>
            <w:noProof/>
            <w:lang w:val="en-AU" w:eastAsia="en-AU"/>
          </w:rPr>
          <w:tab/>
        </w:r>
        <w:r w:rsidR="005263DE" w:rsidRPr="00C77E0A">
          <w:rPr>
            <w:rStyle w:val="Hyperlink"/>
          </w:rPr>
          <w:t>Parental respondents' usage of IAA’s information line</w:t>
        </w:r>
        <w:r w:rsidR="005263DE">
          <w:rPr>
            <w:noProof/>
            <w:webHidden/>
          </w:rPr>
          <w:tab/>
        </w:r>
        <w:r w:rsidR="005263DE">
          <w:rPr>
            <w:noProof/>
            <w:webHidden/>
          </w:rPr>
          <w:fldChar w:fldCharType="begin"/>
        </w:r>
        <w:r w:rsidR="005263DE">
          <w:rPr>
            <w:noProof/>
            <w:webHidden/>
          </w:rPr>
          <w:instrText xml:space="preserve"> PAGEREF _Toc490481659 \h </w:instrText>
        </w:r>
        <w:r w:rsidR="005263DE">
          <w:rPr>
            <w:noProof/>
            <w:webHidden/>
          </w:rPr>
        </w:r>
        <w:r w:rsidR="005263DE">
          <w:rPr>
            <w:noProof/>
            <w:webHidden/>
          </w:rPr>
          <w:fldChar w:fldCharType="separate"/>
        </w:r>
        <w:r w:rsidR="00487073">
          <w:rPr>
            <w:noProof/>
            <w:webHidden/>
          </w:rPr>
          <w:t>49</w:t>
        </w:r>
        <w:r w:rsidR="005263DE">
          <w:rPr>
            <w:noProof/>
            <w:webHidden/>
          </w:rPr>
          <w:fldChar w:fldCharType="end"/>
        </w:r>
      </w:hyperlink>
    </w:p>
    <w:p w14:paraId="1D1E6014" w14:textId="3B422FC4" w:rsidR="005263DE" w:rsidRDefault="000B67DE">
      <w:pPr>
        <w:pStyle w:val="TableofFigures"/>
        <w:rPr>
          <w:rFonts w:asciiTheme="minorHAnsi" w:eastAsiaTheme="minorEastAsia" w:hAnsiTheme="minorHAnsi" w:cstheme="minorBidi"/>
          <w:noProof/>
          <w:lang w:val="en-AU" w:eastAsia="en-AU"/>
        </w:rPr>
      </w:pPr>
      <w:hyperlink w:anchor="_Toc490481660" w:history="1">
        <w:r w:rsidR="005263DE" w:rsidRPr="00C77E0A">
          <w:rPr>
            <w:rStyle w:val="Hyperlink"/>
          </w:rPr>
          <w:t>Table 5</w:t>
        </w:r>
        <w:r w:rsidR="005263DE" w:rsidRPr="00C77E0A">
          <w:rPr>
            <w:rStyle w:val="Hyperlink"/>
          </w:rPr>
          <w:noBreakHyphen/>
          <w:t>10:</w:t>
        </w:r>
        <w:r w:rsidR="005263DE">
          <w:rPr>
            <w:rFonts w:asciiTheme="minorHAnsi" w:eastAsiaTheme="minorEastAsia" w:hAnsiTheme="minorHAnsi" w:cstheme="minorBidi"/>
            <w:noProof/>
            <w:lang w:val="en-AU" w:eastAsia="en-AU"/>
          </w:rPr>
          <w:tab/>
        </w:r>
        <w:r w:rsidR="005263DE" w:rsidRPr="00C77E0A">
          <w:rPr>
            <w:rStyle w:val="Hyperlink"/>
          </w:rPr>
          <w:t>Parental respondents’ assessment of the usefulness of information provided by information line staff</w:t>
        </w:r>
        <w:r w:rsidR="005263DE">
          <w:rPr>
            <w:noProof/>
            <w:webHidden/>
          </w:rPr>
          <w:tab/>
        </w:r>
        <w:r w:rsidR="005263DE">
          <w:rPr>
            <w:noProof/>
            <w:webHidden/>
          </w:rPr>
          <w:fldChar w:fldCharType="begin"/>
        </w:r>
        <w:r w:rsidR="005263DE">
          <w:rPr>
            <w:noProof/>
            <w:webHidden/>
          </w:rPr>
          <w:instrText xml:space="preserve"> PAGEREF _Toc490481660 \h </w:instrText>
        </w:r>
        <w:r w:rsidR="005263DE">
          <w:rPr>
            <w:noProof/>
            <w:webHidden/>
          </w:rPr>
        </w:r>
        <w:r w:rsidR="005263DE">
          <w:rPr>
            <w:noProof/>
            <w:webHidden/>
          </w:rPr>
          <w:fldChar w:fldCharType="separate"/>
        </w:r>
        <w:r w:rsidR="00487073">
          <w:rPr>
            <w:noProof/>
            <w:webHidden/>
          </w:rPr>
          <w:t>49</w:t>
        </w:r>
        <w:r w:rsidR="005263DE">
          <w:rPr>
            <w:noProof/>
            <w:webHidden/>
          </w:rPr>
          <w:fldChar w:fldCharType="end"/>
        </w:r>
      </w:hyperlink>
    </w:p>
    <w:p w14:paraId="3158A5B3" w14:textId="2EDEDDB3" w:rsidR="005263DE" w:rsidRDefault="000B67DE">
      <w:pPr>
        <w:pStyle w:val="TableofFigures"/>
        <w:rPr>
          <w:rFonts w:asciiTheme="minorHAnsi" w:eastAsiaTheme="minorEastAsia" w:hAnsiTheme="minorHAnsi" w:cstheme="minorBidi"/>
          <w:noProof/>
          <w:lang w:val="en-AU" w:eastAsia="en-AU"/>
        </w:rPr>
      </w:pPr>
      <w:hyperlink w:anchor="_Toc490481661" w:history="1">
        <w:r w:rsidR="005263DE" w:rsidRPr="00C77E0A">
          <w:rPr>
            <w:rStyle w:val="Hyperlink"/>
          </w:rPr>
          <w:t>Table 5</w:t>
        </w:r>
        <w:r w:rsidR="005263DE" w:rsidRPr="00C77E0A">
          <w:rPr>
            <w:rStyle w:val="Hyperlink"/>
          </w:rPr>
          <w:noBreakHyphen/>
          <w:t>11:</w:t>
        </w:r>
        <w:r w:rsidR="005263DE">
          <w:rPr>
            <w:rFonts w:asciiTheme="minorHAnsi" w:eastAsiaTheme="minorEastAsia" w:hAnsiTheme="minorHAnsi" w:cstheme="minorBidi"/>
            <w:noProof/>
            <w:lang w:val="en-AU" w:eastAsia="en-AU"/>
          </w:rPr>
          <w:tab/>
        </w:r>
        <w:r w:rsidR="005263DE" w:rsidRPr="00C77E0A">
          <w:rPr>
            <w:rStyle w:val="Hyperlink"/>
          </w:rPr>
          <w:t>IAA website usage by parental respondents</w:t>
        </w:r>
        <w:r w:rsidR="005263DE">
          <w:rPr>
            <w:noProof/>
            <w:webHidden/>
          </w:rPr>
          <w:tab/>
        </w:r>
        <w:r w:rsidR="005263DE">
          <w:rPr>
            <w:noProof/>
            <w:webHidden/>
          </w:rPr>
          <w:fldChar w:fldCharType="begin"/>
        </w:r>
        <w:r w:rsidR="005263DE">
          <w:rPr>
            <w:noProof/>
            <w:webHidden/>
          </w:rPr>
          <w:instrText xml:space="preserve"> PAGEREF _Toc490481661 \h </w:instrText>
        </w:r>
        <w:r w:rsidR="005263DE">
          <w:rPr>
            <w:noProof/>
            <w:webHidden/>
          </w:rPr>
        </w:r>
        <w:r w:rsidR="005263DE">
          <w:rPr>
            <w:noProof/>
            <w:webHidden/>
          </w:rPr>
          <w:fldChar w:fldCharType="separate"/>
        </w:r>
        <w:r w:rsidR="00487073">
          <w:rPr>
            <w:noProof/>
            <w:webHidden/>
          </w:rPr>
          <w:t>50</w:t>
        </w:r>
        <w:r w:rsidR="005263DE">
          <w:rPr>
            <w:noProof/>
            <w:webHidden/>
          </w:rPr>
          <w:fldChar w:fldCharType="end"/>
        </w:r>
      </w:hyperlink>
    </w:p>
    <w:p w14:paraId="30D993FA" w14:textId="14B45DCA" w:rsidR="005263DE" w:rsidRDefault="000B67DE">
      <w:pPr>
        <w:pStyle w:val="TableofFigures"/>
        <w:rPr>
          <w:rFonts w:asciiTheme="minorHAnsi" w:eastAsiaTheme="minorEastAsia" w:hAnsiTheme="minorHAnsi" w:cstheme="minorBidi"/>
          <w:noProof/>
          <w:lang w:val="en-AU" w:eastAsia="en-AU"/>
        </w:rPr>
      </w:pPr>
      <w:hyperlink w:anchor="_Toc490481662" w:history="1">
        <w:r w:rsidR="005263DE" w:rsidRPr="00C77E0A">
          <w:rPr>
            <w:rStyle w:val="Hyperlink"/>
          </w:rPr>
          <w:t>Table 5</w:t>
        </w:r>
        <w:r w:rsidR="005263DE" w:rsidRPr="00C77E0A">
          <w:rPr>
            <w:rStyle w:val="Hyperlink"/>
          </w:rPr>
          <w:noBreakHyphen/>
          <w:t>12:</w:t>
        </w:r>
        <w:r w:rsidR="005263DE">
          <w:rPr>
            <w:rFonts w:asciiTheme="minorHAnsi" w:eastAsiaTheme="minorEastAsia" w:hAnsiTheme="minorHAnsi" w:cstheme="minorBidi"/>
            <w:noProof/>
            <w:lang w:val="en-AU" w:eastAsia="en-AU"/>
          </w:rPr>
          <w:tab/>
        </w:r>
        <w:r w:rsidR="005263DE" w:rsidRPr="00C77E0A">
          <w:rPr>
            <w:rStyle w:val="Hyperlink"/>
          </w:rPr>
          <w:t>Parental respondent’s assessment of the usefulness of website information</w:t>
        </w:r>
        <w:r w:rsidR="005263DE">
          <w:rPr>
            <w:noProof/>
            <w:webHidden/>
          </w:rPr>
          <w:tab/>
        </w:r>
        <w:r w:rsidR="005263DE">
          <w:rPr>
            <w:noProof/>
            <w:webHidden/>
          </w:rPr>
          <w:fldChar w:fldCharType="begin"/>
        </w:r>
        <w:r w:rsidR="005263DE">
          <w:rPr>
            <w:noProof/>
            <w:webHidden/>
          </w:rPr>
          <w:instrText xml:space="preserve"> PAGEREF _Toc490481662 \h </w:instrText>
        </w:r>
        <w:r w:rsidR="005263DE">
          <w:rPr>
            <w:noProof/>
            <w:webHidden/>
          </w:rPr>
        </w:r>
        <w:r w:rsidR="005263DE">
          <w:rPr>
            <w:noProof/>
            <w:webHidden/>
          </w:rPr>
          <w:fldChar w:fldCharType="separate"/>
        </w:r>
        <w:r w:rsidR="00487073">
          <w:rPr>
            <w:noProof/>
            <w:webHidden/>
          </w:rPr>
          <w:t>51</w:t>
        </w:r>
        <w:r w:rsidR="005263DE">
          <w:rPr>
            <w:noProof/>
            <w:webHidden/>
          </w:rPr>
          <w:fldChar w:fldCharType="end"/>
        </w:r>
      </w:hyperlink>
    </w:p>
    <w:p w14:paraId="260EB065" w14:textId="29F0CECD" w:rsidR="005263DE" w:rsidRDefault="000B67DE">
      <w:pPr>
        <w:pStyle w:val="TableofFigures"/>
        <w:rPr>
          <w:rFonts w:asciiTheme="minorHAnsi" w:eastAsiaTheme="minorEastAsia" w:hAnsiTheme="minorHAnsi" w:cstheme="minorBidi"/>
          <w:noProof/>
          <w:lang w:val="en-AU" w:eastAsia="en-AU"/>
        </w:rPr>
      </w:pPr>
      <w:hyperlink w:anchor="_Toc490481663" w:history="1">
        <w:r w:rsidR="005263DE" w:rsidRPr="00C77E0A">
          <w:rPr>
            <w:rStyle w:val="Hyperlink"/>
          </w:rPr>
          <w:t>Table 5</w:t>
        </w:r>
        <w:r w:rsidR="005263DE" w:rsidRPr="00C77E0A">
          <w:rPr>
            <w:rStyle w:val="Hyperlink"/>
          </w:rPr>
          <w:noBreakHyphen/>
          <w:t>13:</w:t>
        </w:r>
        <w:r w:rsidR="005263DE">
          <w:rPr>
            <w:rFonts w:asciiTheme="minorHAnsi" w:eastAsiaTheme="minorEastAsia" w:hAnsiTheme="minorHAnsi" w:cstheme="minorBidi"/>
            <w:noProof/>
            <w:lang w:val="en-AU" w:eastAsia="en-AU"/>
          </w:rPr>
          <w:tab/>
        </w:r>
        <w:r w:rsidR="005263DE" w:rsidRPr="00C77E0A">
          <w:rPr>
            <w:rStyle w:val="Hyperlink"/>
          </w:rPr>
          <w:t>Usage of online contact form</w:t>
        </w:r>
        <w:r w:rsidR="005263DE">
          <w:rPr>
            <w:noProof/>
            <w:webHidden/>
          </w:rPr>
          <w:tab/>
        </w:r>
        <w:r w:rsidR="005263DE">
          <w:rPr>
            <w:noProof/>
            <w:webHidden/>
          </w:rPr>
          <w:fldChar w:fldCharType="begin"/>
        </w:r>
        <w:r w:rsidR="005263DE">
          <w:rPr>
            <w:noProof/>
            <w:webHidden/>
          </w:rPr>
          <w:instrText xml:space="preserve"> PAGEREF _Toc490481663 \h </w:instrText>
        </w:r>
        <w:r w:rsidR="005263DE">
          <w:rPr>
            <w:noProof/>
            <w:webHidden/>
          </w:rPr>
        </w:r>
        <w:r w:rsidR="005263DE">
          <w:rPr>
            <w:noProof/>
            <w:webHidden/>
          </w:rPr>
          <w:fldChar w:fldCharType="separate"/>
        </w:r>
        <w:r w:rsidR="00487073">
          <w:rPr>
            <w:noProof/>
            <w:webHidden/>
          </w:rPr>
          <w:t>51</w:t>
        </w:r>
        <w:r w:rsidR="005263DE">
          <w:rPr>
            <w:noProof/>
            <w:webHidden/>
          </w:rPr>
          <w:fldChar w:fldCharType="end"/>
        </w:r>
      </w:hyperlink>
    </w:p>
    <w:p w14:paraId="1C91CC9D" w14:textId="55488A34" w:rsidR="005263DE" w:rsidRDefault="000B67DE">
      <w:pPr>
        <w:pStyle w:val="TableofFigures"/>
        <w:rPr>
          <w:rFonts w:asciiTheme="minorHAnsi" w:eastAsiaTheme="minorEastAsia" w:hAnsiTheme="minorHAnsi" w:cstheme="minorBidi"/>
          <w:noProof/>
          <w:lang w:val="en-AU" w:eastAsia="en-AU"/>
        </w:rPr>
      </w:pPr>
      <w:hyperlink w:anchor="_Toc490481664" w:history="1">
        <w:r w:rsidR="005263DE" w:rsidRPr="00C77E0A">
          <w:rPr>
            <w:rStyle w:val="Hyperlink"/>
          </w:rPr>
          <w:t>Table 5</w:t>
        </w:r>
        <w:r w:rsidR="005263DE" w:rsidRPr="00C77E0A">
          <w:rPr>
            <w:rStyle w:val="Hyperlink"/>
          </w:rPr>
          <w:noBreakHyphen/>
          <w:t>14:</w:t>
        </w:r>
        <w:r w:rsidR="005263DE">
          <w:rPr>
            <w:rFonts w:asciiTheme="minorHAnsi" w:eastAsiaTheme="minorEastAsia" w:hAnsiTheme="minorHAnsi" w:cstheme="minorBidi"/>
            <w:noProof/>
            <w:lang w:val="en-AU" w:eastAsia="en-AU"/>
          </w:rPr>
          <w:tab/>
        </w:r>
        <w:r w:rsidR="005263DE" w:rsidRPr="00C77E0A">
          <w:rPr>
            <w:rStyle w:val="Hyperlink"/>
          </w:rPr>
          <w:t>How satisfied were you with the timeliness of the response you received to the online contact form?</w:t>
        </w:r>
        <w:r w:rsidR="005263DE">
          <w:rPr>
            <w:noProof/>
            <w:webHidden/>
          </w:rPr>
          <w:tab/>
        </w:r>
        <w:r w:rsidR="005263DE">
          <w:rPr>
            <w:noProof/>
            <w:webHidden/>
          </w:rPr>
          <w:fldChar w:fldCharType="begin"/>
        </w:r>
        <w:r w:rsidR="005263DE">
          <w:rPr>
            <w:noProof/>
            <w:webHidden/>
          </w:rPr>
          <w:instrText xml:space="preserve"> PAGEREF _Toc490481664 \h </w:instrText>
        </w:r>
        <w:r w:rsidR="005263DE">
          <w:rPr>
            <w:noProof/>
            <w:webHidden/>
          </w:rPr>
        </w:r>
        <w:r w:rsidR="005263DE">
          <w:rPr>
            <w:noProof/>
            <w:webHidden/>
          </w:rPr>
          <w:fldChar w:fldCharType="separate"/>
        </w:r>
        <w:r w:rsidR="00487073">
          <w:rPr>
            <w:noProof/>
            <w:webHidden/>
          </w:rPr>
          <w:t>52</w:t>
        </w:r>
        <w:r w:rsidR="005263DE">
          <w:rPr>
            <w:noProof/>
            <w:webHidden/>
          </w:rPr>
          <w:fldChar w:fldCharType="end"/>
        </w:r>
      </w:hyperlink>
    </w:p>
    <w:p w14:paraId="2063662C" w14:textId="001B1477" w:rsidR="005263DE" w:rsidRDefault="000B67DE">
      <w:pPr>
        <w:pStyle w:val="TableofFigures"/>
        <w:rPr>
          <w:rFonts w:asciiTheme="minorHAnsi" w:eastAsiaTheme="minorEastAsia" w:hAnsiTheme="minorHAnsi" w:cstheme="minorBidi"/>
          <w:noProof/>
          <w:lang w:val="en-AU" w:eastAsia="en-AU"/>
        </w:rPr>
      </w:pPr>
      <w:hyperlink w:anchor="_Toc490481665" w:history="1">
        <w:r w:rsidR="005263DE" w:rsidRPr="00C77E0A">
          <w:rPr>
            <w:rStyle w:val="Hyperlink"/>
          </w:rPr>
          <w:t>Table 5</w:t>
        </w:r>
        <w:r w:rsidR="005263DE" w:rsidRPr="00C77E0A">
          <w:rPr>
            <w:rStyle w:val="Hyperlink"/>
          </w:rPr>
          <w:noBreakHyphen/>
          <w:t>15:</w:t>
        </w:r>
        <w:r w:rsidR="005263DE">
          <w:rPr>
            <w:rFonts w:asciiTheme="minorHAnsi" w:eastAsiaTheme="minorEastAsia" w:hAnsiTheme="minorHAnsi" w:cstheme="minorBidi"/>
            <w:noProof/>
            <w:lang w:val="en-AU" w:eastAsia="en-AU"/>
          </w:rPr>
          <w:tab/>
        </w:r>
        <w:r w:rsidR="005263DE" w:rsidRPr="00C77E0A">
          <w:rPr>
            <w:rStyle w:val="Hyperlink"/>
          </w:rPr>
          <w:t>How satisfied were you with the usefulness of the response you received to the online contact form?</w:t>
        </w:r>
        <w:r w:rsidR="005263DE">
          <w:rPr>
            <w:noProof/>
            <w:webHidden/>
          </w:rPr>
          <w:tab/>
        </w:r>
        <w:r w:rsidR="005263DE">
          <w:rPr>
            <w:noProof/>
            <w:webHidden/>
          </w:rPr>
          <w:fldChar w:fldCharType="begin"/>
        </w:r>
        <w:r w:rsidR="005263DE">
          <w:rPr>
            <w:noProof/>
            <w:webHidden/>
          </w:rPr>
          <w:instrText xml:space="preserve"> PAGEREF _Toc490481665 \h </w:instrText>
        </w:r>
        <w:r w:rsidR="005263DE">
          <w:rPr>
            <w:noProof/>
            <w:webHidden/>
          </w:rPr>
        </w:r>
        <w:r w:rsidR="005263DE">
          <w:rPr>
            <w:noProof/>
            <w:webHidden/>
          </w:rPr>
          <w:fldChar w:fldCharType="separate"/>
        </w:r>
        <w:r w:rsidR="00487073">
          <w:rPr>
            <w:noProof/>
            <w:webHidden/>
          </w:rPr>
          <w:t>52</w:t>
        </w:r>
        <w:r w:rsidR="005263DE">
          <w:rPr>
            <w:noProof/>
            <w:webHidden/>
          </w:rPr>
          <w:fldChar w:fldCharType="end"/>
        </w:r>
      </w:hyperlink>
    </w:p>
    <w:p w14:paraId="2053763C" w14:textId="7D6D424D" w:rsidR="005263DE" w:rsidRDefault="000B67DE">
      <w:pPr>
        <w:pStyle w:val="TableofFigures"/>
        <w:rPr>
          <w:rFonts w:asciiTheme="minorHAnsi" w:eastAsiaTheme="minorEastAsia" w:hAnsiTheme="minorHAnsi" w:cstheme="minorBidi"/>
          <w:noProof/>
          <w:lang w:val="en-AU" w:eastAsia="en-AU"/>
        </w:rPr>
      </w:pPr>
      <w:hyperlink w:anchor="_Toc490481666" w:history="1">
        <w:r w:rsidR="005263DE" w:rsidRPr="00C77E0A">
          <w:rPr>
            <w:rStyle w:val="Hyperlink"/>
          </w:rPr>
          <w:t>Table 6</w:t>
        </w:r>
        <w:r w:rsidR="005263DE" w:rsidRPr="00C77E0A">
          <w:rPr>
            <w:rStyle w:val="Hyperlink"/>
          </w:rPr>
          <w:noBreakHyphen/>
          <w:t>1:</w:t>
        </w:r>
        <w:r w:rsidR="005263DE">
          <w:rPr>
            <w:rFonts w:asciiTheme="minorHAnsi" w:eastAsiaTheme="minorEastAsia" w:hAnsiTheme="minorHAnsi" w:cstheme="minorBidi"/>
            <w:noProof/>
            <w:lang w:val="en-AU" w:eastAsia="en-AU"/>
          </w:rPr>
          <w:tab/>
        </w:r>
        <w:r w:rsidR="005263DE" w:rsidRPr="00C77E0A">
          <w:rPr>
            <w:rStyle w:val="Hyperlink"/>
          </w:rPr>
          <w:t>Reason why respondent did not use 1800 information line</w:t>
        </w:r>
        <w:r w:rsidR="005263DE">
          <w:rPr>
            <w:noProof/>
            <w:webHidden/>
          </w:rPr>
          <w:tab/>
        </w:r>
        <w:r w:rsidR="005263DE">
          <w:rPr>
            <w:noProof/>
            <w:webHidden/>
          </w:rPr>
          <w:fldChar w:fldCharType="begin"/>
        </w:r>
        <w:r w:rsidR="005263DE">
          <w:rPr>
            <w:noProof/>
            <w:webHidden/>
          </w:rPr>
          <w:instrText xml:space="preserve"> PAGEREF _Toc490481666 \h </w:instrText>
        </w:r>
        <w:r w:rsidR="005263DE">
          <w:rPr>
            <w:noProof/>
            <w:webHidden/>
          </w:rPr>
        </w:r>
        <w:r w:rsidR="005263DE">
          <w:rPr>
            <w:noProof/>
            <w:webHidden/>
          </w:rPr>
          <w:fldChar w:fldCharType="separate"/>
        </w:r>
        <w:r w:rsidR="00487073">
          <w:rPr>
            <w:noProof/>
            <w:webHidden/>
          </w:rPr>
          <w:t>69</w:t>
        </w:r>
        <w:r w:rsidR="005263DE">
          <w:rPr>
            <w:noProof/>
            <w:webHidden/>
          </w:rPr>
          <w:fldChar w:fldCharType="end"/>
        </w:r>
      </w:hyperlink>
    </w:p>
    <w:p w14:paraId="3CEBA3E1" w14:textId="7AB47BD0" w:rsidR="005263DE" w:rsidRDefault="000B67DE">
      <w:pPr>
        <w:pStyle w:val="TableofFigures"/>
        <w:rPr>
          <w:rFonts w:asciiTheme="minorHAnsi" w:eastAsiaTheme="minorEastAsia" w:hAnsiTheme="minorHAnsi" w:cstheme="minorBidi"/>
          <w:noProof/>
          <w:lang w:val="en-AU" w:eastAsia="en-AU"/>
        </w:rPr>
      </w:pPr>
      <w:hyperlink w:anchor="_Toc490481667" w:history="1">
        <w:r w:rsidR="005263DE" w:rsidRPr="00C77E0A">
          <w:rPr>
            <w:rStyle w:val="Hyperlink"/>
          </w:rPr>
          <w:t>Table 6</w:t>
        </w:r>
        <w:r w:rsidR="005263DE" w:rsidRPr="00C77E0A">
          <w:rPr>
            <w:rStyle w:val="Hyperlink"/>
          </w:rPr>
          <w:noBreakHyphen/>
          <w:t>2:</w:t>
        </w:r>
        <w:r w:rsidR="005263DE">
          <w:rPr>
            <w:rFonts w:asciiTheme="minorHAnsi" w:eastAsiaTheme="minorEastAsia" w:hAnsiTheme="minorHAnsi" w:cstheme="minorBidi"/>
            <w:noProof/>
            <w:lang w:val="en-AU" w:eastAsia="en-AU"/>
          </w:rPr>
          <w:tab/>
        </w:r>
        <w:r w:rsidR="005263DE" w:rsidRPr="00C77E0A">
          <w:rPr>
            <w:rStyle w:val="Hyperlink"/>
          </w:rPr>
          <w:t>Reasons for not using the website</w:t>
        </w:r>
        <w:r w:rsidR="005263DE">
          <w:rPr>
            <w:noProof/>
            <w:webHidden/>
          </w:rPr>
          <w:tab/>
        </w:r>
        <w:r w:rsidR="005263DE">
          <w:rPr>
            <w:noProof/>
            <w:webHidden/>
          </w:rPr>
          <w:fldChar w:fldCharType="begin"/>
        </w:r>
        <w:r w:rsidR="005263DE">
          <w:rPr>
            <w:noProof/>
            <w:webHidden/>
          </w:rPr>
          <w:instrText xml:space="preserve"> PAGEREF _Toc490481667 \h </w:instrText>
        </w:r>
        <w:r w:rsidR="005263DE">
          <w:rPr>
            <w:noProof/>
            <w:webHidden/>
          </w:rPr>
        </w:r>
        <w:r w:rsidR="005263DE">
          <w:rPr>
            <w:noProof/>
            <w:webHidden/>
          </w:rPr>
          <w:fldChar w:fldCharType="separate"/>
        </w:r>
        <w:r w:rsidR="00487073">
          <w:rPr>
            <w:noProof/>
            <w:webHidden/>
          </w:rPr>
          <w:t>70</w:t>
        </w:r>
        <w:r w:rsidR="005263DE">
          <w:rPr>
            <w:noProof/>
            <w:webHidden/>
          </w:rPr>
          <w:fldChar w:fldCharType="end"/>
        </w:r>
      </w:hyperlink>
    </w:p>
    <w:p w14:paraId="36FABE8A" w14:textId="65CD6F7F" w:rsidR="005263DE" w:rsidRDefault="000B67DE">
      <w:pPr>
        <w:pStyle w:val="TableofFigures"/>
        <w:rPr>
          <w:rFonts w:asciiTheme="minorHAnsi" w:eastAsiaTheme="minorEastAsia" w:hAnsiTheme="minorHAnsi" w:cstheme="minorBidi"/>
          <w:noProof/>
          <w:lang w:val="en-AU" w:eastAsia="en-AU"/>
        </w:rPr>
      </w:pPr>
      <w:hyperlink w:anchor="_Toc490481668" w:history="1">
        <w:r w:rsidR="005263DE" w:rsidRPr="00C77E0A">
          <w:rPr>
            <w:rStyle w:val="Hyperlink"/>
          </w:rPr>
          <w:t>Table 6</w:t>
        </w:r>
        <w:r w:rsidR="005263DE" w:rsidRPr="00C77E0A">
          <w:rPr>
            <w:rStyle w:val="Hyperlink"/>
          </w:rPr>
          <w:noBreakHyphen/>
          <w:t>3:</w:t>
        </w:r>
        <w:r w:rsidR="005263DE">
          <w:rPr>
            <w:rFonts w:asciiTheme="minorHAnsi" w:eastAsiaTheme="minorEastAsia" w:hAnsiTheme="minorHAnsi" w:cstheme="minorBidi"/>
            <w:noProof/>
            <w:lang w:val="en-AU" w:eastAsia="en-AU"/>
          </w:rPr>
          <w:tab/>
        </w:r>
        <w:r w:rsidR="005263DE" w:rsidRPr="00C77E0A">
          <w:rPr>
            <w:rStyle w:val="Hyperlink"/>
          </w:rPr>
          <w:t>How respondents first heard about the IAA website</w:t>
        </w:r>
        <w:r w:rsidR="005263DE">
          <w:rPr>
            <w:noProof/>
            <w:webHidden/>
          </w:rPr>
          <w:tab/>
        </w:r>
        <w:r w:rsidR="005263DE">
          <w:rPr>
            <w:noProof/>
            <w:webHidden/>
          </w:rPr>
          <w:fldChar w:fldCharType="begin"/>
        </w:r>
        <w:r w:rsidR="005263DE">
          <w:rPr>
            <w:noProof/>
            <w:webHidden/>
          </w:rPr>
          <w:instrText xml:space="preserve"> PAGEREF _Toc490481668 \h </w:instrText>
        </w:r>
        <w:r w:rsidR="005263DE">
          <w:rPr>
            <w:noProof/>
            <w:webHidden/>
          </w:rPr>
        </w:r>
        <w:r w:rsidR="005263DE">
          <w:rPr>
            <w:noProof/>
            <w:webHidden/>
          </w:rPr>
          <w:fldChar w:fldCharType="separate"/>
        </w:r>
        <w:r w:rsidR="00487073">
          <w:rPr>
            <w:noProof/>
            <w:webHidden/>
          </w:rPr>
          <w:t>70</w:t>
        </w:r>
        <w:r w:rsidR="005263DE">
          <w:rPr>
            <w:noProof/>
            <w:webHidden/>
          </w:rPr>
          <w:fldChar w:fldCharType="end"/>
        </w:r>
      </w:hyperlink>
    </w:p>
    <w:p w14:paraId="4C6C78C4" w14:textId="1C2FA3B3" w:rsidR="005263DE" w:rsidRDefault="000B67DE">
      <w:pPr>
        <w:pStyle w:val="TableofFigures"/>
        <w:rPr>
          <w:rFonts w:asciiTheme="minorHAnsi" w:eastAsiaTheme="minorEastAsia" w:hAnsiTheme="minorHAnsi" w:cstheme="minorBidi"/>
          <w:noProof/>
          <w:lang w:val="en-AU" w:eastAsia="en-AU"/>
        </w:rPr>
      </w:pPr>
      <w:hyperlink w:anchor="_Toc490481669" w:history="1">
        <w:r w:rsidR="005263DE" w:rsidRPr="00C77E0A">
          <w:rPr>
            <w:rStyle w:val="Hyperlink"/>
          </w:rPr>
          <w:t>Table 6</w:t>
        </w:r>
        <w:r w:rsidR="005263DE" w:rsidRPr="00C77E0A">
          <w:rPr>
            <w:rStyle w:val="Hyperlink"/>
          </w:rPr>
          <w:noBreakHyphen/>
          <w:t>4:</w:t>
        </w:r>
        <w:r w:rsidR="005263DE">
          <w:rPr>
            <w:rFonts w:asciiTheme="minorHAnsi" w:eastAsiaTheme="minorEastAsia" w:hAnsiTheme="minorHAnsi" w:cstheme="minorBidi"/>
            <w:noProof/>
            <w:lang w:val="en-AU" w:eastAsia="en-AU"/>
          </w:rPr>
          <w:tab/>
        </w:r>
        <w:r w:rsidR="005263DE" w:rsidRPr="00C77E0A">
          <w:rPr>
            <w:rStyle w:val="Hyperlink"/>
          </w:rPr>
          <w:t>Reasons for using the website</w:t>
        </w:r>
        <w:r w:rsidR="005263DE">
          <w:rPr>
            <w:noProof/>
            <w:webHidden/>
          </w:rPr>
          <w:tab/>
        </w:r>
        <w:r w:rsidR="005263DE">
          <w:rPr>
            <w:noProof/>
            <w:webHidden/>
          </w:rPr>
          <w:fldChar w:fldCharType="begin"/>
        </w:r>
        <w:r w:rsidR="005263DE">
          <w:rPr>
            <w:noProof/>
            <w:webHidden/>
          </w:rPr>
          <w:instrText xml:space="preserve"> PAGEREF _Toc490481669 \h </w:instrText>
        </w:r>
        <w:r w:rsidR="005263DE">
          <w:rPr>
            <w:noProof/>
            <w:webHidden/>
          </w:rPr>
        </w:r>
        <w:r w:rsidR="005263DE">
          <w:rPr>
            <w:noProof/>
            <w:webHidden/>
          </w:rPr>
          <w:fldChar w:fldCharType="separate"/>
        </w:r>
        <w:r w:rsidR="00487073">
          <w:rPr>
            <w:noProof/>
            <w:webHidden/>
          </w:rPr>
          <w:t>71</w:t>
        </w:r>
        <w:r w:rsidR="005263DE">
          <w:rPr>
            <w:noProof/>
            <w:webHidden/>
          </w:rPr>
          <w:fldChar w:fldCharType="end"/>
        </w:r>
      </w:hyperlink>
    </w:p>
    <w:p w14:paraId="7861DFBA" w14:textId="440BE245" w:rsidR="005263DE" w:rsidRDefault="000B67DE">
      <w:pPr>
        <w:pStyle w:val="TableofFigures"/>
        <w:rPr>
          <w:rFonts w:asciiTheme="minorHAnsi" w:eastAsiaTheme="minorEastAsia" w:hAnsiTheme="minorHAnsi" w:cstheme="minorBidi"/>
          <w:noProof/>
          <w:lang w:val="en-AU" w:eastAsia="en-AU"/>
        </w:rPr>
      </w:pPr>
      <w:hyperlink w:anchor="_Toc490481670" w:history="1">
        <w:r w:rsidR="005263DE" w:rsidRPr="00C77E0A">
          <w:rPr>
            <w:rStyle w:val="Hyperlink"/>
          </w:rPr>
          <w:t>Table 6</w:t>
        </w:r>
        <w:r w:rsidR="005263DE" w:rsidRPr="00C77E0A">
          <w:rPr>
            <w:rStyle w:val="Hyperlink"/>
          </w:rPr>
          <w:noBreakHyphen/>
          <w:t>5:</w:t>
        </w:r>
        <w:r w:rsidR="005263DE">
          <w:rPr>
            <w:rFonts w:asciiTheme="minorHAnsi" w:eastAsiaTheme="minorEastAsia" w:hAnsiTheme="minorHAnsi" w:cstheme="minorBidi"/>
            <w:noProof/>
            <w:lang w:val="en-AU" w:eastAsia="en-AU"/>
          </w:rPr>
          <w:tab/>
        </w:r>
        <w:r w:rsidR="005263DE" w:rsidRPr="00C77E0A">
          <w:rPr>
            <w:rStyle w:val="Hyperlink"/>
          </w:rPr>
          <w:t>Referral of parental respondents to STCA by IAA</w:t>
        </w:r>
        <w:r w:rsidR="005263DE">
          <w:rPr>
            <w:noProof/>
            <w:webHidden/>
          </w:rPr>
          <w:tab/>
        </w:r>
        <w:r w:rsidR="005263DE">
          <w:rPr>
            <w:noProof/>
            <w:webHidden/>
          </w:rPr>
          <w:fldChar w:fldCharType="begin"/>
        </w:r>
        <w:r w:rsidR="005263DE">
          <w:rPr>
            <w:noProof/>
            <w:webHidden/>
          </w:rPr>
          <w:instrText xml:space="preserve"> PAGEREF _Toc490481670 \h </w:instrText>
        </w:r>
        <w:r w:rsidR="005263DE">
          <w:rPr>
            <w:noProof/>
            <w:webHidden/>
          </w:rPr>
        </w:r>
        <w:r w:rsidR="005263DE">
          <w:rPr>
            <w:noProof/>
            <w:webHidden/>
          </w:rPr>
          <w:fldChar w:fldCharType="separate"/>
        </w:r>
        <w:r w:rsidR="00487073">
          <w:rPr>
            <w:noProof/>
            <w:webHidden/>
          </w:rPr>
          <w:t>74</w:t>
        </w:r>
        <w:r w:rsidR="005263DE">
          <w:rPr>
            <w:noProof/>
            <w:webHidden/>
          </w:rPr>
          <w:fldChar w:fldCharType="end"/>
        </w:r>
      </w:hyperlink>
    </w:p>
    <w:p w14:paraId="5DD0CB52" w14:textId="37295E17" w:rsidR="005263DE" w:rsidRDefault="000B67DE">
      <w:pPr>
        <w:pStyle w:val="TableofFigures"/>
        <w:rPr>
          <w:rFonts w:asciiTheme="minorHAnsi" w:eastAsiaTheme="minorEastAsia" w:hAnsiTheme="minorHAnsi" w:cstheme="minorBidi"/>
          <w:noProof/>
          <w:lang w:val="en-AU" w:eastAsia="en-AU"/>
        </w:rPr>
      </w:pPr>
      <w:hyperlink w:anchor="_Toc490481671" w:history="1">
        <w:r w:rsidR="005263DE" w:rsidRPr="00C77E0A">
          <w:rPr>
            <w:rStyle w:val="Hyperlink"/>
          </w:rPr>
          <w:t>Table 6</w:t>
        </w:r>
        <w:r w:rsidR="005263DE" w:rsidRPr="00C77E0A">
          <w:rPr>
            <w:rStyle w:val="Hyperlink"/>
          </w:rPr>
          <w:noBreakHyphen/>
          <w:t>6:</w:t>
        </w:r>
        <w:r w:rsidR="005263DE">
          <w:rPr>
            <w:rFonts w:asciiTheme="minorHAnsi" w:eastAsiaTheme="minorEastAsia" w:hAnsiTheme="minorHAnsi" w:cstheme="minorBidi"/>
            <w:noProof/>
            <w:lang w:val="en-AU" w:eastAsia="en-AU"/>
          </w:rPr>
          <w:tab/>
        </w:r>
        <w:r w:rsidR="005263DE" w:rsidRPr="00C77E0A">
          <w:rPr>
            <w:rStyle w:val="Hyperlink"/>
          </w:rPr>
          <w:t>Referral of respondents to other services by IAA</w:t>
        </w:r>
        <w:r w:rsidR="005263DE">
          <w:rPr>
            <w:noProof/>
            <w:webHidden/>
          </w:rPr>
          <w:tab/>
        </w:r>
        <w:r w:rsidR="005263DE">
          <w:rPr>
            <w:noProof/>
            <w:webHidden/>
          </w:rPr>
          <w:fldChar w:fldCharType="begin"/>
        </w:r>
        <w:r w:rsidR="005263DE">
          <w:rPr>
            <w:noProof/>
            <w:webHidden/>
          </w:rPr>
          <w:instrText xml:space="preserve"> PAGEREF _Toc490481671 \h </w:instrText>
        </w:r>
        <w:r w:rsidR="005263DE">
          <w:rPr>
            <w:noProof/>
            <w:webHidden/>
          </w:rPr>
        </w:r>
        <w:r w:rsidR="005263DE">
          <w:rPr>
            <w:noProof/>
            <w:webHidden/>
          </w:rPr>
          <w:fldChar w:fldCharType="separate"/>
        </w:r>
        <w:r w:rsidR="00487073">
          <w:rPr>
            <w:noProof/>
            <w:webHidden/>
          </w:rPr>
          <w:t>74</w:t>
        </w:r>
        <w:r w:rsidR="005263DE">
          <w:rPr>
            <w:noProof/>
            <w:webHidden/>
          </w:rPr>
          <w:fldChar w:fldCharType="end"/>
        </w:r>
      </w:hyperlink>
    </w:p>
    <w:p w14:paraId="2E14E03B" w14:textId="544E9AAF" w:rsidR="005263DE" w:rsidRDefault="000B67DE">
      <w:pPr>
        <w:pStyle w:val="TableofFigures"/>
        <w:rPr>
          <w:rFonts w:asciiTheme="minorHAnsi" w:eastAsiaTheme="minorEastAsia" w:hAnsiTheme="minorHAnsi" w:cstheme="minorBidi"/>
          <w:noProof/>
          <w:lang w:val="en-AU" w:eastAsia="en-AU"/>
        </w:rPr>
      </w:pPr>
      <w:hyperlink w:anchor="_Toc490481672" w:history="1">
        <w:r w:rsidR="005263DE" w:rsidRPr="00C77E0A">
          <w:rPr>
            <w:rStyle w:val="Hyperlink"/>
          </w:rPr>
          <w:t>Table 6</w:t>
        </w:r>
        <w:r w:rsidR="005263DE" w:rsidRPr="00C77E0A">
          <w:rPr>
            <w:rStyle w:val="Hyperlink"/>
          </w:rPr>
          <w:noBreakHyphen/>
          <w:t>7:</w:t>
        </w:r>
        <w:r w:rsidR="005263DE">
          <w:rPr>
            <w:rFonts w:asciiTheme="minorHAnsi" w:eastAsiaTheme="minorEastAsia" w:hAnsiTheme="minorHAnsi" w:cstheme="minorBidi"/>
            <w:noProof/>
            <w:lang w:val="en-AU" w:eastAsia="en-AU"/>
          </w:rPr>
          <w:tab/>
        </w:r>
        <w:r w:rsidR="005263DE" w:rsidRPr="00C77E0A">
          <w:rPr>
            <w:rStyle w:val="Hyperlink"/>
          </w:rPr>
          <w:t>Respondent uptake of referral to STCA</w:t>
        </w:r>
        <w:r w:rsidR="005263DE">
          <w:rPr>
            <w:noProof/>
            <w:webHidden/>
          </w:rPr>
          <w:tab/>
        </w:r>
        <w:r w:rsidR="005263DE">
          <w:rPr>
            <w:noProof/>
            <w:webHidden/>
          </w:rPr>
          <w:fldChar w:fldCharType="begin"/>
        </w:r>
        <w:r w:rsidR="005263DE">
          <w:rPr>
            <w:noProof/>
            <w:webHidden/>
          </w:rPr>
          <w:instrText xml:space="preserve"> PAGEREF _Toc490481672 \h </w:instrText>
        </w:r>
        <w:r w:rsidR="005263DE">
          <w:rPr>
            <w:noProof/>
            <w:webHidden/>
          </w:rPr>
        </w:r>
        <w:r w:rsidR="005263DE">
          <w:rPr>
            <w:noProof/>
            <w:webHidden/>
          </w:rPr>
          <w:fldChar w:fldCharType="separate"/>
        </w:r>
        <w:r w:rsidR="00487073">
          <w:rPr>
            <w:noProof/>
            <w:webHidden/>
          </w:rPr>
          <w:t>74</w:t>
        </w:r>
        <w:r w:rsidR="005263DE">
          <w:rPr>
            <w:noProof/>
            <w:webHidden/>
          </w:rPr>
          <w:fldChar w:fldCharType="end"/>
        </w:r>
      </w:hyperlink>
    </w:p>
    <w:p w14:paraId="71EB104C" w14:textId="661BF312" w:rsidR="005263DE" w:rsidRDefault="000B67DE">
      <w:pPr>
        <w:pStyle w:val="TableofFigures"/>
        <w:rPr>
          <w:rFonts w:asciiTheme="minorHAnsi" w:eastAsiaTheme="minorEastAsia" w:hAnsiTheme="minorHAnsi" w:cstheme="minorBidi"/>
          <w:noProof/>
          <w:lang w:val="en-AU" w:eastAsia="en-AU"/>
        </w:rPr>
      </w:pPr>
      <w:hyperlink w:anchor="_Toc490481673" w:history="1">
        <w:r w:rsidR="005263DE" w:rsidRPr="00C77E0A">
          <w:rPr>
            <w:rStyle w:val="Hyperlink"/>
          </w:rPr>
          <w:t>Table 6</w:t>
        </w:r>
        <w:r w:rsidR="005263DE" w:rsidRPr="00C77E0A">
          <w:rPr>
            <w:rStyle w:val="Hyperlink"/>
          </w:rPr>
          <w:noBreakHyphen/>
          <w:t>8:</w:t>
        </w:r>
        <w:r w:rsidR="005263DE">
          <w:rPr>
            <w:rFonts w:asciiTheme="minorHAnsi" w:eastAsiaTheme="minorEastAsia" w:hAnsiTheme="minorHAnsi" w:cstheme="minorBidi"/>
            <w:noProof/>
            <w:lang w:val="en-AU" w:eastAsia="en-AU"/>
          </w:rPr>
          <w:tab/>
        </w:r>
        <w:r w:rsidR="005263DE" w:rsidRPr="00C77E0A">
          <w:rPr>
            <w:rStyle w:val="Hyperlink"/>
          </w:rPr>
          <w:t>Respondent uptake of referral to other service</w:t>
        </w:r>
        <w:r w:rsidR="005263DE">
          <w:rPr>
            <w:noProof/>
            <w:webHidden/>
          </w:rPr>
          <w:tab/>
        </w:r>
        <w:r w:rsidR="005263DE">
          <w:rPr>
            <w:noProof/>
            <w:webHidden/>
          </w:rPr>
          <w:fldChar w:fldCharType="begin"/>
        </w:r>
        <w:r w:rsidR="005263DE">
          <w:rPr>
            <w:noProof/>
            <w:webHidden/>
          </w:rPr>
          <w:instrText xml:space="preserve"> PAGEREF _Toc490481673 \h </w:instrText>
        </w:r>
        <w:r w:rsidR="005263DE">
          <w:rPr>
            <w:noProof/>
            <w:webHidden/>
          </w:rPr>
        </w:r>
        <w:r w:rsidR="005263DE">
          <w:rPr>
            <w:noProof/>
            <w:webHidden/>
          </w:rPr>
          <w:fldChar w:fldCharType="separate"/>
        </w:r>
        <w:r w:rsidR="00487073">
          <w:rPr>
            <w:noProof/>
            <w:webHidden/>
          </w:rPr>
          <w:t>75</w:t>
        </w:r>
        <w:r w:rsidR="005263DE">
          <w:rPr>
            <w:noProof/>
            <w:webHidden/>
          </w:rPr>
          <w:fldChar w:fldCharType="end"/>
        </w:r>
      </w:hyperlink>
    </w:p>
    <w:p w14:paraId="61DD1DC8" w14:textId="5F57030E" w:rsidR="005263DE" w:rsidRDefault="000B67DE">
      <w:pPr>
        <w:pStyle w:val="TableofFigures"/>
        <w:rPr>
          <w:rFonts w:asciiTheme="minorHAnsi" w:eastAsiaTheme="minorEastAsia" w:hAnsiTheme="minorHAnsi" w:cstheme="minorBidi"/>
          <w:noProof/>
          <w:lang w:val="en-AU" w:eastAsia="en-AU"/>
        </w:rPr>
      </w:pPr>
      <w:hyperlink w:anchor="_Toc490481674" w:history="1">
        <w:r w:rsidR="005263DE" w:rsidRPr="00C77E0A">
          <w:rPr>
            <w:rStyle w:val="Hyperlink"/>
          </w:rPr>
          <w:t>Table 6</w:t>
        </w:r>
        <w:r w:rsidR="005263DE" w:rsidRPr="00C77E0A">
          <w:rPr>
            <w:rStyle w:val="Hyperlink"/>
          </w:rPr>
          <w:noBreakHyphen/>
          <w:t>9:</w:t>
        </w:r>
        <w:r w:rsidR="005263DE">
          <w:rPr>
            <w:rFonts w:asciiTheme="minorHAnsi" w:eastAsiaTheme="minorEastAsia" w:hAnsiTheme="minorHAnsi" w:cstheme="minorBidi"/>
            <w:noProof/>
            <w:lang w:val="en-AU" w:eastAsia="en-AU"/>
          </w:rPr>
          <w:tab/>
        </w:r>
        <w:r w:rsidR="005263DE" w:rsidRPr="00C77E0A">
          <w:rPr>
            <w:rStyle w:val="Hyperlink"/>
          </w:rPr>
          <w:t>Extent IAA improved respondents' experience of adopting a child from overseas</w:t>
        </w:r>
        <w:r w:rsidR="005263DE">
          <w:rPr>
            <w:noProof/>
            <w:webHidden/>
          </w:rPr>
          <w:tab/>
        </w:r>
        <w:r w:rsidR="005263DE">
          <w:rPr>
            <w:noProof/>
            <w:webHidden/>
          </w:rPr>
          <w:fldChar w:fldCharType="begin"/>
        </w:r>
        <w:r w:rsidR="005263DE">
          <w:rPr>
            <w:noProof/>
            <w:webHidden/>
          </w:rPr>
          <w:instrText xml:space="preserve"> PAGEREF _Toc490481674 \h </w:instrText>
        </w:r>
        <w:r w:rsidR="005263DE">
          <w:rPr>
            <w:noProof/>
            <w:webHidden/>
          </w:rPr>
        </w:r>
        <w:r w:rsidR="005263DE">
          <w:rPr>
            <w:noProof/>
            <w:webHidden/>
          </w:rPr>
          <w:fldChar w:fldCharType="separate"/>
        </w:r>
        <w:r w:rsidR="00487073">
          <w:rPr>
            <w:noProof/>
            <w:webHidden/>
          </w:rPr>
          <w:t>77</w:t>
        </w:r>
        <w:r w:rsidR="005263DE">
          <w:rPr>
            <w:noProof/>
            <w:webHidden/>
          </w:rPr>
          <w:fldChar w:fldCharType="end"/>
        </w:r>
      </w:hyperlink>
    </w:p>
    <w:p w14:paraId="2DD15E51" w14:textId="7FD349FE" w:rsidR="00EB056E" w:rsidRDefault="00863490" w:rsidP="00071C43">
      <w:r>
        <w:fldChar w:fldCharType="end"/>
      </w:r>
    </w:p>
    <w:p w14:paraId="541C0704" w14:textId="31CA5D9B" w:rsidR="00EB056E" w:rsidRPr="00900E2D" w:rsidRDefault="00E07D8E" w:rsidP="00283E1C">
      <w:pPr>
        <w:pStyle w:val="TOCHeading2"/>
      </w:pPr>
      <w:bookmarkStart w:id="1" w:name="_Toc399928792"/>
      <w:r>
        <w:t>List of F</w:t>
      </w:r>
      <w:r w:rsidR="00EB056E" w:rsidRPr="00900E2D">
        <w:t>igures</w:t>
      </w:r>
      <w:bookmarkEnd w:id="1"/>
    </w:p>
    <w:p w14:paraId="57931DE4" w14:textId="0190670B" w:rsidR="005263DE" w:rsidRDefault="00863490">
      <w:pPr>
        <w:pStyle w:val="TableofFigures"/>
        <w:rPr>
          <w:rFonts w:asciiTheme="minorHAnsi" w:eastAsiaTheme="minorEastAsia" w:hAnsiTheme="minorHAnsi" w:cstheme="minorBidi"/>
          <w:noProof/>
          <w:lang w:val="en-AU" w:eastAsia="en-AU"/>
        </w:rPr>
      </w:pPr>
      <w:r w:rsidRPr="00445E50">
        <w:rPr>
          <w:u w:val="single"/>
        </w:rPr>
        <w:fldChar w:fldCharType="begin"/>
      </w:r>
      <w:r w:rsidR="002C57A8" w:rsidRPr="00445E50">
        <w:rPr>
          <w:u w:val="single"/>
        </w:rPr>
        <w:instrText xml:space="preserve"> TOC \h \z \c "Figure" </w:instrText>
      </w:r>
      <w:r w:rsidRPr="00445E50">
        <w:rPr>
          <w:u w:val="single"/>
        </w:rPr>
        <w:fldChar w:fldCharType="separate"/>
      </w:r>
      <w:hyperlink w:anchor="_Toc490481675" w:history="1">
        <w:r w:rsidR="005263DE" w:rsidRPr="009522F4">
          <w:rPr>
            <w:rStyle w:val="Hyperlink"/>
          </w:rPr>
          <w:t>Figure 3</w:t>
        </w:r>
        <w:r w:rsidR="005263DE" w:rsidRPr="009522F4">
          <w:rPr>
            <w:rStyle w:val="Hyperlink"/>
          </w:rPr>
          <w:noBreakHyphen/>
          <w:t>1:</w:t>
        </w:r>
        <w:r w:rsidR="005263DE">
          <w:rPr>
            <w:rFonts w:asciiTheme="minorHAnsi" w:eastAsiaTheme="minorEastAsia" w:hAnsiTheme="minorHAnsi" w:cstheme="minorBidi"/>
            <w:noProof/>
            <w:lang w:val="en-AU" w:eastAsia="en-AU"/>
          </w:rPr>
          <w:tab/>
        </w:r>
        <w:r w:rsidR="005263DE" w:rsidRPr="009522F4">
          <w:rPr>
            <w:rStyle w:val="Hyperlink"/>
          </w:rPr>
          <w:t>Key administration stakeholders in ICA in Australia</w:t>
        </w:r>
        <w:r w:rsidR="005263DE">
          <w:rPr>
            <w:noProof/>
            <w:webHidden/>
          </w:rPr>
          <w:tab/>
        </w:r>
        <w:r w:rsidR="005263DE">
          <w:rPr>
            <w:noProof/>
            <w:webHidden/>
          </w:rPr>
          <w:fldChar w:fldCharType="begin"/>
        </w:r>
        <w:r w:rsidR="005263DE">
          <w:rPr>
            <w:noProof/>
            <w:webHidden/>
          </w:rPr>
          <w:instrText xml:space="preserve"> PAGEREF _Toc490481675 \h </w:instrText>
        </w:r>
        <w:r w:rsidR="005263DE">
          <w:rPr>
            <w:noProof/>
            <w:webHidden/>
          </w:rPr>
        </w:r>
        <w:r w:rsidR="005263DE">
          <w:rPr>
            <w:noProof/>
            <w:webHidden/>
          </w:rPr>
          <w:fldChar w:fldCharType="separate"/>
        </w:r>
        <w:r w:rsidR="00487073">
          <w:rPr>
            <w:noProof/>
            <w:webHidden/>
          </w:rPr>
          <w:t>18</w:t>
        </w:r>
        <w:r w:rsidR="005263DE">
          <w:rPr>
            <w:noProof/>
            <w:webHidden/>
          </w:rPr>
          <w:fldChar w:fldCharType="end"/>
        </w:r>
      </w:hyperlink>
    </w:p>
    <w:p w14:paraId="41EE9C5A" w14:textId="4013E656" w:rsidR="005263DE" w:rsidRDefault="000B67DE">
      <w:pPr>
        <w:pStyle w:val="TableofFigures"/>
        <w:rPr>
          <w:rFonts w:asciiTheme="minorHAnsi" w:eastAsiaTheme="minorEastAsia" w:hAnsiTheme="minorHAnsi" w:cstheme="minorBidi"/>
          <w:noProof/>
          <w:lang w:val="en-AU" w:eastAsia="en-AU"/>
        </w:rPr>
      </w:pPr>
      <w:hyperlink w:anchor="_Toc490481676" w:history="1">
        <w:r w:rsidR="005263DE" w:rsidRPr="009522F4">
          <w:rPr>
            <w:rStyle w:val="Hyperlink"/>
          </w:rPr>
          <w:t>Figure 4</w:t>
        </w:r>
        <w:r w:rsidR="005263DE" w:rsidRPr="009522F4">
          <w:rPr>
            <w:rStyle w:val="Hyperlink"/>
          </w:rPr>
          <w:noBreakHyphen/>
          <w:t>1:  Relationship between denominators used in analysis</w:t>
        </w:r>
        <w:r w:rsidR="005263DE">
          <w:rPr>
            <w:noProof/>
            <w:webHidden/>
          </w:rPr>
          <w:tab/>
        </w:r>
        <w:r w:rsidR="005263DE">
          <w:rPr>
            <w:noProof/>
            <w:webHidden/>
          </w:rPr>
          <w:fldChar w:fldCharType="begin"/>
        </w:r>
        <w:r w:rsidR="005263DE">
          <w:rPr>
            <w:noProof/>
            <w:webHidden/>
          </w:rPr>
          <w:instrText xml:space="preserve"> PAGEREF _Toc490481676 \h </w:instrText>
        </w:r>
        <w:r w:rsidR="005263DE">
          <w:rPr>
            <w:noProof/>
            <w:webHidden/>
          </w:rPr>
        </w:r>
        <w:r w:rsidR="005263DE">
          <w:rPr>
            <w:noProof/>
            <w:webHidden/>
          </w:rPr>
          <w:fldChar w:fldCharType="separate"/>
        </w:r>
        <w:r w:rsidR="00487073">
          <w:rPr>
            <w:noProof/>
            <w:webHidden/>
          </w:rPr>
          <w:t>30</w:t>
        </w:r>
        <w:r w:rsidR="005263DE">
          <w:rPr>
            <w:noProof/>
            <w:webHidden/>
          </w:rPr>
          <w:fldChar w:fldCharType="end"/>
        </w:r>
      </w:hyperlink>
    </w:p>
    <w:p w14:paraId="7FFEBFA7" w14:textId="7A4F844B" w:rsidR="002C57A8" w:rsidRPr="00445E50" w:rsidRDefault="00863490" w:rsidP="00EB056E">
      <w:pPr>
        <w:rPr>
          <w:u w:val="single"/>
        </w:rPr>
      </w:pPr>
      <w:r w:rsidRPr="00445E50">
        <w:rPr>
          <w:u w:val="single"/>
        </w:rPr>
        <w:fldChar w:fldCharType="end"/>
      </w:r>
    </w:p>
    <w:p w14:paraId="6B0B65F9" w14:textId="77777777" w:rsidR="00C241AB" w:rsidRPr="002B47AA" w:rsidRDefault="00C241AB">
      <w:r w:rsidRPr="00331FE4">
        <w:br w:type="page"/>
      </w:r>
    </w:p>
    <w:p w14:paraId="2F53FF6A" w14:textId="0C9D87C9" w:rsidR="008E6750" w:rsidRPr="00331FE4" w:rsidRDefault="00CF3866" w:rsidP="00283E1C">
      <w:pPr>
        <w:pStyle w:val="TOCHeading"/>
      </w:pPr>
      <w:r>
        <w:lastRenderedPageBreak/>
        <w:t>List of a</w:t>
      </w:r>
      <w:r w:rsidR="008E6750" w:rsidRPr="00331FE4">
        <w:t>bbreviations</w:t>
      </w:r>
    </w:p>
    <w:tbl>
      <w:tblPr>
        <w:tblW w:w="4894" w:type="pct"/>
        <w:tblInd w:w="108"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Pr>
      <w:tblGrid>
        <w:gridCol w:w="2218"/>
        <w:gridCol w:w="6939"/>
      </w:tblGrid>
      <w:tr w:rsidR="00EF607E" w:rsidRPr="00A0628A" w14:paraId="39BD4FB6" w14:textId="77777777" w:rsidTr="00FE7E9C">
        <w:trPr>
          <w:cantSplit/>
          <w:tblHeader/>
        </w:trPr>
        <w:tc>
          <w:tcPr>
            <w:tcW w:w="1211" w:type="pct"/>
            <w:tcBorders>
              <w:top w:val="single" w:sz="4" w:space="0" w:color="0079C1" w:themeColor="text2"/>
              <w:bottom w:val="single" w:sz="4" w:space="0" w:color="0079C1" w:themeColor="text2"/>
            </w:tcBorders>
            <w:shd w:val="clear" w:color="auto" w:fill="0079C1" w:themeFill="text2"/>
          </w:tcPr>
          <w:p w14:paraId="447A4605" w14:textId="77777777" w:rsidR="00EF607E" w:rsidRPr="00A0628A" w:rsidRDefault="00EF607E" w:rsidP="00A85C1A">
            <w:pPr>
              <w:pStyle w:val="TableHeading1"/>
            </w:pPr>
            <w:r w:rsidRPr="00A0628A">
              <w:t>Abbreviation</w:t>
            </w:r>
          </w:p>
        </w:tc>
        <w:tc>
          <w:tcPr>
            <w:tcW w:w="3789" w:type="pct"/>
            <w:tcBorders>
              <w:top w:val="single" w:sz="4" w:space="0" w:color="0079C1" w:themeColor="text2"/>
              <w:bottom w:val="single" w:sz="4" w:space="0" w:color="0079C1" w:themeColor="text2"/>
            </w:tcBorders>
            <w:shd w:val="clear" w:color="auto" w:fill="0079C1" w:themeFill="text2"/>
          </w:tcPr>
          <w:p w14:paraId="21DD16B8" w14:textId="77777777" w:rsidR="00EF607E" w:rsidRPr="00A0628A" w:rsidRDefault="00EF607E" w:rsidP="00A85C1A">
            <w:pPr>
              <w:pStyle w:val="TableHeading1"/>
            </w:pPr>
            <w:r w:rsidRPr="00A0628A">
              <w:t>Definition</w:t>
            </w:r>
          </w:p>
        </w:tc>
      </w:tr>
      <w:tr w:rsidR="00EF607E" w:rsidRPr="00A0628A" w14:paraId="71254005" w14:textId="77777777" w:rsidTr="00FE7E9C">
        <w:trPr>
          <w:cantSplit/>
        </w:trPr>
        <w:tc>
          <w:tcPr>
            <w:tcW w:w="1211" w:type="pct"/>
            <w:tcBorders>
              <w:top w:val="single" w:sz="4" w:space="0" w:color="0079C1" w:themeColor="text2"/>
            </w:tcBorders>
          </w:tcPr>
          <w:p w14:paraId="2EA7BBCE" w14:textId="77777777" w:rsidR="00EF607E" w:rsidRPr="00A0628A" w:rsidRDefault="00570088" w:rsidP="00A0628A">
            <w:pPr>
              <w:pStyle w:val="TableText"/>
            </w:pPr>
            <w:r>
              <w:t>ACA</w:t>
            </w:r>
          </w:p>
        </w:tc>
        <w:tc>
          <w:tcPr>
            <w:tcW w:w="3789" w:type="pct"/>
            <w:tcBorders>
              <w:top w:val="single" w:sz="4" w:space="0" w:color="0079C1" w:themeColor="text2"/>
            </w:tcBorders>
          </w:tcPr>
          <w:p w14:paraId="73DC9AA2" w14:textId="77777777" w:rsidR="00EF607E" w:rsidRPr="00A0628A" w:rsidRDefault="00570088" w:rsidP="007A5263">
            <w:pPr>
              <w:pStyle w:val="TableText"/>
            </w:pPr>
            <w:r>
              <w:t>Australian Central Authority</w:t>
            </w:r>
          </w:p>
        </w:tc>
      </w:tr>
      <w:tr w:rsidR="00180537" w:rsidRPr="00A0628A" w14:paraId="01C04B9B" w14:textId="77777777" w:rsidTr="00FE7E9C">
        <w:trPr>
          <w:cantSplit/>
        </w:trPr>
        <w:tc>
          <w:tcPr>
            <w:tcW w:w="1211" w:type="pct"/>
          </w:tcPr>
          <w:p w14:paraId="3D15F3BB" w14:textId="77777777" w:rsidR="00180537" w:rsidRDefault="00180537" w:rsidP="00570088">
            <w:pPr>
              <w:pStyle w:val="TableText"/>
            </w:pPr>
            <w:r>
              <w:t>AGD</w:t>
            </w:r>
          </w:p>
        </w:tc>
        <w:tc>
          <w:tcPr>
            <w:tcW w:w="3789" w:type="pct"/>
          </w:tcPr>
          <w:p w14:paraId="0E3426C7" w14:textId="77777777" w:rsidR="00180537" w:rsidRDefault="00180537" w:rsidP="00570088">
            <w:pPr>
              <w:pStyle w:val="TableText"/>
            </w:pPr>
            <w:r>
              <w:t>Attorney General’s Department</w:t>
            </w:r>
          </w:p>
        </w:tc>
      </w:tr>
      <w:tr w:rsidR="00570088" w:rsidRPr="00A0628A" w14:paraId="0041B75A" w14:textId="77777777" w:rsidTr="00FE7E9C">
        <w:trPr>
          <w:cantSplit/>
        </w:trPr>
        <w:tc>
          <w:tcPr>
            <w:tcW w:w="1211" w:type="pct"/>
          </w:tcPr>
          <w:p w14:paraId="49212C56" w14:textId="77777777" w:rsidR="00570088" w:rsidRDefault="00570088" w:rsidP="00570088">
            <w:pPr>
              <w:pStyle w:val="TableText"/>
            </w:pPr>
            <w:r>
              <w:t>AHA</w:t>
            </w:r>
          </w:p>
        </w:tc>
        <w:tc>
          <w:tcPr>
            <w:tcW w:w="3789" w:type="pct"/>
          </w:tcPr>
          <w:p w14:paraId="18AEAD79" w14:textId="77777777" w:rsidR="00570088" w:rsidRPr="00A0628A" w:rsidRDefault="00570088" w:rsidP="00570088">
            <w:pPr>
              <w:pStyle w:val="TableText"/>
            </w:pPr>
            <w:r>
              <w:t>Australian Healthcare Associates</w:t>
            </w:r>
          </w:p>
        </w:tc>
      </w:tr>
      <w:tr w:rsidR="00180537" w:rsidRPr="00A0628A" w14:paraId="29B2B249" w14:textId="77777777" w:rsidTr="00FE7E9C">
        <w:trPr>
          <w:cantSplit/>
        </w:trPr>
        <w:tc>
          <w:tcPr>
            <w:tcW w:w="1211" w:type="pct"/>
          </w:tcPr>
          <w:p w14:paraId="7423BA9A" w14:textId="77777777" w:rsidR="00180537" w:rsidRDefault="00180537" w:rsidP="00570088">
            <w:pPr>
              <w:pStyle w:val="TableText"/>
            </w:pPr>
            <w:r>
              <w:t>CALD</w:t>
            </w:r>
          </w:p>
        </w:tc>
        <w:tc>
          <w:tcPr>
            <w:tcW w:w="3789" w:type="pct"/>
          </w:tcPr>
          <w:p w14:paraId="19BAAE05" w14:textId="77777777" w:rsidR="00180537" w:rsidRDefault="00180537" w:rsidP="00570088">
            <w:pPr>
              <w:pStyle w:val="TableText"/>
            </w:pPr>
            <w:r>
              <w:t>Culturally and Linguistically Diverse</w:t>
            </w:r>
          </w:p>
        </w:tc>
      </w:tr>
      <w:tr w:rsidR="00180537" w:rsidRPr="00A0628A" w14:paraId="5383BA65" w14:textId="77777777" w:rsidTr="00FE7E9C">
        <w:trPr>
          <w:cantSplit/>
        </w:trPr>
        <w:tc>
          <w:tcPr>
            <w:tcW w:w="1211" w:type="pct"/>
          </w:tcPr>
          <w:p w14:paraId="476E6466" w14:textId="77777777" w:rsidR="00180537" w:rsidRDefault="00180537" w:rsidP="00570088">
            <w:pPr>
              <w:pStyle w:val="TableText"/>
            </w:pPr>
            <w:r>
              <w:t>COAG</w:t>
            </w:r>
          </w:p>
        </w:tc>
        <w:tc>
          <w:tcPr>
            <w:tcW w:w="3789" w:type="pct"/>
          </w:tcPr>
          <w:p w14:paraId="710E7AA3" w14:textId="77777777" w:rsidR="00180537" w:rsidRDefault="00180537" w:rsidP="00570088">
            <w:pPr>
              <w:pStyle w:val="TableText"/>
            </w:pPr>
            <w:r>
              <w:t>Council of Australian Governments</w:t>
            </w:r>
          </w:p>
        </w:tc>
      </w:tr>
      <w:tr w:rsidR="00180537" w:rsidRPr="00A0628A" w14:paraId="51839341" w14:textId="77777777" w:rsidTr="00FE7E9C">
        <w:trPr>
          <w:cantSplit/>
        </w:trPr>
        <w:tc>
          <w:tcPr>
            <w:tcW w:w="1211" w:type="pct"/>
          </w:tcPr>
          <w:p w14:paraId="7F92A634" w14:textId="77777777" w:rsidR="00180537" w:rsidRDefault="00180537" w:rsidP="00570088">
            <w:pPr>
              <w:pStyle w:val="TableText"/>
            </w:pPr>
            <w:r>
              <w:t>DFAT</w:t>
            </w:r>
          </w:p>
        </w:tc>
        <w:tc>
          <w:tcPr>
            <w:tcW w:w="3789" w:type="pct"/>
          </w:tcPr>
          <w:p w14:paraId="37FF2036" w14:textId="77777777" w:rsidR="00180537" w:rsidRDefault="00180537" w:rsidP="00570088">
            <w:pPr>
              <w:pStyle w:val="TableText"/>
            </w:pPr>
            <w:r>
              <w:t>Department of Foreign Affairs and Trade</w:t>
            </w:r>
          </w:p>
        </w:tc>
      </w:tr>
      <w:tr w:rsidR="00180537" w:rsidRPr="00A0628A" w14:paraId="65F8FFC0" w14:textId="77777777" w:rsidTr="00FE7E9C">
        <w:trPr>
          <w:cantSplit/>
        </w:trPr>
        <w:tc>
          <w:tcPr>
            <w:tcW w:w="1211" w:type="pct"/>
          </w:tcPr>
          <w:p w14:paraId="3FB50413" w14:textId="77777777" w:rsidR="00180537" w:rsidRDefault="00180537" w:rsidP="00180537">
            <w:pPr>
              <w:pStyle w:val="TableText"/>
            </w:pPr>
            <w:r>
              <w:t>DIBP</w:t>
            </w:r>
          </w:p>
        </w:tc>
        <w:tc>
          <w:tcPr>
            <w:tcW w:w="3789" w:type="pct"/>
          </w:tcPr>
          <w:p w14:paraId="1E6A101E" w14:textId="77777777" w:rsidR="00180537" w:rsidRDefault="00180537" w:rsidP="00180537">
            <w:pPr>
              <w:pStyle w:val="TableText"/>
            </w:pPr>
            <w:r>
              <w:t>Department of Immigration and Border Protection</w:t>
            </w:r>
          </w:p>
        </w:tc>
      </w:tr>
      <w:tr w:rsidR="00180537" w:rsidRPr="00A0628A" w14:paraId="5F965060" w14:textId="77777777" w:rsidTr="00FE7E9C">
        <w:trPr>
          <w:cantSplit/>
        </w:trPr>
        <w:tc>
          <w:tcPr>
            <w:tcW w:w="1211" w:type="pct"/>
          </w:tcPr>
          <w:p w14:paraId="1C785313" w14:textId="77777777" w:rsidR="00180537" w:rsidRPr="00A0628A" w:rsidRDefault="00180537" w:rsidP="00180537">
            <w:pPr>
              <w:pStyle w:val="TableText"/>
            </w:pPr>
            <w:r>
              <w:t>DSS</w:t>
            </w:r>
          </w:p>
        </w:tc>
        <w:tc>
          <w:tcPr>
            <w:tcW w:w="3789" w:type="pct"/>
          </w:tcPr>
          <w:p w14:paraId="4F17D013" w14:textId="77777777" w:rsidR="00180537" w:rsidRPr="00A0628A" w:rsidRDefault="00180537" w:rsidP="00180537">
            <w:pPr>
              <w:pStyle w:val="TableText"/>
            </w:pPr>
            <w:r>
              <w:t>Department of Social Services</w:t>
            </w:r>
          </w:p>
        </w:tc>
      </w:tr>
      <w:tr w:rsidR="00180537" w:rsidRPr="00A0628A" w14:paraId="5B1BFE37" w14:textId="77777777" w:rsidTr="00FE7E9C">
        <w:trPr>
          <w:cantSplit/>
        </w:trPr>
        <w:tc>
          <w:tcPr>
            <w:tcW w:w="1211" w:type="pct"/>
          </w:tcPr>
          <w:p w14:paraId="24966D29" w14:textId="77777777" w:rsidR="00180537" w:rsidRDefault="00180537" w:rsidP="00180537">
            <w:pPr>
              <w:pStyle w:val="TableText"/>
            </w:pPr>
            <w:r>
              <w:t>IAA</w:t>
            </w:r>
          </w:p>
        </w:tc>
        <w:tc>
          <w:tcPr>
            <w:tcW w:w="3789" w:type="pct"/>
          </w:tcPr>
          <w:p w14:paraId="39E68228" w14:textId="3C0F57D6" w:rsidR="00180537" w:rsidRDefault="00F42A0E" w:rsidP="00180537">
            <w:pPr>
              <w:pStyle w:val="TableText"/>
            </w:pPr>
            <w:r>
              <w:t>Intercountry Adoption Australia</w:t>
            </w:r>
          </w:p>
        </w:tc>
      </w:tr>
      <w:tr w:rsidR="00180537" w:rsidRPr="00A0628A" w14:paraId="2D3088EA" w14:textId="77777777" w:rsidTr="00FE7E9C">
        <w:trPr>
          <w:cantSplit/>
        </w:trPr>
        <w:tc>
          <w:tcPr>
            <w:tcW w:w="1211" w:type="pct"/>
          </w:tcPr>
          <w:p w14:paraId="5BF45AF9" w14:textId="77777777" w:rsidR="00180537" w:rsidRDefault="00180537" w:rsidP="00180537">
            <w:pPr>
              <w:pStyle w:val="TableText"/>
            </w:pPr>
            <w:r>
              <w:t>ICA</w:t>
            </w:r>
          </w:p>
        </w:tc>
        <w:tc>
          <w:tcPr>
            <w:tcW w:w="3789" w:type="pct"/>
          </w:tcPr>
          <w:p w14:paraId="4852D7E0" w14:textId="11C8E4E3" w:rsidR="00180537" w:rsidRDefault="00F42A0E" w:rsidP="00180537">
            <w:pPr>
              <w:pStyle w:val="TableText"/>
            </w:pPr>
            <w:r>
              <w:t>Intercountry Adoption</w:t>
            </w:r>
          </w:p>
        </w:tc>
      </w:tr>
      <w:tr w:rsidR="00180537" w:rsidRPr="00A0628A" w14:paraId="4B0B19F9" w14:textId="77777777" w:rsidTr="00FE7E9C">
        <w:trPr>
          <w:cantSplit/>
        </w:trPr>
        <w:tc>
          <w:tcPr>
            <w:tcW w:w="1211" w:type="pct"/>
          </w:tcPr>
          <w:p w14:paraId="3A0138FF" w14:textId="77777777" w:rsidR="00180537" w:rsidRDefault="00180537" w:rsidP="00180537">
            <w:pPr>
              <w:pStyle w:val="TableText"/>
            </w:pPr>
            <w:r>
              <w:t>IDC</w:t>
            </w:r>
          </w:p>
        </w:tc>
        <w:tc>
          <w:tcPr>
            <w:tcW w:w="3789" w:type="pct"/>
          </w:tcPr>
          <w:p w14:paraId="5BF46D1F" w14:textId="77777777" w:rsidR="00180537" w:rsidRDefault="00180537" w:rsidP="00180537">
            <w:pPr>
              <w:pStyle w:val="TableText"/>
            </w:pPr>
            <w:r>
              <w:t>Inter Departmental committee</w:t>
            </w:r>
          </w:p>
        </w:tc>
      </w:tr>
      <w:tr w:rsidR="007F31EA" w:rsidRPr="00A0628A" w14:paraId="4A8432BF" w14:textId="77777777" w:rsidTr="00FE7E9C">
        <w:trPr>
          <w:cantSplit/>
        </w:trPr>
        <w:tc>
          <w:tcPr>
            <w:tcW w:w="1211" w:type="pct"/>
          </w:tcPr>
          <w:p w14:paraId="2269C927" w14:textId="4C9BA4E0" w:rsidR="007F31EA" w:rsidRDefault="007F31EA" w:rsidP="00180537">
            <w:pPr>
              <w:pStyle w:val="TableText"/>
            </w:pPr>
            <w:r>
              <w:t xml:space="preserve">ISS </w:t>
            </w:r>
          </w:p>
        </w:tc>
        <w:tc>
          <w:tcPr>
            <w:tcW w:w="3789" w:type="pct"/>
          </w:tcPr>
          <w:p w14:paraId="4F56A852" w14:textId="4E98857E" w:rsidR="007F31EA" w:rsidRDefault="007F31EA" w:rsidP="00180537">
            <w:pPr>
              <w:pStyle w:val="TableText"/>
            </w:pPr>
            <w:r w:rsidRPr="007F31EA">
              <w:t>International Social Service</w:t>
            </w:r>
          </w:p>
        </w:tc>
      </w:tr>
      <w:tr w:rsidR="00180537" w:rsidRPr="00A0628A" w14:paraId="460646A6" w14:textId="77777777" w:rsidTr="00FE7E9C">
        <w:trPr>
          <w:cantSplit/>
        </w:trPr>
        <w:tc>
          <w:tcPr>
            <w:tcW w:w="1211" w:type="pct"/>
          </w:tcPr>
          <w:p w14:paraId="010A7A27" w14:textId="77777777" w:rsidR="00180537" w:rsidRDefault="00180537" w:rsidP="00180537">
            <w:pPr>
              <w:pStyle w:val="TableText"/>
            </w:pPr>
            <w:r>
              <w:t>IVF</w:t>
            </w:r>
          </w:p>
        </w:tc>
        <w:tc>
          <w:tcPr>
            <w:tcW w:w="3789" w:type="pct"/>
          </w:tcPr>
          <w:p w14:paraId="09FCE5BD" w14:textId="77777777" w:rsidR="00180537" w:rsidRDefault="00180537" w:rsidP="00180537">
            <w:pPr>
              <w:pStyle w:val="TableText"/>
            </w:pPr>
            <w:r>
              <w:t>In-vitro fertilisation</w:t>
            </w:r>
          </w:p>
        </w:tc>
      </w:tr>
      <w:tr w:rsidR="00A55A9C" w:rsidRPr="00A0628A" w14:paraId="2F2761FB" w14:textId="77777777" w:rsidTr="00FE7E9C">
        <w:trPr>
          <w:cantSplit/>
        </w:trPr>
        <w:tc>
          <w:tcPr>
            <w:tcW w:w="1211" w:type="pct"/>
          </w:tcPr>
          <w:p w14:paraId="7920D40E" w14:textId="130EC9FF" w:rsidR="00A55A9C" w:rsidRDefault="00A55A9C" w:rsidP="002F7F8E">
            <w:pPr>
              <w:pStyle w:val="TableText"/>
            </w:pPr>
            <w:r>
              <w:t>KPI</w:t>
            </w:r>
          </w:p>
        </w:tc>
        <w:tc>
          <w:tcPr>
            <w:tcW w:w="3789" w:type="pct"/>
          </w:tcPr>
          <w:p w14:paraId="7B7413C5" w14:textId="1D7894B3" w:rsidR="00A55A9C" w:rsidRDefault="00A55A9C" w:rsidP="002F7F8E">
            <w:pPr>
              <w:pStyle w:val="TableText"/>
            </w:pPr>
            <w:r>
              <w:t>Key Performance Indicator</w:t>
            </w:r>
          </w:p>
        </w:tc>
      </w:tr>
      <w:tr w:rsidR="007F31EA" w:rsidRPr="00A0628A" w14:paraId="755655DD" w14:textId="77777777" w:rsidTr="00FE7E9C">
        <w:trPr>
          <w:cantSplit/>
        </w:trPr>
        <w:tc>
          <w:tcPr>
            <w:tcW w:w="1211" w:type="pct"/>
          </w:tcPr>
          <w:p w14:paraId="7389E1D2" w14:textId="12A6CA13" w:rsidR="007F31EA" w:rsidRDefault="007F31EA" w:rsidP="002F7F8E">
            <w:pPr>
              <w:pStyle w:val="TableText"/>
            </w:pPr>
            <w:r>
              <w:t>LifeWorks</w:t>
            </w:r>
          </w:p>
        </w:tc>
        <w:tc>
          <w:tcPr>
            <w:tcW w:w="3789" w:type="pct"/>
          </w:tcPr>
          <w:p w14:paraId="0BA934AC" w14:textId="686C0272" w:rsidR="007F31EA" w:rsidRDefault="007F31EA" w:rsidP="002F7F8E">
            <w:pPr>
              <w:pStyle w:val="TableText"/>
            </w:pPr>
            <w:r>
              <w:t xml:space="preserve">LifeWorks </w:t>
            </w:r>
            <w:r w:rsidRPr="007F31EA">
              <w:t>Relationship Counselling and Education Services</w:t>
            </w:r>
          </w:p>
        </w:tc>
      </w:tr>
      <w:tr w:rsidR="00F777A0" w:rsidRPr="00A0628A" w14:paraId="6FED49ED" w14:textId="77777777" w:rsidTr="00FE7E9C">
        <w:trPr>
          <w:cantSplit/>
        </w:trPr>
        <w:tc>
          <w:tcPr>
            <w:tcW w:w="1211" w:type="pct"/>
          </w:tcPr>
          <w:p w14:paraId="3767033A" w14:textId="362722DA" w:rsidR="00F777A0" w:rsidRDefault="00F777A0" w:rsidP="002F7F8E">
            <w:pPr>
              <w:pStyle w:val="TableText"/>
            </w:pPr>
            <w:r>
              <w:t>n.d</w:t>
            </w:r>
          </w:p>
        </w:tc>
        <w:tc>
          <w:tcPr>
            <w:tcW w:w="3789" w:type="pct"/>
          </w:tcPr>
          <w:p w14:paraId="05F3AAD4" w14:textId="5BD949F2" w:rsidR="00F777A0" w:rsidRDefault="00F777A0" w:rsidP="002F7F8E">
            <w:pPr>
              <w:pStyle w:val="TableText"/>
            </w:pPr>
            <w:r>
              <w:t>No date</w:t>
            </w:r>
          </w:p>
        </w:tc>
      </w:tr>
      <w:tr w:rsidR="00FE7E9C" w:rsidRPr="00A0628A" w14:paraId="22D1FFA0" w14:textId="77777777" w:rsidTr="00FE7E9C">
        <w:trPr>
          <w:cantSplit/>
        </w:trPr>
        <w:tc>
          <w:tcPr>
            <w:tcW w:w="1211" w:type="pct"/>
          </w:tcPr>
          <w:p w14:paraId="0E313150" w14:textId="6D485E76" w:rsidR="00FE7E9C" w:rsidRDefault="00FE7E9C" w:rsidP="002F7F8E">
            <w:pPr>
              <w:pStyle w:val="TableText"/>
            </w:pPr>
            <w:r>
              <w:t>PAP</w:t>
            </w:r>
          </w:p>
        </w:tc>
        <w:tc>
          <w:tcPr>
            <w:tcW w:w="3789" w:type="pct"/>
          </w:tcPr>
          <w:p w14:paraId="103D82DD" w14:textId="798E1F93" w:rsidR="00FE7E9C" w:rsidRDefault="00FE7E9C" w:rsidP="002F7F8E">
            <w:pPr>
              <w:pStyle w:val="TableText"/>
            </w:pPr>
            <w:r>
              <w:t>Prospective adoptive parent.  In this report, this term is used to describe people involved in all stages of the ICA process from initial enquiry to the post-adoption phase</w:t>
            </w:r>
          </w:p>
        </w:tc>
      </w:tr>
      <w:tr w:rsidR="002F7F8E" w:rsidRPr="00A0628A" w14:paraId="6F276F68" w14:textId="77777777" w:rsidTr="00FE7E9C">
        <w:trPr>
          <w:cantSplit/>
        </w:trPr>
        <w:tc>
          <w:tcPr>
            <w:tcW w:w="1211" w:type="pct"/>
          </w:tcPr>
          <w:p w14:paraId="79D11C1D" w14:textId="77777777" w:rsidR="002F7F8E" w:rsidRDefault="002F7F8E" w:rsidP="002F7F8E">
            <w:pPr>
              <w:pStyle w:val="TableText"/>
            </w:pPr>
            <w:r>
              <w:t>PM&amp;C</w:t>
            </w:r>
          </w:p>
        </w:tc>
        <w:tc>
          <w:tcPr>
            <w:tcW w:w="3789" w:type="pct"/>
          </w:tcPr>
          <w:p w14:paraId="663089E8" w14:textId="77777777" w:rsidR="002F7F8E" w:rsidRDefault="002F7F8E" w:rsidP="002F7F8E">
            <w:pPr>
              <w:pStyle w:val="TableText"/>
            </w:pPr>
            <w:r>
              <w:t>Prime Minister and Cabinet</w:t>
            </w:r>
          </w:p>
        </w:tc>
      </w:tr>
      <w:tr w:rsidR="002F7F8E" w:rsidRPr="00A0628A" w14:paraId="0AD88434" w14:textId="77777777" w:rsidTr="00FE7E9C">
        <w:trPr>
          <w:cantSplit/>
        </w:trPr>
        <w:tc>
          <w:tcPr>
            <w:tcW w:w="1211" w:type="pct"/>
          </w:tcPr>
          <w:p w14:paraId="56E9D8B9" w14:textId="77777777" w:rsidR="002F7F8E" w:rsidRPr="00A0628A" w:rsidRDefault="002F7F8E" w:rsidP="002F7F8E">
            <w:pPr>
              <w:pStyle w:val="TableText"/>
            </w:pPr>
            <w:r>
              <w:t>STCA</w:t>
            </w:r>
          </w:p>
        </w:tc>
        <w:tc>
          <w:tcPr>
            <w:tcW w:w="3789" w:type="pct"/>
          </w:tcPr>
          <w:p w14:paraId="642C196E" w14:textId="77777777" w:rsidR="002F7F8E" w:rsidRPr="00A0628A" w:rsidRDefault="002F7F8E" w:rsidP="002F7F8E">
            <w:pPr>
              <w:pStyle w:val="TableText"/>
            </w:pPr>
            <w:r>
              <w:t>State and territory central authority</w:t>
            </w:r>
          </w:p>
        </w:tc>
      </w:tr>
      <w:tr w:rsidR="002F7F8E" w:rsidRPr="00A0628A" w14:paraId="20DCAE58" w14:textId="77777777" w:rsidTr="00FE7E9C">
        <w:trPr>
          <w:cantSplit/>
        </w:trPr>
        <w:tc>
          <w:tcPr>
            <w:tcW w:w="1211" w:type="pct"/>
          </w:tcPr>
          <w:p w14:paraId="2F54804E" w14:textId="77777777" w:rsidR="002F7F8E" w:rsidRPr="00A0628A" w:rsidRDefault="002F7F8E" w:rsidP="002F7F8E">
            <w:pPr>
              <w:pStyle w:val="TableText"/>
            </w:pPr>
            <w:r>
              <w:rPr>
                <w:lang w:eastAsia="en-AU"/>
              </w:rPr>
              <w:t>WWII</w:t>
            </w:r>
          </w:p>
        </w:tc>
        <w:tc>
          <w:tcPr>
            <w:tcW w:w="3789" w:type="pct"/>
          </w:tcPr>
          <w:p w14:paraId="57CAF9C4" w14:textId="77777777" w:rsidR="002F7F8E" w:rsidRPr="00A0628A" w:rsidRDefault="002F7F8E" w:rsidP="002F7F8E">
            <w:pPr>
              <w:pStyle w:val="TableText"/>
            </w:pPr>
            <w:r>
              <w:t>World War II</w:t>
            </w:r>
          </w:p>
        </w:tc>
      </w:tr>
    </w:tbl>
    <w:p w14:paraId="779BC10C" w14:textId="77777777" w:rsidR="00444F2E" w:rsidRDefault="00444F2E">
      <w:pPr>
        <w:rPr>
          <w:rFonts w:eastAsia="Arial Unicode MS" w:cs="Calibri"/>
          <w:b/>
          <w:color w:val="0079C1" w:themeColor="text2"/>
          <w:sz w:val="48"/>
          <w:szCs w:val="88"/>
          <w:lang w:eastAsia="en-AU"/>
        </w:rPr>
      </w:pPr>
      <w:r>
        <w:br w:type="page"/>
      </w:r>
    </w:p>
    <w:p w14:paraId="01706BFA" w14:textId="40541868" w:rsidR="00444F2E" w:rsidRPr="00331FE4" w:rsidRDefault="00B30988" w:rsidP="00283E1C">
      <w:pPr>
        <w:pStyle w:val="TOCHeading"/>
      </w:pPr>
      <w:r>
        <w:lastRenderedPageBreak/>
        <w:t xml:space="preserve">Glossary of </w:t>
      </w:r>
      <w:r w:rsidR="00CF3866">
        <w:t>t</w:t>
      </w:r>
      <w:r w:rsidR="00444F2E">
        <w:t>erms</w:t>
      </w:r>
    </w:p>
    <w:tbl>
      <w:tblPr>
        <w:tblW w:w="4894" w:type="pct"/>
        <w:tblInd w:w="108"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Pr>
      <w:tblGrid>
        <w:gridCol w:w="2218"/>
        <w:gridCol w:w="6939"/>
      </w:tblGrid>
      <w:tr w:rsidR="00444F2E" w:rsidRPr="00A0628A" w14:paraId="49DB1957" w14:textId="77777777" w:rsidTr="00444F2E">
        <w:trPr>
          <w:cantSplit/>
          <w:tblHeader/>
        </w:trPr>
        <w:tc>
          <w:tcPr>
            <w:tcW w:w="1211" w:type="pct"/>
            <w:tcBorders>
              <w:top w:val="single" w:sz="4" w:space="0" w:color="0079C1" w:themeColor="text2"/>
              <w:bottom w:val="single" w:sz="4" w:space="0" w:color="0079C1" w:themeColor="text2"/>
            </w:tcBorders>
            <w:shd w:val="clear" w:color="auto" w:fill="0079C1" w:themeFill="text2"/>
          </w:tcPr>
          <w:p w14:paraId="38D66E83" w14:textId="0FD72326" w:rsidR="00444F2E" w:rsidRPr="00A0628A" w:rsidRDefault="00F42A0E" w:rsidP="00B43C54">
            <w:pPr>
              <w:pStyle w:val="TableHeading1"/>
            </w:pPr>
            <w:r>
              <w:t>Term</w:t>
            </w:r>
          </w:p>
        </w:tc>
        <w:tc>
          <w:tcPr>
            <w:tcW w:w="3789" w:type="pct"/>
            <w:tcBorders>
              <w:top w:val="single" w:sz="4" w:space="0" w:color="0079C1" w:themeColor="text2"/>
              <w:bottom w:val="single" w:sz="4" w:space="0" w:color="0079C1" w:themeColor="text2"/>
            </w:tcBorders>
            <w:shd w:val="clear" w:color="auto" w:fill="0079C1" w:themeFill="text2"/>
          </w:tcPr>
          <w:p w14:paraId="155A722E" w14:textId="77777777" w:rsidR="00444F2E" w:rsidRPr="00A0628A" w:rsidRDefault="00444F2E" w:rsidP="00B43C54">
            <w:pPr>
              <w:pStyle w:val="TableHeading1"/>
            </w:pPr>
            <w:r w:rsidRPr="00A0628A">
              <w:t>Definition</w:t>
            </w:r>
          </w:p>
        </w:tc>
      </w:tr>
      <w:tr w:rsidR="00444F2E" w:rsidRPr="00A0628A" w14:paraId="69D69557" w14:textId="77777777" w:rsidTr="00444F2E">
        <w:trPr>
          <w:cantSplit/>
        </w:trPr>
        <w:tc>
          <w:tcPr>
            <w:tcW w:w="1211" w:type="pct"/>
            <w:tcBorders>
              <w:top w:val="single" w:sz="4" w:space="0" w:color="0079C1" w:themeColor="text2"/>
            </w:tcBorders>
          </w:tcPr>
          <w:p w14:paraId="7567F525" w14:textId="20FBD26C" w:rsidR="00444F2E" w:rsidRPr="00A0628A" w:rsidRDefault="00F42A0E" w:rsidP="00B43C54">
            <w:pPr>
              <w:pStyle w:val="TableText"/>
            </w:pPr>
            <w:r>
              <w:t>Ad hoc adoption</w:t>
            </w:r>
          </w:p>
        </w:tc>
        <w:tc>
          <w:tcPr>
            <w:tcW w:w="3789" w:type="pct"/>
            <w:tcBorders>
              <w:top w:val="single" w:sz="4" w:space="0" w:color="0079C1" w:themeColor="text2"/>
            </w:tcBorders>
          </w:tcPr>
          <w:p w14:paraId="303484C7" w14:textId="27BB7D69" w:rsidR="00444F2E" w:rsidRPr="00A0628A" w:rsidRDefault="00F42A0E" w:rsidP="002F1254">
            <w:pPr>
              <w:pStyle w:val="TableText"/>
            </w:pPr>
            <w:r>
              <w:rPr>
                <w:lang w:eastAsia="en-AU"/>
              </w:rPr>
              <w:t>Adoption f</w:t>
            </w:r>
            <w:r w:rsidR="002F1254">
              <w:rPr>
                <w:lang w:eastAsia="en-AU"/>
              </w:rPr>
              <w:t>rom</w:t>
            </w:r>
            <w:r>
              <w:rPr>
                <w:lang w:eastAsia="en-AU"/>
              </w:rPr>
              <w:t xml:space="preserve"> a country that is not an Australian partner country</w:t>
            </w:r>
          </w:p>
        </w:tc>
      </w:tr>
      <w:tr w:rsidR="00444F2E" w:rsidRPr="00A0628A" w14:paraId="0AEA89C5" w14:textId="77777777" w:rsidTr="00444F2E">
        <w:trPr>
          <w:cantSplit/>
        </w:trPr>
        <w:tc>
          <w:tcPr>
            <w:tcW w:w="1211" w:type="pct"/>
          </w:tcPr>
          <w:p w14:paraId="544B013E" w14:textId="52D3F9A3" w:rsidR="00444F2E" w:rsidRDefault="00F42A0E" w:rsidP="00B43C54">
            <w:pPr>
              <w:pStyle w:val="TableText"/>
            </w:pPr>
            <w:r>
              <w:t>Implementation Plan</w:t>
            </w:r>
          </w:p>
        </w:tc>
        <w:tc>
          <w:tcPr>
            <w:tcW w:w="3789" w:type="pct"/>
          </w:tcPr>
          <w:p w14:paraId="5C7B8D59" w14:textId="2D63A780" w:rsidR="00444F2E" w:rsidRDefault="00F42A0E" w:rsidP="00B43C54">
            <w:pPr>
              <w:pStyle w:val="TableText"/>
            </w:pPr>
            <w:r w:rsidRPr="00655E7B">
              <w:t>Intercountry Adoption Reform Implementation Plan (</w:t>
            </w:r>
            <w:r w:rsidR="008B0955">
              <w:t xml:space="preserve">Reform </w:t>
            </w:r>
            <w:r w:rsidRPr="00655E7B">
              <w:t>Implementation Plan)</w:t>
            </w:r>
          </w:p>
        </w:tc>
      </w:tr>
      <w:tr w:rsidR="00444F2E" w:rsidRPr="00A0628A" w14:paraId="08DBF1AB" w14:textId="77777777" w:rsidTr="00444F2E">
        <w:trPr>
          <w:cantSplit/>
        </w:trPr>
        <w:tc>
          <w:tcPr>
            <w:tcW w:w="1211" w:type="pct"/>
          </w:tcPr>
          <w:p w14:paraId="62B3F666" w14:textId="21CF775B" w:rsidR="00444F2E" w:rsidRPr="00A0628A" w:rsidRDefault="00F42A0E" w:rsidP="00B43C54">
            <w:pPr>
              <w:pStyle w:val="TableText"/>
            </w:pPr>
            <w:r>
              <w:t>Informant</w:t>
            </w:r>
          </w:p>
        </w:tc>
        <w:tc>
          <w:tcPr>
            <w:tcW w:w="3789" w:type="pct"/>
          </w:tcPr>
          <w:p w14:paraId="2D008ADC" w14:textId="5EC6E0F0" w:rsidR="00444F2E" w:rsidRPr="00A0628A" w:rsidRDefault="009D7F5B" w:rsidP="002F1254">
            <w:pPr>
              <w:pStyle w:val="TableText"/>
            </w:pPr>
            <w:r w:rsidRPr="00461816">
              <w:t>Collective term to describe survey respondents and focus group participants</w:t>
            </w:r>
          </w:p>
        </w:tc>
      </w:tr>
      <w:tr w:rsidR="00444F2E" w:rsidRPr="00A0628A" w14:paraId="54B2922A" w14:textId="77777777" w:rsidTr="00444F2E">
        <w:trPr>
          <w:cantSplit/>
        </w:trPr>
        <w:tc>
          <w:tcPr>
            <w:tcW w:w="1211" w:type="pct"/>
          </w:tcPr>
          <w:p w14:paraId="43451770" w14:textId="18F48374" w:rsidR="00444F2E" w:rsidRDefault="00F42A0E" w:rsidP="00B43C54">
            <w:pPr>
              <w:pStyle w:val="TableText"/>
            </w:pPr>
            <w:r>
              <w:t>Parental respondents</w:t>
            </w:r>
          </w:p>
        </w:tc>
        <w:tc>
          <w:tcPr>
            <w:tcW w:w="3789" w:type="pct"/>
          </w:tcPr>
          <w:p w14:paraId="4CA0ED0B" w14:textId="180AEE94" w:rsidR="00444F2E" w:rsidRDefault="00F42A0E" w:rsidP="00B43C54">
            <w:pPr>
              <w:pStyle w:val="TableText"/>
            </w:pPr>
            <w:r>
              <w:t>Includes survey respondents who wanted to adopt through ICA (for the first time or as repeat applicants), those in the post-adoption phase and those who had d</w:t>
            </w:r>
            <w:r w:rsidR="002F1254">
              <w:t>ecided not to continue with ICA</w:t>
            </w:r>
          </w:p>
        </w:tc>
      </w:tr>
      <w:tr w:rsidR="00444F2E" w:rsidRPr="00A0628A" w14:paraId="7459EEDB" w14:textId="77777777" w:rsidTr="00444F2E">
        <w:trPr>
          <w:cantSplit/>
        </w:trPr>
        <w:tc>
          <w:tcPr>
            <w:tcW w:w="1211" w:type="pct"/>
          </w:tcPr>
          <w:p w14:paraId="024DA2CF" w14:textId="7862933C" w:rsidR="00444F2E" w:rsidRDefault="00F673EB" w:rsidP="00B43C54">
            <w:pPr>
              <w:pStyle w:val="TableText"/>
            </w:pPr>
            <w:r>
              <w:t>Wanting to adopt (category of survey respondent)</w:t>
            </w:r>
          </w:p>
        </w:tc>
        <w:tc>
          <w:tcPr>
            <w:tcW w:w="3789" w:type="pct"/>
          </w:tcPr>
          <w:p w14:paraId="637C0217" w14:textId="2ABE8940" w:rsidR="00444F2E" w:rsidRDefault="002E6579" w:rsidP="00B43C54">
            <w:pPr>
              <w:pStyle w:val="TableText"/>
            </w:pPr>
            <w:r>
              <w:t>First time</w:t>
            </w:r>
            <w:r w:rsidR="00F673EB">
              <w:t xml:space="preserve">:  </w:t>
            </w:r>
            <w:r w:rsidR="00F673EB" w:rsidRPr="00F673EB">
              <w:t>A person wanting to adopt, or in the process of adopting, a child from overseas</w:t>
            </w:r>
          </w:p>
          <w:p w14:paraId="776B8F00" w14:textId="30CC57B8" w:rsidR="00F673EB" w:rsidRDefault="00F673EB" w:rsidP="002F1254">
            <w:pPr>
              <w:pStyle w:val="TableText"/>
            </w:pPr>
            <w:r w:rsidRPr="00F673EB">
              <w:t>Repeat:</w:t>
            </w:r>
            <w:r w:rsidR="007573DD" w:rsidRPr="00F673EB">
              <w:tab/>
            </w:r>
            <w:r w:rsidR="007573DD">
              <w:t xml:space="preserve"> A</w:t>
            </w:r>
            <w:r w:rsidRPr="00F673EB">
              <w:t xml:space="preserve"> person who has already adopted </w:t>
            </w:r>
            <w:r w:rsidR="007573DD" w:rsidRPr="00F673EB">
              <w:t>some child/ children</w:t>
            </w:r>
            <w:r w:rsidRPr="00F673EB">
              <w:t xml:space="preserve"> from overseas and </w:t>
            </w:r>
            <w:r w:rsidR="002F1254">
              <w:t>is</w:t>
            </w:r>
            <w:r w:rsidRPr="00F673EB">
              <w:t xml:space="preserve"> now seeking to adopt another child</w:t>
            </w:r>
          </w:p>
        </w:tc>
      </w:tr>
    </w:tbl>
    <w:p w14:paraId="4AD2F7F0" w14:textId="77777777" w:rsidR="00A42D43" w:rsidRDefault="00A42D43" w:rsidP="00FF3955">
      <w:pPr>
        <w:pStyle w:val="Paragraph"/>
      </w:pPr>
    </w:p>
    <w:p w14:paraId="1A7E8D01" w14:textId="77777777" w:rsidR="00A42D43" w:rsidRPr="00331FE4" w:rsidRDefault="00A42D43" w:rsidP="00FF3955">
      <w:pPr>
        <w:pStyle w:val="Paragraph"/>
        <w:sectPr w:rsidR="00A42D43" w:rsidRPr="00331FE4" w:rsidSect="00E71DBD">
          <w:pgSz w:w="11907" w:h="16840" w:code="9"/>
          <w:pgMar w:top="1134" w:right="1134" w:bottom="1134" w:left="1418" w:header="567" w:footer="567" w:gutter="0"/>
          <w:pgNumType w:fmt="lowerRoman"/>
          <w:cols w:space="680"/>
          <w:docGrid w:linePitch="360"/>
        </w:sectPr>
      </w:pPr>
    </w:p>
    <w:p w14:paraId="03F4188A" w14:textId="77777777" w:rsidR="004942B7" w:rsidRDefault="004942B7" w:rsidP="004942B7"/>
    <w:bookmarkStart w:id="2" w:name="_Ref458174647"/>
    <w:bookmarkStart w:id="3" w:name="_Toc490481602"/>
    <w:p w14:paraId="465E09F3" w14:textId="77777777" w:rsidR="00572725" w:rsidRDefault="00B36A43" w:rsidP="00283E1C">
      <w:pPr>
        <w:pStyle w:val="Heading1"/>
      </w:pPr>
      <w:r>
        <w:rPr>
          <w:noProof/>
          <w:lang w:val="en-AU" w:eastAsia="en-AU"/>
        </w:rPr>
        <mc:AlternateContent>
          <mc:Choice Requires="wps">
            <w:drawing>
              <wp:anchor distT="0" distB="0" distL="114300" distR="114300" simplePos="0" relativeHeight="251646976" behindDoc="1" locked="0" layoutInCell="1" allowOverlap="1" wp14:anchorId="2000A8EF" wp14:editId="5D881119">
                <wp:simplePos x="0" y="0"/>
                <wp:positionH relativeFrom="page">
                  <wp:align>left</wp:align>
                </wp:positionH>
                <wp:positionV relativeFrom="page">
                  <wp:align>top</wp:align>
                </wp:positionV>
                <wp:extent cx="7632065" cy="10763885"/>
                <wp:effectExtent l="0" t="0" r="6985" b="0"/>
                <wp:wrapNone/>
                <wp:docPr id="696" name="Rectangle 1" title="&quot; &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2065" cy="107638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498A0" id="Rectangle 1" o:spid="_x0000_s1026" alt="Title: &quot; &quot;" style="position:absolute;margin-left:0;margin-top:0;width:600.95pt;height:847.55pt;z-index:-2516695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PacrgIAALcFAAAOAAAAZHJzL2Uyb0RvYy54bWysVN9P2zAQfp+0/8Hyw95G0o4WyEhRxcQ0&#10;qQIETDwbx26iOT5ju027v35nOwkdQ3uY1gfX5/vuux+5u/OLXavIVljXgC7p5CinRGgOVaPXJf3+&#10;cPXxlBLnma6YAi1KuheOXizevzvvTCGmUIOqhCVIol3RmZLW3psiyxyvRcvcERihUSnBtsyjaNdZ&#10;ZVmH7K3Kpnk+zzqwlbHAhXP4+iUp6SLySym4v5HSCU9USTE2H08bz6dwZotzVqwtM3XD+zDYP0TR&#10;skaj05HqC/OMbGzzB1XbcAsOpD/i0GYgZcNFzAGzmeSvsrmvmRExFyyOM2OZ3P+j5dfbW0uaqqTz&#10;szklmrX4ke6wbEyvlSATLFnjFb59eN6A/0zSXyhbZ1yB1vfm1obEnVkB/+FQkf2mCYLrMTtp24DF&#10;tMkufoP9+A3EzhOOjyfzT9N8PqOEo26So3h6Ogv+MlYM9sY6/1VAS8KlpBbDjcVn25XzCTpAYmig&#10;muqqUSoKobPEpbJky7An/G7ak7tDlNIBqyFYJcLwEjNLycS0/F6JgFP6TkgsIoY/jYHE9n1xwjgX&#10;2k+SqmaVSL5nOf4G70NYMdFIGJgl+h+5e4IBmUgG7hRljw+mInb/aJz/LbBkPFpEz6D9aNw2Guxb&#10;BAqz6j0n/FCkVJpQpSeo9thiFtLsOcOvGvxsK+b8LbM4bDiWuED8DR5SQVdS6G+U1GB/vvUe8DgD&#10;qKWkw+EtqXveMCsoUd80TsfZ5Pg4THsUjmcnUxTsoebpUKM37SVgL2CzY3TxGvBeDVdpoX3EPbMM&#10;XlHFNEffJeXeDsKlT0sFNxUXy2WE4YQb5lf63vBAHqoa2vJh98is6XvXY99fwzDorHjVwgkbLDUs&#10;Nx5kE/v7pa59vXE7xMbpN1lYP4dyRL3s28UvAAAA//8DAFBLAwQUAAYACAAAACEAcIV8ZtwAAAAH&#10;AQAADwAAAGRycy9kb3ducmV2LnhtbEyPQW/CMAyF75P4D5GRdhtpmcZKaYoQUjlO0G3iahqvrdY4&#10;VROg+/cLu4yL9axnvfc5W4+mExcaXGtZQTyLQBBXVrdcK/h4L54SEM4ja+wsk4IfcrDOJw8Zptpe&#10;+UCX0tcihLBLUUHjfZ9K6aqGDLqZ7YmD92UHgz6sQy31gNcQbjo5j6KFNNhyaGiwp21D1Xd5NgqK&#10;4yslh3i/242fz/tEl2++QFLqcTpuViA8jf7/GG74AR3ywHSyZ9ZOdArCI/5v3rx5FC9BnIJaLF9i&#10;kHkm7/nzXwAAAP//AwBQSwECLQAUAAYACAAAACEAtoM4kv4AAADhAQAAEwAAAAAAAAAAAAAAAAAA&#10;AAAAW0NvbnRlbnRfVHlwZXNdLnhtbFBLAQItABQABgAIAAAAIQA4/SH/1gAAAJQBAAALAAAAAAAA&#10;AAAAAAAAAC8BAABfcmVscy8ucmVsc1BLAQItABQABgAIAAAAIQATnPacrgIAALcFAAAOAAAAAAAA&#10;AAAAAAAAAC4CAABkcnMvZTJvRG9jLnhtbFBLAQItABQABgAIAAAAIQBwhXxm3AAAAAcBAAAPAAAA&#10;AAAAAAAAAAAAAAgFAABkcnMvZG93bnJldi54bWxQSwUGAAAAAAQABADzAAAAEQYAAAAA&#10;" fillcolor="#0079c1 [3215]" stroked="f" strokeweight="2pt">
                <v:path arrowok="t"/>
                <w10:wrap anchorx="page" anchory="page"/>
              </v:rect>
            </w:pict>
          </mc:Fallback>
        </mc:AlternateContent>
      </w:r>
      <w:r w:rsidR="00C10184">
        <w:t xml:space="preserve">Executive </w:t>
      </w:r>
      <w:r w:rsidR="00A13B4A">
        <w:t>s</w:t>
      </w:r>
      <w:r w:rsidR="00C10184">
        <w:t>ummary</w:t>
      </w:r>
      <w:bookmarkEnd w:id="2"/>
      <w:bookmarkEnd w:id="3"/>
    </w:p>
    <w:p w14:paraId="20B08260" w14:textId="77777777" w:rsidR="00126818" w:rsidRDefault="00126818" w:rsidP="003E39FE">
      <w:r>
        <w:br w:type="page"/>
      </w:r>
    </w:p>
    <w:p w14:paraId="2E866136" w14:textId="77777777" w:rsidR="00726BD5" w:rsidRDefault="00726BD5" w:rsidP="00283E1C">
      <w:pPr>
        <w:pStyle w:val="Heading2"/>
      </w:pPr>
      <w:bookmarkStart w:id="4" w:name="_Toc458162057"/>
      <w:bookmarkStart w:id="5" w:name="_Toc490481603"/>
      <w:r>
        <w:lastRenderedPageBreak/>
        <w:t>Introduction</w:t>
      </w:r>
      <w:bookmarkEnd w:id="4"/>
      <w:bookmarkEnd w:id="5"/>
    </w:p>
    <w:p w14:paraId="744C2144" w14:textId="251A77C7" w:rsidR="00726BD5" w:rsidRPr="00CA2B41" w:rsidRDefault="00726BD5" w:rsidP="00E07D8E">
      <w:pPr>
        <w:pStyle w:val="Paragraph"/>
      </w:pPr>
      <w:r>
        <w:t xml:space="preserve">Recognising the complexities involved in the intercountry adoption (ICA) process, </w:t>
      </w:r>
      <w:r w:rsidR="00863490">
        <w:fldChar w:fldCharType="begin" w:fldLock="1"/>
      </w:r>
      <w:r>
        <w:instrText>ADDIN CSL_CITATION { "citationItems" : [ { "id" : "ITEM-1", "itemData" : { "author" : [ { "dropping-particle" : "", "family" : "Department of the Prime Minister and Cabinet", "given" : "", "non-dropping-particle" : "", "parse-names" : false, "suffix" : "" } ], "id" : "ITEM-1", "issued" : { "date-parts" : [ [ "2014" ] ] }, "title" : "Report of the Interdepartmental Committee on Intercountry Adoption", "type" : "report" }, "uris" : [ "http://www.mendeley.com/documents/?uuid=4c4bcbce-ce75-4fea-8aa7-c079507828c7", "http://www.mendeley.com/documents/?uuid=330ffba5-453a-408b-b602-2fc19a74a927" ] } ], "mendeley" : { "formattedCitation" : "(Department of the Prime Minister and Cabinet 2014)", "plainTextFormattedCitation" : "(Department of the Prime Minister and Cabinet 2014)", "previouslyFormattedCitation" : "(Department of the Prime Minister and Cabinet 2014)" }, "properties" : { "noteIndex" : 0 }, "schema" : "https://github.com/citation-style-language/schema/raw/master/csl-citation.json" }</w:instrText>
      </w:r>
      <w:r w:rsidR="00863490">
        <w:fldChar w:fldCharType="separate"/>
      </w:r>
      <w:r w:rsidRPr="007B23FF">
        <w:rPr>
          <w:noProof/>
        </w:rPr>
        <w:t>(Department of the Prime Minister and Cabinet 2014)</w:t>
      </w:r>
      <w:r w:rsidR="00863490">
        <w:fldChar w:fldCharType="end"/>
      </w:r>
      <w:r>
        <w:t>, t</w:t>
      </w:r>
      <w:r w:rsidRPr="00CA2B41">
        <w:t xml:space="preserve">he </w:t>
      </w:r>
      <w:r w:rsidRPr="0057040F">
        <w:t xml:space="preserve">Australian Government </w:t>
      </w:r>
      <w:r>
        <w:t xml:space="preserve">established the </w:t>
      </w:r>
      <w:r w:rsidRPr="00CA2B41">
        <w:t>Interc</w:t>
      </w:r>
      <w:r w:rsidR="00882495">
        <w:t>ountry Adoption Australia (IAA)</w:t>
      </w:r>
      <w:r>
        <w:t xml:space="preserve"> service </w:t>
      </w:r>
      <w:r w:rsidRPr="0057040F">
        <w:t>on 17 May 2015</w:t>
      </w:r>
      <w:r>
        <w:t xml:space="preserve"> as a national </w:t>
      </w:r>
      <w:r w:rsidRPr="00CA2B41">
        <w:t xml:space="preserve">support service </w:t>
      </w:r>
      <w:r>
        <w:t>a</w:t>
      </w:r>
      <w:r w:rsidRPr="00CA2B41">
        <w:t xml:space="preserve">nd a central point of contact for people at all stages of the </w:t>
      </w:r>
      <w:r>
        <w:t>ICA</w:t>
      </w:r>
      <w:r w:rsidRPr="00CA2B41">
        <w:t xml:space="preserve"> process.  </w:t>
      </w:r>
      <w:r>
        <w:t xml:space="preserve">The IAA support service is operated by the Department of Social Services (DSS) and complements </w:t>
      </w:r>
      <w:r w:rsidRPr="00A521C3">
        <w:t>existing state and territory government services to assist people with the</w:t>
      </w:r>
      <w:r w:rsidR="00DF4F96">
        <w:t xml:space="preserve"> </w:t>
      </w:r>
      <w:r w:rsidR="0032517B">
        <w:t>ICA</w:t>
      </w:r>
      <w:r w:rsidRPr="00A521C3">
        <w:t xml:space="preserve"> process by providing information and access to support </w:t>
      </w:r>
      <w:r>
        <w:t>through two main mechanisms:</w:t>
      </w:r>
    </w:p>
    <w:p w14:paraId="27A526F0" w14:textId="7C3A6124" w:rsidR="00726BD5" w:rsidRDefault="00726BD5" w:rsidP="00726BD5">
      <w:pPr>
        <w:pStyle w:val="Bullet1"/>
      </w:pPr>
      <w:r>
        <w:t xml:space="preserve">A free 1800 information line operated by qualified social workers who provide general support, help with immigration, citizenship and passport processes, and referrals to support services, Commonwealth, state and territory governments.  </w:t>
      </w:r>
      <w:r w:rsidRPr="00983542">
        <w:t>The information line is open from 9am to 5pm</w:t>
      </w:r>
      <w:r w:rsidR="00ED6959">
        <w:t xml:space="preserve"> (AEST)</w:t>
      </w:r>
      <w:r w:rsidRPr="00983542">
        <w:t>, Monday to Friday</w:t>
      </w:r>
    </w:p>
    <w:p w14:paraId="05D39B22" w14:textId="77777777" w:rsidR="00726BD5" w:rsidRDefault="00726BD5" w:rsidP="00726BD5">
      <w:pPr>
        <w:pStyle w:val="Bullet1"/>
        <w:rPr>
          <w:lang w:eastAsia="en-GB"/>
        </w:rPr>
      </w:pPr>
      <w:r>
        <w:t xml:space="preserve">A national website which provides an overview of the ICA process, partner countries, things to consider when adopting, access to state or territory government information, and links to </w:t>
      </w:r>
      <w:r w:rsidRPr="004C0E0D">
        <w:rPr>
          <w:lang w:eastAsia="en-GB"/>
        </w:rPr>
        <w:t>support services</w:t>
      </w:r>
      <w:r>
        <w:rPr>
          <w:lang w:eastAsia="en-GB"/>
        </w:rPr>
        <w:t>.</w:t>
      </w:r>
    </w:p>
    <w:p w14:paraId="21F327F1" w14:textId="77777777" w:rsidR="00726BD5" w:rsidRDefault="00726BD5" w:rsidP="002C1B36">
      <w:pPr>
        <w:pStyle w:val="Paragraph"/>
      </w:pPr>
      <w:r w:rsidRPr="00A521C3">
        <w:t>Eligibility rules for adoptions and processing of applications from prospective adoptive parents continue to be the responsibility of state and territory governments.</w:t>
      </w:r>
    </w:p>
    <w:p w14:paraId="0371D65A" w14:textId="546B7A45" w:rsidR="00882495" w:rsidRDefault="00882495" w:rsidP="00283E1C">
      <w:pPr>
        <w:pStyle w:val="Heading2"/>
      </w:pPr>
      <w:bookmarkStart w:id="6" w:name="_Ref464830064"/>
      <w:bookmarkStart w:id="7" w:name="_Toc490481604"/>
      <w:bookmarkStart w:id="8" w:name="_Toc458162058"/>
      <w:r>
        <w:t>Evaluation objectives</w:t>
      </w:r>
      <w:bookmarkEnd w:id="6"/>
      <w:bookmarkEnd w:id="7"/>
      <w:r>
        <w:t xml:space="preserve"> </w:t>
      </w:r>
    </w:p>
    <w:p w14:paraId="20F347CA" w14:textId="19D9B0EC" w:rsidR="00882495" w:rsidRPr="00DB5FB9" w:rsidRDefault="00882495" w:rsidP="00E07D8E">
      <w:pPr>
        <w:pStyle w:val="Paragraph"/>
      </w:pPr>
      <w:r w:rsidRPr="00DB5FB9">
        <w:t xml:space="preserve">This document reports on an independent review of the IAA support service undertaken by AHA in 2015–16.  The review involved a synthesis of available data and collection and analysis of new data to assess whether the </w:t>
      </w:r>
      <w:r w:rsidR="002F1254">
        <w:t xml:space="preserve">IAA </w:t>
      </w:r>
      <w:r w:rsidRPr="00DB5FB9">
        <w:t>service:</w:t>
      </w:r>
    </w:p>
    <w:p w14:paraId="3015D0E6" w14:textId="77777777" w:rsidR="00882495" w:rsidRPr="00DB5FB9" w:rsidRDefault="00882495" w:rsidP="00882495">
      <w:pPr>
        <w:pStyle w:val="Bullet1"/>
      </w:pPr>
      <w:r w:rsidRPr="00DB5FB9">
        <w:t>Was implemented as intended</w:t>
      </w:r>
    </w:p>
    <w:p w14:paraId="4FFBCA17" w14:textId="77777777" w:rsidR="00882495" w:rsidRPr="00DB5FB9" w:rsidRDefault="00882495" w:rsidP="00882495">
      <w:pPr>
        <w:pStyle w:val="Bullet1"/>
      </w:pPr>
      <w:r w:rsidRPr="00DB5FB9">
        <w:t>Is achieving or is likely to achieve these intended outcomes:</w:t>
      </w:r>
    </w:p>
    <w:p w14:paraId="0984B996" w14:textId="77777777" w:rsidR="00882495" w:rsidRPr="00DB5FB9" w:rsidRDefault="00882495" w:rsidP="00882495">
      <w:pPr>
        <w:pStyle w:val="Bullet2"/>
      </w:pPr>
      <w:r w:rsidRPr="00DB5FB9">
        <w:t>Prospective adoptive parents and adoptive parents have access to information and referral to support services</w:t>
      </w:r>
    </w:p>
    <w:p w14:paraId="43D0722E" w14:textId="77777777" w:rsidR="00882495" w:rsidRPr="00DB5FB9" w:rsidRDefault="00882495" w:rsidP="00882495">
      <w:pPr>
        <w:pStyle w:val="Bullet2"/>
      </w:pPr>
      <w:r w:rsidRPr="00DB5FB9">
        <w:t>Prospective adoptive parents and adoptive parents’ experiences of the ICA process are positive</w:t>
      </w:r>
    </w:p>
    <w:p w14:paraId="2EB91B84" w14:textId="77777777" w:rsidR="00882495" w:rsidRPr="00DB5FB9" w:rsidRDefault="00882495" w:rsidP="00882495">
      <w:pPr>
        <w:pStyle w:val="Bullet2"/>
      </w:pPr>
      <w:r w:rsidRPr="00DB5FB9">
        <w:t>Adoptive parents’ experience of immigration and passport processes are improved</w:t>
      </w:r>
    </w:p>
    <w:p w14:paraId="0E615167" w14:textId="77777777" w:rsidR="00882495" w:rsidRPr="00DB5FB9" w:rsidRDefault="00882495" w:rsidP="00882495">
      <w:pPr>
        <w:pStyle w:val="Bullet2"/>
      </w:pPr>
      <w:r w:rsidRPr="00DB5FB9">
        <w:t>The service informs ICA policies and practices.</w:t>
      </w:r>
    </w:p>
    <w:p w14:paraId="0850120F" w14:textId="77777777" w:rsidR="00726BD5" w:rsidRPr="00CF3866" w:rsidRDefault="00726BD5" w:rsidP="00283E1C">
      <w:pPr>
        <w:pStyle w:val="Heading2"/>
      </w:pPr>
      <w:bookmarkStart w:id="9" w:name="_Toc490481605"/>
      <w:r w:rsidRPr="00CF3866">
        <w:t>Methods</w:t>
      </w:r>
      <w:bookmarkEnd w:id="8"/>
      <w:bookmarkEnd w:id="9"/>
    </w:p>
    <w:p w14:paraId="02D18432" w14:textId="77777777" w:rsidR="00726BD5" w:rsidRDefault="00726BD5" w:rsidP="00726BD5">
      <w:pPr>
        <w:pStyle w:val="Paragraph"/>
        <w:rPr>
          <w:lang w:eastAsia="en-AU"/>
        </w:rPr>
      </w:pPr>
      <w:r w:rsidRPr="00F7308A">
        <w:rPr>
          <w:lang w:eastAsia="en-AU"/>
        </w:rPr>
        <w:t>A mixed-methods approach involving a combination of quantitative and qualitative data sources was used to conduct the evaluation.  Information derived from multiple data sources was then triangulated to generate a synthesis of findings.</w:t>
      </w:r>
    </w:p>
    <w:p w14:paraId="3AC9353A" w14:textId="21C726DD" w:rsidR="00726BD5" w:rsidRPr="00F7308A" w:rsidRDefault="00726BD5" w:rsidP="00E07D8E">
      <w:pPr>
        <w:pStyle w:val="Paragraph"/>
      </w:pPr>
      <w:r w:rsidRPr="00F7308A">
        <w:rPr>
          <w:lang w:eastAsia="en-AU"/>
        </w:rPr>
        <w:t xml:space="preserve">These data sources included </w:t>
      </w:r>
      <w:r w:rsidR="0032517B">
        <w:rPr>
          <w:lang w:eastAsia="en-AU"/>
        </w:rPr>
        <w:t xml:space="preserve">a review of data provided by DSS and </w:t>
      </w:r>
      <w:r w:rsidRPr="00F7308A">
        <w:rPr>
          <w:lang w:eastAsia="en-AU"/>
        </w:rPr>
        <w:t>consultations</w:t>
      </w:r>
      <w:r w:rsidRPr="00F7308A">
        <w:t xml:space="preserve"> with the following key stakeholders involved in the ICA process:</w:t>
      </w:r>
    </w:p>
    <w:p w14:paraId="540BBB5A" w14:textId="77777777" w:rsidR="00726BD5" w:rsidRPr="00F7308A" w:rsidRDefault="00726BD5" w:rsidP="002C1B36">
      <w:pPr>
        <w:pStyle w:val="Bullet1"/>
      </w:pPr>
      <w:r w:rsidRPr="00F7308A">
        <w:t>Targeted service users via:</w:t>
      </w:r>
    </w:p>
    <w:p w14:paraId="611F4EE6" w14:textId="77777777" w:rsidR="00726BD5" w:rsidRPr="00F7308A" w:rsidRDefault="00726BD5" w:rsidP="00CF3866">
      <w:pPr>
        <w:pStyle w:val="Bullet2"/>
      </w:pPr>
      <w:r w:rsidRPr="00F7308A">
        <w:t xml:space="preserve">A national survey </w:t>
      </w:r>
    </w:p>
    <w:p w14:paraId="0922BA48" w14:textId="77777777" w:rsidR="00726BD5" w:rsidRPr="00F7308A" w:rsidRDefault="00726BD5" w:rsidP="00CF3866">
      <w:pPr>
        <w:pStyle w:val="Bullet2"/>
      </w:pPr>
      <w:r w:rsidRPr="00F7308A">
        <w:lastRenderedPageBreak/>
        <w:t>Follow-up interviews with a subset of survey respondents who had used the IAA service and those who had not</w:t>
      </w:r>
    </w:p>
    <w:p w14:paraId="1450FEC7" w14:textId="77777777" w:rsidR="00726BD5" w:rsidRPr="00F7308A" w:rsidRDefault="00726BD5" w:rsidP="00CF3866">
      <w:pPr>
        <w:pStyle w:val="Bullet1"/>
      </w:pPr>
      <w:r w:rsidRPr="00F7308A">
        <w:t>Telephone consultations with:</w:t>
      </w:r>
    </w:p>
    <w:p w14:paraId="024AC8A0" w14:textId="77777777" w:rsidR="00726BD5" w:rsidRPr="00F7308A" w:rsidRDefault="00726BD5" w:rsidP="00726BD5">
      <w:pPr>
        <w:pStyle w:val="Bullet2"/>
      </w:pPr>
      <w:r>
        <w:t>Commonwealth</w:t>
      </w:r>
      <w:r w:rsidRPr="00F7308A">
        <w:t xml:space="preserve"> departments </w:t>
      </w:r>
    </w:p>
    <w:p w14:paraId="09FF5BAC" w14:textId="77777777" w:rsidR="00726BD5" w:rsidRPr="00F7308A" w:rsidRDefault="00726BD5" w:rsidP="00726BD5">
      <w:pPr>
        <w:pStyle w:val="Bullet2"/>
      </w:pPr>
      <w:r w:rsidRPr="00F7308A">
        <w:t>STCAs</w:t>
      </w:r>
    </w:p>
    <w:p w14:paraId="246C9C25" w14:textId="77777777" w:rsidR="00726BD5" w:rsidRPr="00F7308A" w:rsidRDefault="00726BD5" w:rsidP="00726BD5">
      <w:pPr>
        <w:pStyle w:val="Bullet2"/>
      </w:pPr>
      <w:r w:rsidRPr="00F7308A">
        <w:t xml:space="preserve">DSS Policy and Implementation teams </w:t>
      </w:r>
    </w:p>
    <w:p w14:paraId="75AF0CEC" w14:textId="77777777" w:rsidR="00726BD5" w:rsidRPr="00F7308A" w:rsidRDefault="00726BD5" w:rsidP="00726BD5">
      <w:pPr>
        <w:pStyle w:val="Bullet2"/>
      </w:pPr>
      <w:r w:rsidRPr="00F7308A">
        <w:t>IAA staff</w:t>
      </w:r>
    </w:p>
    <w:p w14:paraId="578FB45A" w14:textId="77777777" w:rsidR="00726BD5" w:rsidRPr="00F7308A" w:rsidRDefault="00726BD5" w:rsidP="00726BD5">
      <w:pPr>
        <w:pStyle w:val="Bullet2"/>
      </w:pPr>
      <w:r w:rsidRPr="00F7308A">
        <w:t>Academics</w:t>
      </w:r>
    </w:p>
    <w:p w14:paraId="3F06D79B" w14:textId="77777777" w:rsidR="00726BD5" w:rsidRPr="00F7308A" w:rsidRDefault="00726BD5" w:rsidP="00726BD5">
      <w:pPr>
        <w:pStyle w:val="Bullet2"/>
      </w:pPr>
      <w:r w:rsidRPr="00F7308A">
        <w:t>Parent support and advocacy groups.</w:t>
      </w:r>
    </w:p>
    <w:p w14:paraId="7D9E76F2" w14:textId="77777777" w:rsidR="00726BD5" w:rsidRDefault="00726BD5" w:rsidP="00283E1C">
      <w:pPr>
        <w:pStyle w:val="Heading2"/>
      </w:pPr>
      <w:bookmarkStart w:id="10" w:name="_Toc458162059"/>
      <w:bookmarkStart w:id="11" w:name="_Toc490481606"/>
      <w:r>
        <w:t>Summary of findings in relation to the key evaluation questions:</w:t>
      </w:r>
      <w:bookmarkEnd w:id="10"/>
      <w:bookmarkEnd w:id="11"/>
    </w:p>
    <w:p w14:paraId="391D7966" w14:textId="77777777" w:rsidR="007E3103" w:rsidRDefault="007E3103" w:rsidP="007E3103">
      <w:pPr>
        <w:pStyle w:val="Heading3"/>
      </w:pPr>
      <w:r>
        <w:t>Was IAA implemented as intended?</w:t>
      </w:r>
    </w:p>
    <w:p w14:paraId="3AC71BCA" w14:textId="2280BC54" w:rsidR="007E3103" w:rsidRPr="00B43607" w:rsidRDefault="007E3103" w:rsidP="00E07D8E">
      <w:pPr>
        <w:pStyle w:val="Paragraph"/>
      </w:pPr>
      <w:r>
        <w:t>In this report, the i</w:t>
      </w:r>
      <w:r w:rsidRPr="00B43607">
        <w:t xml:space="preserve">mplementation </w:t>
      </w:r>
      <w:r>
        <w:t>of IAA was</w:t>
      </w:r>
      <w:r w:rsidRPr="00B43607">
        <w:t xml:space="preserve"> assessed in terms of </w:t>
      </w:r>
      <w:r>
        <w:t xml:space="preserve">achievements related to </w:t>
      </w:r>
      <w:r w:rsidRPr="00B43607">
        <w:t>the following items listed in the Implementation Plan (</w:t>
      </w:r>
      <w:r w:rsidR="008B0955">
        <w:t xml:space="preserve">Reform </w:t>
      </w:r>
      <w:r w:rsidRPr="00B43607">
        <w:t xml:space="preserve">Implementation Plan) </w:t>
      </w:r>
      <w:r w:rsidR="00FE3F3F">
        <w:fldChar w:fldCharType="begin" w:fldLock="1"/>
      </w:r>
      <w:r w:rsidR="006812F2">
        <w:instrText>ADDIN CSL_CITATION { "citationItems" : [ { "id" : "ITEM-1", "itemData" : { "author" : [ { "dropping-particle" : "", "family" : "Department", "given" : "Australian Government Department of Social Services and Attorney-General's", "non-dropping-particle" : "", "parse-names" : false, "suffix" : "" } ], "id" : "ITEM-1", "issued" : { "date-parts" : [ [ "2015" ] ] }, "publisher-place" : "Canberra", "title" : "Intercountry Adoption Reform: Implementation Plan", "type" : "report" }, "prefix" : "Intercountry Adoption Reform: Implementation Plan", "suppress-author" : 1, "uris" : [ "http://www.mendeley.com/documents/?uuid=c63de2ba-0b90-4802-a065-fb47ac7ca77f" ] } ], "mendeley" : { "formattedCitation" : "(Intercountry Adoption Reform: Implementation Plan 2015)", "plainTextFormattedCitation" : "(Intercountry Adoption Reform: Implementation Plan 2015)", "previouslyFormattedCitation" : "(Intercountry Adoption Reform: Implementation Plan 2015)" }, "properties" : { "noteIndex" : 0 }, "schema" : "https://github.com/citation-style-language/schema/raw/master/csl-citation.json" }</w:instrText>
      </w:r>
      <w:r w:rsidR="00FE3F3F">
        <w:fldChar w:fldCharType="separate"/>
      </w:r>
      <w:r w:rsidR="006812F2" w:rsidRPr="006812F2">
        <w:rPr>
          <w:i/>
          <w:noProof/>
        </w:rPr>
        <w:t xml:space="preserve">(Intercountry Adoption Reform: Implementation Plan </w:t>
      </w:r>
      <w:r w:rsidR="006812F2" w:rsidRPr="006812F2">
        <w:rPr>
          <w:noProof/>
        </w:rPr>
        <w:t>2015)</w:t>
      </w:r>
      <w:r w:rsidR="00FE3F3F">
        <w:fldChar w:fldCharType="end"/>
      </w:r>
      <w:r w:rsidR="00982B1B">
        <w:t>(</w:t>
      </w:r>
      <w:r w:rsidR="005950D2">
        <w:rPr>
          <w:i/>
        </w:rPr>
        <w:fldChar w:fldCharType="begin"/>
      </w:r>
      <w:r w:rsidR="005950D2">
        <w:rPr>
          <w:i/>
        </w:rPr>
        <w:instrText xml:space="preserve"> REF _Ref490033843 \n \h </w:instrText>
      </w:r>
      <w:r w:rsidR="005950D2">
        <w:rPr>
          <w:i/>
        </w:rPr>
      </w:r>
      <w:r w:rsidR="005950D2">
        <w:rPr>
          <w:i/>
        </w:rPr>
        <w:fldChar w:fldCharType="separate"/>
      </w:r>
      <w:r w:rsidR="00487073">
        <w:rPr>
          <w:i/>
        </w:rPr>
        <w:t>0</w:t>
      </w:r>
      <w:r w:rsidR="005950D2">
        <w:rPr>
          <w:i/>
        </w:rPr>
        <w:fldChar w:fldCharType="end"/>
      </w:r>
      <w:r w:rsidR="00982B1B">
        <w:rPr>
          <w:i/>
        </w:rPr>
        <w:t>):</w:t>
      </w:r>
      <w:r w:rsidR="00A46E9A">
        <w:t xml:space="preserve"> </w:t>
      </w:r>
    </w:p>
    <w:p w14:paraId="0381F724" w14:textId="1B5154DA" w:rsidR="007E3103" w:rsidRPr="00B43607" w:rsidRDefault="007E3103" w:rsidP="007E3103">
      <w:pPr>
        <w:pStyle w:val="Bullet1"/>
      </w:pPr>
      <w:r>
        <w:t>M</w:t>
      </w:r>
      <w:r w:rsidRPr="00B43607">
        <w:t>ilestones/deliverables specified in Tranche 2</w:t>
      </w:r>
      <w:r w:rsidR="004C058C">
        <w:t xml:space="preserve"> (</w:t>
      </w:r>
      <w:r w:rsidR="004C058C" w:rsidRPr="004C058C">
        <w:rPr>
          <w:rStyle w:val="Emphasis"/>
        </w:rPr>
        <w:t xml:space="preserve">Section </w:t>
      </w:r>
      <w:r w:rsidR="004C058C" w:rsidRPr="004C058C">
        <w:rPr>
          <w:rStyle w:val="Emphasis"/>
        </w:rPr>
        <w:fldChar w:fldCharType="begin"/>
      </w:r>
      <w:r w:rsidR="004C058C" w:rsidRPr="004C058C">
        <w:rPr>
          <w:rStyle w:val="Emphasis"/>
        </w:rPr>
        <w:instrText xml:space="preserve"> REF _Ref463012299 \r \h </w:instrText>
      </w:r>
      <w:r w:rsidR="004C058C">
        <w:rPr>
          <w:rStyle w:val="Emphasis"/>
        </w:rPr>
        <w:instrText xml:space="preserve"> \* MERGEFORMAT </w:instrText>
      </w:r>
      <w:r w:rsidR="004C058C" w:rsidRPr="004C058C">
        <w:rPr>
          <w:rStyle w:val="Emphasis"/>
        </w:rPr>
      </w:r>
      <w:r w:rsidR="004C058C" w:rsidRPr="004C058C">
        <w:rPr>
          <w:rStyle w:val="Emphasis"/>
        </w:rPr>
        <w:fldChar w:fldCharType="separate"/>
      </w:r>
      <w:r w:rsidR="00487073">
        <w:rPr>
          <w:rStyle w:val="Emphasis"/>
        </w:rPr>
        <w:t>5.2</w:t>
      </w:r>
      <w:r w:rsidR="004C058C" w:rsidRPr="004C058C">
        <w:rPr>
          <w:rStyle w:val="Emphasis"/>
        </w:rPr>
        <w:fldChar w:fldCharType="end"/>
      </w:r>
      <w:r w:rsidR="004C058C">
        <w:t>)</w:t>
      </w:r>
    </w:p>
    <w:p w14:paraId="2BF2E2FE" w14:textId="620FBFA9" w:rsidR="007E3103" w:rsidRPr="00B43607" w:rsidRDefault="007E3103" w:rsidP="007E3103">
      <w:pPr>
        <w:pStyle w:val="Bullet1"/>
      </w:pPr>
      <w:r w:rsidRPr="00B43607">
        <w:t>Measures of success specific to the new support service</w:t>
      </w:r>
      <w:r w:rsidR="004C058C">
        <w:t xml:space="preserve"> (</w:t>
      </w:r>
      <w:r w:rsidR="004C058C" w:rsidRPr="004C058C">
        <w:rPr>
          <w:rStyle w:val="Emphasis"/>
        </w:rPr>
        <w:t xml:space="preserve">Section </w:t>
      </w:r>
      <w:r w:rsidR="004C058C" w:rsidRPr="004C058C">
        <w:rPr>
          <w:rStyle w:val="Emphasis"/>
        </w:rPr>
        <w:fldChar w:fldCharType="begin"/>
      </w:r>
      <w:r w:rsidR="004C058C" w:rsidRPr="004C058C">
        <w:rPr>
          <w:rStyle w:val="Emphasis"/>
        </w:rPr>
        <w:instrText xml:space="preserve"> REF _Ref463005123 \r \h </w:instrText>
      </w:r>
      <w:r w:rsidR="004C058C">
        <w:rPr>
          <w:rStyle w:val="Emphasis"/>
        </w:rPr>
        <w:instrText xml:space="preserve"> \* MERGEFORMAT </w:instrText>
      </w:r>
      <w:r w:rsidR="004C058C" w:rsidRPr="004C058C">
        <w:rPr>
          <w:rStyle w:val="Emphasis"/>
        </w:rPr>
      </w:r>
      <w:r w:rsidR="004C058C" w:rsidRPr="004C058C">
        <w:rPr>
          <w:rStyle w:val="Emphasis"/>
        </w:rPr>
        <w:fldChar w:fldCharType="separate"/>
      </w:r>
      <w:r w:rsidR="00487073">
        <w:rPr>
          <w:rStyle w:val="Emphasis"/>
        </w:rPr>
        <w:t>5.3</w:t>
      </w:r>
      <w:r w:rsidR="004C058C" w:rsidRPr="004C058C">
        <w:rPr>
          <w:rStyle w:val="Emphasis"/>
        </w:rPr>
        <w:fldChar w:fldCharType="end"/>
      </w:r>
      <w:r w:rsidR="004C058C">
        <w:t>)</w:t>
      </w:r>
      <w:r w:rsidRPr="00B43607">
        <w:t xml:space="preserve">. </w:t>
      </w:r>
    </w:p>
    <w:p w14:paraId="1FFAE59E" w14:textId="77777777" w:rsidR="007E3103" w:rsidRDefault="007E3103" w:rsidP="007E3103">
      <w:pPr>
        <w:pStyle w:val="Heading4"/>
      </w:pPr>
      <w:r>
        <w:t xml:space="preserve">Achievements against specified milestones/deliverables </w:t>
      </w:r>
    </w:p>
    <w:p w14:paraId="7747B2D7" w14:textId="77777777" w:rsidR="007E3103" w:rsidRPr="00B43607" w:rsidRDefault="007E3103" w:rsidP="00E07D8E">
      <w:pPr>
        <w:pStyle w:val="Paragraph"/>
        <w:rPr>
          <w:lang w:val="en-AU" w:eastAsia="en-AU"/>
        </w:rPr>
      </w:pPr>
      <w:r w:rsidRPr="00B43607">
        <w:rPr>
          <w:lang w:val="en-AU" w:eastAsia="en-AU"/>
        </w:rPr>
        <w:t>These milestones and deliverables were structured under three distinct elements:</w:t>
      </w:r>
    </w:p>
    <w:p w14:paraId="14A4D725" w14:textId="77777777" w:rsidR="007E3103" w:rsidRPr="00B43607" w:rsidRDefault="007E3103" w:rsidP="007E3103">
      <w:pPr>
        <w:pStyle w:val="Bullet1"/>
      </w:pPr>
      <w:r w:rsidRPr="00B43607">
        <w:t>The 1800 information line</w:t>
      </w:r>
    </w:p>
    <w:p w14:paraId="12DE75A5" w14:textId="77777777" w:rsidR="007E3103" w:rsidRPr="00B43607" w:rsidRDefault="007E3103" w:rsidP="007E3103">
      <w:pPr>
        <w:pStyle w:val="Bullet1"/>
      </w:pPr>
      <w:r w:rsidRPr="00B43607">
        <w:t>The IAA website</w:t>
      </w:r>
    </w:p>
    <w:p w14:paraId="7B53EE30" w14:textId="77777777" w:rsidR="007E3103" w:rsidRPr="00B43607" w:rsidRDefault="007E3103" w:rsidP="007E3103">
      <w:pPr>
        <w:pStyle w:val="Bullet1"/>
      </w:pPr>
      <w:r>
        <w:t>Referral pathways from the information line.</w:t>
      </w:r>
    </w:p>
    <w:p w14:paraId="5DE5B0EE" w14:textId="3BEC55A4" w:rsidR="007E3103" w:rsidRDefault="007E3103" w:rsidP="00E07D8E">
      <w:pPr>
        <w:pStyle w:val="Paragraph"/>
      </w:pPr>
      <w:r>
        <w:t xml:space="preserve">The evaluation found that IAA successfully delivered all </w:t>
      </w:r>
      <w:r w:rsidRPr="00336484">
        <w:t xml:space="preserve">milestones/deliverables </w:t>
      </w:r>
      <w:r>
        <w:t>related to each of the three service elements.</w:t>
      </w:r>
    </w:p>
    <w:p w14:paraId="4FC1804A" w14:textId="77777777" w:rsidR="007E3103" w:rsidRDefault="007E3103" w:rsidP="007E3103">
      <w:pPr>
        <w:pStyle w:val="Heading4"/>
      </w:pPr>
      <w:r w:rsidRPr="000860E1">
        <w:t xml:space="preserve">Achievements against </w:t>
      </w:r>
      <w:r>
        <w:t>specified meas</w:t>
      </w:r>
      <w:r w:rsidRPr="000860E1">
        <w:t xml:space="preserve">ures of success </w:t>
      </w:r>
    </w:p>
    <w:p w14:paraId="4D636AF4" w14:textId="1BF23E0D" w:rsidR="007E3103" w:rsidRPr="00B43607" w:rsidRDefault="007E3103" w:rsidP="00E07D8E">
      <w:pPr>
        <w:pStyle w:val="Paragraph"/>
        <w:rPr>
          <w:lang w:eastAsia="en-AU"/>
        </w:rPr>
      </w:pPr>
      <w:r>
        <w:t xml:space="preserve">In the </w:t>
      </w:r>
      <w:r w:rsidR="008B0955">
        <w:t xml:space="preserve">Reform </w:t>
      </w:r>
      <w:r>
        <w:t>Implementation Plan, 18</w:t>
      </w:r>
      <w:r w:rsidRPr="00B43607">
        <w:t xml:space="preserve"> measures of success are specified that directly or indirectly apply to the IAA service</w:t>
      </w:r>
      <w:r w:rsidR="00FE3F3F">
        <w:t xml:space="preserve"> </w:t>
      </w:r>
      <w:r w:rsidR="006812F2">
        <w:fldChar w:fldCharType="begin" w:fldLock="1"/>
      </w:r>
      <w:r w:rsidR="006812F2">
        <w:instrText>ADDIN CSL_CITATION { "citationItems" : [ { "id" : "ITEM-1", "itemData" : { "author" : [ { "dropping-particle" : "", "family" : "Department", "given" : "Australian Government Department of Social Services and Attorney-General's", "non-dropping-particle" : "", "parse-names" : false, "suffix" : "" } ], "id" : "ITEM-1", "issued" : { "date-parts" : [ [ "2015" ] ] }, "publisher-place" : "Canberra", "title" : "Intercountry Adoption Reform: Implementation Plan", "type" : "report" }, "prefix" : "Intercountry Adoption Reform: Implementation Plan", "suppress-author" : 1, "uris" : [ "http://www.mendeley.com/documents/?uuid=c63de2ba-0b90-4802-a065-fb47ac7ca77f" ] } ], "mendeley" : { "formattedCitation" : "(Intercountry Adoption Reform: Implementation Plan 2015)", "plainTextFormattedCitation" : "(Intercountry Adoption Reform: Implementation Plan 2015)", "previouslyFormattedCitation" : "(Intercountry Adoption Reform: Implementation Plan 2015)" }, "properties" : { "noteIndex" : 0 }, "schema" : "https://github.com/citation-style-language/schema/raw/master/csl-citation.json" }</w:instrText>
      </w:r>
      <w:r w:rsidR="006812F2">
        <w:fldChar w:fldCharType="separate"/>
      </w:r>
      <w:r w:rsidR="006812F2" w:rsidRPr="006812F2">
        <w:rPr>
          <w:i/>
          <w:noProof/>
        </w:rPr>
        <w:t xml:space="preserve">(Intercountry Adoption Reform: Implementation Plan </w:t>
      </w:r>
      <w:r w:rsidR="006812F2" w:rsidRPr="006812F2">
        <w:rPr>
          <w:noProof/>
        </w:rPr>
        <w:t>2015)</w:t>
      </w:r>
      <w:r w:rsidR="006812F2">
        <w:fldChar w:fldCharType="end"/>
      </w:r>
      <w:r w:rsidR="006812F2">
        <w:t xml:space="preserve">.  </w:t>
      </w:r>
      <w:r>
        <w:t>T</w:t>
      </w:r>
      <w:r w:rsidRPr="00B43607">
        <w:t xml:space="preserve">hese measures </w:t>
      </w:r>
      <w:r>
        <w:t xml:space="preserve">were </w:t>
      </w:r>
      <w:r w:rsidRPr="00B43607">
        <w:t>categorised</w:t>
      </w:r>
      <w:r>
        <w:rPr>
          <w:lang w:eastAsia="en-AU"/>
        </w:rPr>
        <w:t xml:space="preserve"> into the following four</w:t>
      </w:r>
      <w:r w:rsidRPr="00B43607">
        <w:rPr>
          <w:lang w:eastAsia="en-AU"/>
        </w:rPr>
        <w:t xml:space="preserve"> groups</w:t>
      </w:r>
      <w:r>
        <w:rPr>
          <w:lang w:eastAsia="en-AU"/>
        </w:rPr>
        <w:t xml:space="preserve"> in this report</w:t>
      </w:r>
      <w:r w:rsidRPr="00B43607">
        <w:rPr>
          <w:lang w:eastAsia="en-AU"/>
        </w:rPr>
        <w:t>:</w:t>
      </w:r>
    </w:p>
    <w:p w14:paraId="7A0AE4D5" w14:textId="77777777" w:rsidR="007E3103" w:rsidRPr="00B43607" w:rsidRDefault="007E3103" w:rsidP="007E3103">
      <w:pPr>
        <w:pStyle w:val="Bullet1"/>
      </w:pPr>
      <w:r w:rsidRPr="00B43607">
        <w:t>Service uptake</w:t>
      </w:r>
    </w:p>
    <w:p w14:paraId="0EF9C98D" w14:textId="77777777" w:rsidR="007E3103" w:rsidRPr="00B43607" w:rsidRDefault="007E3103" w:rsidP="007E3103">
      <w:pPr>
        <w:pStyle w:val="Bullet1"/>
      </w:pPr>
      <w:r w:rsidRPr="00B43607">
        <w:t>Operational parameters</w:t>
      </w:r>
    </w:p>
    <w:p w14:paraId="1FB5D79A" w14:textId="77777777" w:rsidR="007E3103" w:rsidRPr="00B43607" w:rsidRDefault="007E3103" w:rsidP="007E3103">
      <w:pPr>
        <w:pStyle w:val="Bullet1"/>
      </w:pPr>
      <w:r w:rsidRPr="00B43607">
        <w:t>Client satisfaction</w:t>
      </w:r>
    </w:p>
    <w:p w14:paraId="1E1CFD53" w14:textId="77777777" w:rsidR="007E3103" w:rsidRPr="00B43607" w:rsidRDefault="007E3103" w:rsidP="007E3103">
      <w:pPr>
        <w:pStyle w:val="Bullet1"/>
      </w:pPr>
      <w:r w:rsidRPr="00B43607">
        <w:t>STCA feedback</w:t>
      </w:r>
      <w:r>
        <w:t>.</w:t>
      </w:r>
    </w:p>
    <w:p w14:paraId="592F0C7A" w14:textId="4F64FDEA" w:rsidR="007E3103" w:rsidRDefault="007E3103" w:rsidP="007E3103">
      <w:pPr>
        <w:pStyle w:val="Paragraph"/>
        <w:rPr>
          <w:lang w:eastAsia="en-AU"/>
        </w:rPr>
      </w:pPr>
      <w:r w:rsidRPr="000860E1">
        <w:rPr>
          <w:lang w:eastAsia="en-AU"/>
        </w:rPr>
        <w:lastRenderedPageBreak/>
        <w:t xml:space="preserve">Achievements related to each group of measures are </w:t>
      </w:r>
      <w:r>
        <w:rPr>
          <w:lang w:eastAsia="en-AU"/>
        </w:rPr>
        <w:t xml:space="preserve">summarised </w:t>
      </w:r>
      <w:r w:rsidRPr="000860E1">
        <w:rPr>
          <w:lang w:eastAsia="en-AU"/>
        </w:rPr>
        <w:t xml:space="preserve">in the following </w:t>
      </w:r>
      <w:r>
        <w:rPr>
          <w:lang w:eastAsia="en-AU"/>
        </w:rPr>
        <w:t>sections.</w:t>
      </w:r>
    </w:p>
    <w:p w14:paraId="7CFE8E6A" w14:textId="77777777" w:rsidR="007E3103" w:rsidRDefault="007E3103" w:rsidP="007E3103">
      <w:pPr>
        <w:pStyle w:val="Heading4"/>
      </w:pPr>
      <w:r w:rsidRPr="00B43607">
        <w:t>Service uptake</w:t>
      </w:r>
    </w:p>
    <w:p w14:paraId="4CAA8081" w14:textId="431E5EED" w:rsidR="007E3103" w:rsidRPr="00594946" w:rsidRDefault="007E3103" w:rsidP="00594946">
      <w:pPr>
        <w:pStyle w:val="Bullet1"/>
        <w:rPr>
          <w:lang w:val="en-AU"/>
        </w:rPr>
      </w:pPr>
      <w:r w:rsidRPr="00B43607">
        <w:rPr>
          <w:lang w:val="en-AU"/>
        </w:rPr>
        <w:t xml:space="preserve">The IAA service exceeded </w:t>
      </w:r>
      <w:r>
        <w:rPr>
          <w:lang w:val="en-AU"/>
        </w:rPr>
        <w:t>uptake</w:t>
      </w:r>
      <w:r w:rsidRPr="00B43607">
        <w:rPr>
          <w:lang w:val="en-AU"/>
        </w:rPr>
        <w:t xml:space="preserve"> success measures specified in the </w:t>
      </w:r>
      <w:r w:rsidR="008B0955">
        <w:t>Reform</w:t>
      </w:r>
      <w:r w:rsidR="008B0955" w:rsidRPr="00B43607">
        <w:rPr>
          <w:lang w:val="en-AU"/>
        </w:rPr>
        <w:t xml:space="preserve"> </w:t>
      </w:r>
      <w:r w:rsidRPr="00B43607">
        <w:rPr>
          <w:lang w:val="en-AU"/>
        </w:rPr>
        <w:t>Implementation Plan</w:t>
      </w:r>
      <w:r w:rsidR="00594946">
        <w:rPr>
          <w:lang w:val="en-AU"/>
        </w:rPr>
        <w:t xml:space="preserve"> </w:t>
      </w:r>
      <w:r w:rsidR="00594946" w:rsidRPr="00A55A9C">
        <w:rPr>
          <w:lang w:val="en-AU"/>
        </w:rPr>
        <w:t>in all four service key performance indicators (</w:t>
      </w:r>
      <w:r w:rsidR="00594946">
        <w:rPr>
          <w:lang w:val="en-AU"/>
        </w:rPr>
        <w:t>KPIs) as listed below:</w:t>
      </w:r>
      <w:r w:rsidR="00153423">
        <w:rPr>
          <w:lang w:val="en-AU"/>
        </w:rPr>
        <w:t xml:space="preserve"> </w:t>
      </w:r>
    </w:p>
    <w:p w14:paraId="3FF95F56" w14:textId="77777777" w:rsidR="00594946" w:rsidRPr="00594946" w:rsidRDefault="00594946" w:rsidP="00594946">
      <w:pPr>
        <w:pStyle w:val="Bullet2"/>
        <w:rPr>
          <w:lang w:val="en-AU"/>
        </w:rPr>
      </w:pPr>
      <w:r w:rsidRPr="00594946">
        <w:rPr>
          <w:lang w:val="en-AU"/>
        </w:rPr>
        <w:t>More than 10 calls per month to the information line</w:t>
      </w:r>
    </w:p>
    <w:p w14:paraId="5CCB3E95" w14:textId="77777777" w:rsidR="00594946" w:rsidRPr="00594946" w:rsidRDefault="00594946" w:rsidP="00594946">
      <w:pPr>
        <w:pStyle w:val="Bullet2"/>
        <w:rPr>
          <w:lang w:val="en-AU"/>
        </w:rPr>
      </w:pPr>
      <w:r w:rsidRPr="00594946">
        <w:rPr>
          <w:lang w:val="en-AU"/>
        </w:rPr>
        <w:t>More than 50 visits per month to the website</w:t>
      </w:r>
    </w:p>
    <w:p w14:paraId="66FFF627" w14:textId="70FF7144" w:rsidR="00594946" w:rsidRDefault="00594946" w:rsidP="00594946">
      <w:pPr>
        <w:pStyle w:val="Bullet2"/>
        <w:rPr>
          <w:lang w:val="en-AU"/>
        </w:rPr>
      </w:pPr>
      <w:r w:rsidRPr="00594946">
        <w:rPr>
          <w:lang w:val="en-AU"/>
        </w:rPr>
        <w:t>More than 50 email enquiries per month</w:t>
      </w:r>
    </w:p>
    <w:p w14:paraId="12A92243" w14:textId="3261502D" w:rsidR="00594946" w:rsidRDefault="00594946" w:rsidP="00594946">
      <w:pPr>
        <w:pStyle w:val="Bullet2"/>
        <w:rPr>
          <w:lang w:val="en-AU"/>
        </w:rPr>
      </w:pPr>
      <w:r w:rsidRPr="00594946">
        <w:rPr>
          <w:lang w:val="en-AU"/>
        </w:rPr>
        <w:t>At least 250 people subscribe to the IAA mailing list in the first year of operation</w:t>
      </w:r>
    </w:p>
    <w:p w14:paraId="4410A26A" w14:textId="0F911681" w:rsidR="007E3103" w:rsidRPr="00315F91" w:rsidRDefault="007E3103" w:rsidP="007E3103">
      <w:pPr>
        <w:pStyle w:val="Bullet1"/>
      </w:pPr>
      <w:r w:rsidRPr="00B43607">
        <w:rPr>
          <w:lang w:val="en-AU"/>
        </w:rPr>
        <w:t xml:space="preserve">The highest levels of web traffic were evident for the three largest </w:t>
      </w:r>
      <w:r w:rsidR="002F1254">
        <w:rPr>
          <w:lang w:val="en-AU"/>
        </w:rPr>
        <w:t>states</w:t>
      </w:r>
      <w:r w:rsidR="00694904">
        <w:rPr>
          <w:lang w:val="en-AU"/>
        </w:rPr>
        <w:t xml:space="preserve"> (NSW 27</w:t>
      </w:r>
      <w:r w:rsidRPr="00B43607">
        <w:rPr>
          <w:lang w:val="en-AU"/>
        </w:rPr>
        <w:t>%,</w:t>
      </w:r>
      <w:r w:rsidR="00694904">
        <w:rPr>
          <w:lang w:val="en-AU"/>
        </w:rPr>
        <w:t xml:space="preserve"> Victoria 21% and QLD 15</w:t>
      </w:r>
      <w:r w:rsidRPr="00B43607">
        <w:rPr>
          <w:lang w:val="en-AU"/>
        </w:rPr>
        <w:t>%)</w:t>
      </w:r>
      <w:r>
        <w:rPr>
          <w:lang w:val="en-AU"/>
        </w:rPr>
        <w:t>.</w:t>
      </w:r>
    </w:p>
    <w:p w14:paraId="4D339645" w14:textId="77777777" w:rsidR="007E3103" w:rsidRDefault="007E3103" w:rsidP="007E3103">
      <w:pPr>
        <w:pStyle w:val="Heading4"/>
      </w:pPr>
      <w:r w:rsidRPr="00B43607">
        <w:t>Operational parameters</w:t>
      </w:r>
    </w:p>
    <w:p w14:paraId="3A22CD20" w14:textId="1E8F3FE9" w:rsidR="0011258A" w:rsidRPr="001D344A" w:rsidRDefault="0011258A" w:rsidP="003938A6">
      <w:pPr>
        <w:pStyle w:val="Bullet1"/>
        <w:rPr>
          <w:lang w:val="en-AU"/>
        </w:rPr>
      </w:pPr>
      <w:r w:rsidRPr="001D344A">
        <w:rPr>
          <w:lang w:val="en-AU"/>
        </w:rPr>
        <w:t>The</w:t>
      </w:r>
      <w:r w:rsidR="001D344A" w:rsidRPr="001D344A">
        <w:rPr>
          <w:lang w:val="en-AU"/>
        </w:rPr>
        <w:t xml:space="preserve"> KPI related to call answering time </w:t>
      </w:r>
      <w:r w:rsidR="007E3103" w:rsidRPr="001D344A">
        <w:rPr>
          <w:lang w:val="en-AU"/>
        </w:rPr>
        <w:t>w</w:t>
      </w:r>
      <w:r w:rsidRPr="001D344A">
        <w:rPr>
          <w:lang w:val="en-AU"/>
        </w:rPr>
        <w:t>as</w:t>
      </w:r>
      <w:r w:rsidR="007E3103" w:rsidRPr="001D344A">
        <w:rPr>
          <w:lang w:val="en-AU"/>
        </w:rPr>
        <w:t xml:space="preserve"> exceeded</w:t>
      </w:r>
      <w:r w:rsidR="001D344A" w:rsidRPr="001D344A">
        <w:rPr>
          <w:lang w:val="en-AU"/>
        </w:rPr>
        <w:t xml:space="preserve">, as </w:t>
      </w:r>
      <w:r w:rsidR="001D344A" w:rsidRPr="002822C7">
        <w:t>more</w:t>
      </w:r>
      <w:r w:rsidRPr="002822C7">
        <w:t xml:space="preserve"> than 80% of calls are answered by information line staff within 20 seconds</w:t>
      </w:r>
    </w:p>
    <w:p w14:paraId="6842E019" w14:textId="77777777" w:rsidR="0011258A" w:rsidRPr="001D344A" w:rsidRDefault="0011258A" w:rsidP="0011258A">
      <w:pPr>
        <w:pStyle w:val="Bullet1"/>
        <w:rPr>
          <w:lang w:val="en-AU"/>
        </w:rPr>
      </w:pPr>
      <w:r w:rsidRPr="001D344A">
        <w:rPr>
          <w:lang w:val="en-AU"/>
        </w:rPr>
        <w:t>The following KPIs related to email response times were not measurable because of the quality of data available:</w:t>
      </w:r>
    </w:p>
    <w:p w14:paraId="7C962253" w14:textId="77777777" w:rsidR="00173E19" w:rsidRPr="001D344A" w:rsidRDefault="00173E19" w:rsidP="00173E19">
      <w:pPr>
        <w:pStyle w:val="Bullet2"/>
        <w:rPr>
          <w:lang w:val="en-AU"/>
        </w:rPr>
      </w:pPr>
      <w:r w:rsidRPr="001D344A">
        <w:rPr>
          <w:lang w:val="en-AU"/>
        </w:rPr>
        <w:t>More than 80% of clients who agreed to be followed up received a call or email within 5 working days</w:t>
      </w:r>
    </w:p>
    <w:p w14:paraId="2A1114AD" w14:textId="26AFCD5B" w:rsidR="0011258A" w:rsidRPr="001D344A" w:rsidRDefault="00173E19" w:rsidP="00173E19">
      <w:pPr>
        <w:pStyle w:val="Bullet2"/>
        <w:rPr>
          <w:lang w:val="en-AU"/>
        </w:rPr>
      </w:pPr>
      <w:r w:rsidRPr="001D344A">
        <w:rPr>
          <w:lang w:val="en-AU"/>
        </w:rPr>
        <w:t>More than 80% of email enquiries are responded to within 5 working days</w:t>
      </w:r>
      <w:r w:rsidR="0011258A" w:rsidRPr="001D344A">
        <w:rPr>
          <w:lang w:val="en-AU"/>
        </w:rPr>
        <w:t xml:space="preserve"> </w:t>
      </w:r>
    </w:p>
    <w:p w14:paraId="61DE3DDB" w14:textId="77777777" w:rsidR="00CB4395" w:rsidRDefault="007E3103" w:rsidP="007E3103">
      <w:pPr>
        <w:pStyle w:val="Bullet1"/>
        <w:rPr>
          <w:lang w:val="en-AU"/>
        </w:rPr>
      </w:pPr>
      <w:r w:rsidRPr="00B43607">
        <w:rPr>
          <w:lang w:val="en-AU"/>
        </w:rPr>
        <w:t xml:space="preserve">KPIs related to facilitated </w:t>
      </w:r>
      <w:r w:rsidR="00141A1C">
        <w:rPr>
          <w:lang w:val="en-AU"/>
        </w:rPr>
        <w:t xml:space="preserve">Commonwealth-related </w:t>
      </w:r>
      <w:r w:rsidRPr="00B43607">
        <w:rPr>
          <w:lang w:val="en-AU"/>
        </w:rPr>
        <w:t xml:space="preserve">referrals and follow-up </w:t>
      </w:r>
      <w:r>
        <w:rPr>
          <w:lang w:val="en-AU"/>
        </w:rPr>
        <w:t>were found to be redundant</w:t>
      </w:r>
      <w:r w:rsidRPr="00B43607">
        <w:rPr>
          <w:lang w:val="en-AU"/>
        </w:rPr>
        <w:t xml:space="preserve"> because</w:t>
      </w:r>
      <w:r w:rsidR="00CB4395">
        <w:rPr>
          <w:lang w:val="en-AU"/>
        </w:rPr>
        <w:t>:</w:t>
      </w:r>
    </w:p>
    <w:p w14:paraId="0475E3DE" w14:textId="5CB961AA" w:rsidR="007E3103" w:rsidRDefault="00CB4395" w:rsidP="00CC0FEA">
      <w:pPr>
        <w:pStyle w:val="Bullet2"/>
        <w:rPr>
          <w:lang w:val="en-AU"/>
        </w:rPr>
      </w:pPr>
      <w:r>
        <w:rPr>
          <w:lang w:val="en-AU"/>
        </w:rPr>
        <w:t>I</w:t>
      </w:r>
      <w:r w:rsidR="007E3103">
        <w:rPr>
          <w:lang w:val="en-AU"/>
        </w:rPr>
        <w:t>nteraction patterns between IA</w:t>
      </w:r>
      <w:r w:rsidR="007E3103" w:rsidRPr="00B43607">
        <w:rPr>
          <w:lang w:val="en-AU"/>
        </w:rPr>
        <w:t xml:space="preserve">A and clients differed substantially from what had been anticipated prior to service </w:t>
      </w:r>
      <w:r w:rsidR="00CC0FEA" w:rsidRPr="00B43607">
        <w:rPr>
          <w:lang w:val="en-AU"/>
        </w:rPr>
        <w:t>implementation</w:t>
      </w:r>
      <w:r w:rsidR="00CC0FEA">
        <w:rPr>
          <w:lang w:val="en-AU"/>
        </w:rPr>
        <w:t>.</w:t>
      </w:r>
      <w:r w:rsidR="007E3103">
        <w:rPr>
          <w:lang w:val="en-AU"/>
        </w:rPr>
        <w:t xml:space="preserve">  Few clients who used the service sought</w:t>
      </w:r>
      <w:r w:rsidR="007E3103" w:rsidRPr="00B43607">
        <w:rPr>
          <w:lang w:val="en-AU"/>
        </w:rPr>
        <w:t xml:space="preserve"> facilitated referrals or follow up </w:t>
      </w:r>
    </w:p>
    <w:p w14:paraId="083FE658" w14:textId="649C07BD" w:rsidR="00CB4395" w:rsidRPr="00B43607" w:rsidRDefault="00CC0FEA" w:rsidP="00817F61">
      <w:pPr>
        <w:pStyle w:val="Bullet2"/>
        <w:rPr>
          <w:lang w:val="en-AU"/>
        </w:rPr>
      </w:pPr>
      <w:r>
        <w:rPr>
          <w:lang w:val="en-AU"/>
        </w:rPr>
        <w:t>Commonwealth</w:t>
      </w:r>
      <w:r w:rsidR="00CB4395">
        <w:rPr>
          <w:lang w:val="en-AU"/>
        </w:rPr>
        <w:t xml:space="preserve"> partners applied strict referral criteria to warm referrals</w:t>
      </w:r>
      <w:r>
        <w:rPr>
          <w:lang w:val="en-AU"/>
        </w:rPr>
        <w:t>.  N</w:t>
      </w:r>
      <w:r w:rsidR="00CB4395">
        <w:rPr>
          <w:lang w:val="en-AU"/>
        </w:rPr>
        <w:t xml:space="preserve">ot all IAA </w:t>
      </w:r>
      <w:r>
        <w:rPr>
          <w:lang w:val="en-AU"/>
        </w:rPr>
        <w:t>enquir</w:t>
      </w:r>
      <w:r w:rsidR="006D0463">
        <w:rPr>
          <w:lang w:val="en-AU"/>
        </w:rPr>
        <w:t>i</w:t>
      </w:r>
      <w:r>
        <w:rPr>
          <w:lang w:val="en-AU"/>
        </w:rPr>
        <w:t>es met th</w:t>
      </w:r>
      <w:r w:rsidR="006D0463">
        <w:rPr>
          <w:lang w:val="en-AU"/>
        </w:rPr>
        <w:t>e</w:t>
      </w:r>
      <w:r>
        <w:rPr>
          <w:lang w:val="en-AU"/>
        </w:rPr>
        <w:t>s</w:t>
      </w:r>
      <w:r w:rsidR="006D0463">
        <w:rPr>
          <w:lang w:val="en-AU"/>
        </w:rPr>
        <w:t>e</w:t>
      </w:r>
      <w:r>
        <w:rPr>
          <w:lang w:val="en-AU"/>
        </w:rPr>
        <w:t xml:space="preserve"> criteria, and therefore could not be </w:t>
      </w:r>
      <w:r w:rsidR="006D0463">
        <w:rPr>
          <w:lang w:val="en-AU"/>
        </w:rPr>
        <w:t xml:space="preserve">‘warmly’ </w:t>
      </w:r>
      <w:r>
        <w:rPr>
          <w:lang w:val="en-AU"/>
        </w:rPr>
        <w:t>referred.</w:t>
      </w:r>
    </w:p>
    <w:p w14:paraId="39B36323" w14:textId="77777777" w:rsidR="007E3103" w:rsidRDefault="007E3103" w:rsidP="007E3103">
      <w:pPr>
        <w:pStyle w:val="Heading4"/>
      </w:pPr>
      <w:r w:rsidRPr="00B43607">
        <w:t>Client satisfaction</w:t>
      </w:r>
    </w:p>
    <w:p w14:paraId="5FB68259" w14:textId="459CD5F5" w:rsidR="00F70841" w:rsidRPr="003915B2" w:rsidRDefault="002F1254" w:rsidP="007E3103">
      <w:pPr>
        <w:pStyle w:val="Paragraph"/>
        <w:rPr>
          <w:lang w:eastAsia="en-AU"/>
        </w:rPr>
      </w:pPr>
      <w:r>
        <w:rPr>
          <w:lang w:eastAsia="en-AU"/>
        </w:rPr>
        <w:t>M</w:t>
      </w:r>
      <w:r w:rsidR="007E3103">
        <w:rPr>
          <w:lang w:eastAsia="en-AU"/>
        </w:rPr>
        <w:t>ultiple measures of success related to c</w:t>
      </w:r>
      <w:r w:rsidR="007E3103" w:rsidRPr="000E2D4F">
        <w:rPr>
          <w:lang w:eastAsia="en-AU"/>
        </w:rPr>
        <w:t>lient satisfaction</w:t>
      </w:r>
      <w:r>
        <w:rPr>
          <w:lang w:eastAsia="en-AU"/>
        </w:rPr>
        <w:t xml:space="preserve"> were specified in the Reform Implementation </w:t>
      </w:r>
      <w:r w:rsidRPr="003915B2">
        <w:rPr>
          <w:lang w:eastAsia="en-AU"/>
        </w:rPr>
        <w:t>Plan</w:t>
      </w:r>
      <w:r w:rsidR="00141A1C" w:rsidRPr="003915B2">
        <w:rPr>
          <w:lang w:eastAsia="en-AU"/>
        </w:rPr>
        <w:t xml:space="preserve"> (</w:t>
      </w:r>
      <w:r w:rsidR="00141A1C" w:rsidRPr="003915B2">
        <w:rPr>
          <w:rStyle w:val="Emphasis"/>
        </w:rPr>
        <w:t xml:space="preserve">Section </w:t>
      </w:r>
      <w:r w:rsidR="00141A1C" w:rsidRPr="003915B2">
        <w:rPr>
          <w:rStyle w:val="Emphasis"/>
        </w:rPr>
        <w:fldChar w:fldCharType="begin"/>
      </w:r>
      <w:r w:rsidR="00141A1C" w:rsidRPr="003915B2">
        <w:rPr>
          <w:rStyle w:val="Emphasis"/>
        </w:rPr>
        <w:instrText xml:space="preserve"> REF _Ref463015921 \r \h  \* MERGEFORMAT </w:instrText>
      </w:r>
      <w:r w:rsidR="00141A1C" w:rsidRPr="003915B2">
        <w:rPr>
          <w:rStyle w:val="Emphasis"/>
        </w:rPr>
      </w:r>
      <w:r w:rsidR="00141A1C" w:rsidRPr="003915B2">
        <w:rPr>
          <w:rStyle w:val="Emphasis"/>
        </w:rPr>
        <w:fldChar w:fldCharType="separate"/>
      </w:r>
      <w:r w:rsidR="00487073">
        <w:rPr>
          <w:rStyle w:val="Emphasis"/>
        </w:rPr>
        <w:t>5.3.4</w:t>
      </w:r>
      <w:r w:rsidR="00141A1C" w:rsidRPr="003915B2">
        <w:rPr>
          <w:rStyle w:val="Emphasis"/>
        </w:rPr>
        <w:fldChar w:fldCharType="end"/>
      </w:r>
      <w:r w:rsidR="00141A1C" w:rsidRPr="003915B2">
        <w:rPr>
          <w:lang w:eastAsia="en-AU"/>
        </w:rPr>
        <w:t>)</w:t>
      </w:r>
      <w:r w:rsidR="007E3103" w:rsidRPr="003915B2">
        <w:rPr>
          <w:lang w:eastAsia="en-AU"/>
        </w:rPr>
        <w:t xml:space="preserve">.  </w:t>
      </w:r>
      <w:r w:rsidR="00F70841" w:rsidRPr="003915B2">
        <w:rPr>
          <w:lang w:eastAsia="en-AU"/>
        </w:rPr>
        <w:t xml:space="preserve">However, significant limitations were identified in the IAA </w:t>
      </w:r>
      <w:r w:rsidR="001D344A" w:rsidRPr="003915B2">
        <w:rPr>
          <w:lang w:eastAsia="en-AU"/>
        </w:rPr>
        <w:t xml:space="preserve">data </w:t>
      </w:r>
      <w:r w:rsidR="001D344A">
        <w:rPr>
          <w:lang w:eastAsia="en-AU"/>
        </w:rPr>
        <w:t>which</w:t>
      </w:r>
      <w:r w:rsidR="00F70841" w:rsidRPr="003915B2">
        <w:rPr>
          <w:lang w:eastAsia="en-AU"/>
        </w:rPr>
        <w:t xml:space="preserve"> meant that the full extent of client interaction reported by IAA </w:t>
      </w:r>
      <w:r w:rsidRPr="003915B2">
        <w:rPr>
          <w:lang w:eastAsia="en-AU"/>
        </w:rPr>
        <w:t xml:space="preserve">during consultations </w:t>
      </w:r>
      <w:r w:rsidR="00F70841" w:rsidRPr="003915B2">
        <w:rPr>
          <w:lang w:eastAsia="en-AU"/>
        </w:rPr>
        <w:t xml:space="preserve">was not reflected in the information recorded.  </w:t>
      </w:r>
    </w:p>
    <w:p w14:paraId="31EF04FD" w14:textId="03394779" w:rsidR="007E3103" w:rsidRPr="003915B2" w:rsidRDefault="00F70841" w:rsidP="007E3103">
      <w:pPr>
        <w:pStyle w:val="Paragraph"/>
        <w:rPr>
          <w:lang w:eastAsia="en-AU"/>
        </w:rPr>
      </w:pPr>
      <w:r w:rsidRPr="003915B2">
        <w:rPr>
          <w:lang w:eastAsia="en-AU"/>
        </w:rPr>
        <w:t>F</w:t>
      </w:r>
      <w:r w:rsidR="007E3103" w:rsidRPr="003915B2">
        <w:rPr>
          <w:lang w:eastAsia="en-AU"/>
        </w:rPr>
        <w:t xml:space="preserve">indings </w:t>
      </w:r>
      <w:r w:rsidRPr="003915B2">
        <w:rPr>
          <w:lang w:eastAsia="en-AU"/>
        </w:rPr>
        <w:t xml:space="preserve">based on the IAA </w:t>
      </w:r>
      <w:r w:rsidR="001D344A">
        <w:rPr>
          <w:lang w:eastAsia="en-AU"/>
        </w:rPr>
        <w:t xml:space="preserve">client </w:t>
      </w:r>
      <w:r w:rsidRPr="003915B2">
        <w:rPr>
          <w:lang w:eastAsia="en-AU"/>
        </w:rPr>
        <w:t>data</w:t>
      </w:r>
      <w:r w:rsidR="00F6048C">
        <w:rPr>
          <w:lang w:eastAsia="en-AU"/>
        </w:rPr>
        <w:t xml:space="preserve"> </w:t>
      </w:r>
      <w:r w:rsidRPr="003915B2">
        <w:rPr>
          <w:lang w:eastAsia="en-AU"/>
        </w:rPr>
        <w:t xml:space="preserve">recorded </w:t>
      </w:r>
      <w:r w:rsidR="001D344A">
        <w:rPr>
          <w:lang w:eastAsia="en-AU"/>
        </w:rPr>
        <w:t xml:space="preserve">in Sharepoint </w:t>
      </w:r>
      <w:r w:rsidRPr="003915B2">
        <w:rPr>
          <w:lang w:eastAsia="en-AU"/>
        </w:rPr>
        <w:t xml:space="preserve">and survey responses </w:t>
      </w:r>
      <w:r w:rsidR="007E3103" w:rsidRPr="003915B2">
        <w:rPr>
          <w:lang w:eastAsia="en-AU"/>
        </w:rPr>
        <w:t>are summarised below:</w:t>
      </w:r>
    </w:p>
    <w:p w14:paraId="6E1D16EB" w14:textId="35332E8F" w:rsidR="00536B04" w:rsidRPr="00536B04" w:rsidRDefault="001D344A" w:rsidP="00536B04">
      <w:pPr>
        <w:pStyle w:val="Bullet1"/>
        <w:rPr>
          <w:lang w:val="en-AU"/>
        </w:rPr>
      </w:pPr>
      <w:r w:rsidRPr="001D344A">
        <w:rPr>
          <w:lang w:val="en-AU"/>
        </w:rPr>
        <w:t>Analysis of SharePoint entries for the period 17 M</w:t>
      </w:r>
      <w:r w:rsidR="00F82B2C">
        <w:rPr>
          <w:lang w:val="en-AU"/>
        </w:rPr>
        <w:t>ay 2015 to 31 May 2016 indicated</w:t>
      </w:r>
      <w:r w:rsidRPr="001D344A">
        <w:rPr>
          <w:lang w:val="en-AU"/>
        </w:rPr>
        <w:t xml:space="preserve"> that a total of 3972 client interactions were recorded (</w:t>
      </w:r>
      <w:r w:rsidR="00536B04" w:rsidRPr="00536B04">
        <w:rPr>
          <w:i/>
          <w:lang w:val="en-AU"/>
        </w:rPr>
        <w:fldChar w:fldCharType="begin"/>
      </w:r>
      <w:r w:rsidR="00536B04" w:rsidRPr="00536B04">
        <w:rPr>
          <w:i/>
          <w:lang w:val="en-AU"/>
        </w:rPr>
        <w:instrText xml:space="preserve"> REF _Ref462821894 \h </w:instrText>
      </w:r>
      <w:r w:rsidR="00536B04">
        <w:rPr>
          <w:i/>
          <w:lang w:val="en-AU"/>
        </w:rPr>
        <w:instrText xml:space="preserve"> \* MERGEFORMAT </w:instrText>
      </w:r>
      <w:r w:rsidR="00536B04" w:rsidRPr="00536B04">
        <w:rPr>
          <w:i/>
          <w:lang w:val="en-AU"/>
        </w:rPr>
      </w:r>
      <w:r w:rsidR="00536B04" w:rsidRPr="00536B04">
        <w:rPr>
          <w:i/>
          <w:lang w:val="en-AU"/>
        </w:rPr>
        <w:fldChar w:fldCharType="separate"/>
      </w:r>
      <w:r w:rsidR="00487073" w:rsidRPr="00487073">
        <w:rPr>
          <w:i/>
        </w:rPr>
        <w:t xml:space="preserve">Table </w:t>
      </w:r>
      <w:r w:rsidR="00487073" w:rsidRPr="00487073">
        <w:rPr>
          <w:i/>
          <w:noProof/>
        </w:rPr>
        <w:t>5</w:t>
      </w:r>
      <w:r w:rsidR="00487073" w:rsidRPr="00487073">
        <w:rPr>
          <w:i/>
          <w:noProof/>
        </w:rPr>
        <w:noBreakHyphen/>
        <w:t>8</w:t>
      </w:r>
      <w:r w:rsidR="00536B04" w:rsidRPr="00536B04">
        <w:rPr>
          <w:i/>
          <w:lang w:val="en-AU"/>
        </w:rPr>
        <w:fldChar w:fldCharType="end"/>
      </w:r>
      <w:r w:rsidRPr="001D344A">
        <w:rPr>
          <w:lang w:val="en-AU"/>
        </w:rPr>
        <w:t xml:space="preserve">).  When n/a responses are excluded, 61.5% of all interactions were categorised as </w:t>
      </w:r>
      <w:r w:rsidR="00536B04">
        <w:rPr>
          <w:lang w:val="en-AU"/>
        </w:rPr>
        <w:t>resolved</w:t>
      </w:r>
      <w:r w:rsidRPr="001D344A">
        <w:rPr>
          <w:lang w:val="en-AU"/>
        </w:rPr>
        <w:t xml:space="preserve"> (2214/3602) and only 1.6% (58/3602) were categorised as </w:t>
      </w:r>
      <w:r w:rsidR="00536B04">
        <w:rPr>
          <w:lang w:val="en-AU"/>
        </w:rPr>
        <w:t xml:space="preserve">not having been </w:t>
      </w:r>
      <w:r w:rsidR="00493268">
        <w:rPr>
          <w:lang w:val="en-AU"/>
        </w:rPr>
        <w:t>resolved.</w:t>
      </w:r>
      <w:r w:rsidRPr="001D344A">
        <w:rPr>
          <w:lang w:val="en-AU"/>
        </w:rPr>
        <w:t xml:space="preserve">  </w:t>
      </w:r>
      <w:r w:rsidR="00536B04" w:rsidRPr="00536B04">
        <w:rPr>
          <w:lang w:val="en-AU"/>
        </w:rPr>
        <w:t>This surrogate measure suggests high levels of satisfaction with the service overall</w:t>
      </w:r>
    </w:p>
    <w:p w14:paraId="399F3E7E" w14:textId="691530AE" w:rsidR="007E3103" w:rsidRPr="00E60013" w:rsidRDefault="001D344A" w:rsidP="001D344A">
      <w:pPr>
        <w:pStyle w:val="Bullet1"/>
        <w:rPr>
          <w:lang w:val="en-AU"/>
        </w:rPr>
      </w:pPr>
      <w:r w:rsidRPr="001D344A">
        <w:rPr>
          <w:lang w:val="en-AU"/>
        </w:rPr>
        <w:lastRenderedPageBreak/>
        <w:t xml:space="preserve">These figures suggest high levels of satisfaction with the service overall.  </w:t>
      </w:r>
      <w:r w:rsidR="00CC0FEA" w:rsidRPr="003915B2">
        <w:rPr>
          <w:lang w:val="en-AU"/>
        </w:rPr>
        <w:t xml:space="preserve">Limitations in </w:t>
      </w:r>
      <w:r>
        <w:rPr>
          <w:lang w:val="en-AU"/>
        </w:rPr>
        <w:t>how client data was recorded within Sharepoint p</w:t>
      </w:r>
      <w:r w:rsidR="00CC0FEA" w:rsidRPr="003915B2">
        <w:rPr>
          <w:lang w:val="en-AU"/>
        </w:rPr>
        <w:t>revented a more refined analysis of satisfaction rates</w:t>
      </w:r>
      <w:r w:rsidR="00CC0FEA">
        <w:rPr>
          <w:lang w:val="en-AU"/>
        </w:rPr>
        <w:t xml:space="preserve"> </w:t>
      </w:r>
      <w:r w:rsidR="007B5DAC">
        <w:rPr>
          <w:lang w:val="en-AU"/>
        </w:rPr>
        <w:t>(</w:t>
      </w:r>
      <w:r w:rsidR="007B5DAC" w:rsidRPr="007B5DAC">
        <w:rPr>
          <w:rStyle w:val="Emphasis"/>
        </w:rPr>
        <w:t xml:space="preserve">Section </w:t>
      </w:r>
      <w:r w:rsidR="007B5DAC" w:rsidRPr="007B5DAC">
        <w:rPr>
          <w:rStyle w:val="Emphasis"/>
        </w:rPr>
        <w:fldChar w:fldCharType="begin"/>
      </w:r>
      <w:r w:rsidR="007B5DAC" w:rsidRPr="007B5DAC">
        <w:rPr>
          <w:rStyle w:val="Emphasis"/>
        </w:rPr>
        <w:instrText xml:space="preserve"> REF _Ref463015921 \r \h </w:instrText>
      </w:r>
      <w:r w:rsidR="007B5DAC">
        <w:rPr>
          <w:rStyle w:val="Emphasis"/>
        </w:rPr>
        <w:instrText xml:space="preserve"> \* MERGEFORMAT </w:instrText>
      </w:r>
      <w:r w:rsidR="007B5DAC" w:rsidRPr="007B5DAC">
        <w:rPr>
          <w:rStyle w:val="Emphasis"/>
        </w:rPr>
      </w:r>
      <w:r w:rsidR="007B5DAC" w:rsidRPr="007B5DAC">
        <w:rPr>
          <w:rStyle w:val="Emphasis"/>
        </w:rPr>
        <w:fldChar w:fldCharType="separate"/>
      </w:r>
      <w:r w:rsidR="00487073">
        <w:rPr>
          <w:rStyle w:val="Emphasis"/>
        </w:rPr>
        <w:t>5.3.4</w:t>
      </w:r>
      <w:r w:rsidR="007B5DAC" w:rsidRPr="007B5DAC">
        <w:rPr>
          <w:rStyle w:val="Emphasis"/>
        </w:rPr>
        <w:fldChar w:fldCharType="end"/>
      </w:r>
      <w:r w:rsidR="007B5DAC">
        <w:rPr>
          <w:lang w:val="en-AU"/>
        </w:rPr>
        <w:t>)</w:t>
      </w:r>
      <w:r w:rsidR="00ED6959">
        <w:rPr>
          <w:lang w:val="en-AU"/>
        </w:rPr>
        <w:t xml:space="preserve"> </w:t>
      </w:r>
    </w:p>
    <w:p w14:paraId="2D2D46C9" w14:textId="22C47C8E" w:rsidR="007E3103" w:rsidRPr="00B43607" w:rsidRDefault="007E3103" w:rsidP="007E3103">
      <w:pPr>
        <w:pStyle w:val="Bullet1"/>
        <w:rPr>
          <w:lang w:val="en-AU"/>
        </w:rPr>
      </w:pPr>
      <w:r w:rsidRPr="00B43607">
        <w:t xml:space="preserve">Survey respondents’ perceptions of the usefulness of IAA was evident </w:t>
      </w:r>
      <w:r w:rsidRPr="00B43607">
        <w:rPr>
          <w:lang w:val="en-AU"/>
        </w:rPr>
        <w:t xml:space="preserve">in the range </w:t>
      </w:r>
      <w:r w:rsidR="00C90755" w:rsidRPr="00B43607">
        <w:rPr>
          <w:lang w:val="en-AU"/>
        </w:rPr>
        <w:t>of benefits</w:t>
      </w:r>
      <w:r w:rsidRPr="00B43607">
        <w:rPr>
          <w:lang w:val="en-AU"/>
        </w:rPr>
        <w:t xml:space="preserve"> listed, which included IAA providing:</w:t>
      </w:r>
    </w:p>
    <w:p w14:paraId="3D014CC9" w14:textId="4A1C64DA" w:rsidR="007E3103" w:rsidRPr="00B43607" w:rsidRDefault="007E3103" w:rsidP="007E3103">
      <w:pPr>
        <w:pStyle w:val="Bullet2"/>
        <w:rPr>
          <w:lang w:val="en-AU"/>
        </w:rPr>
      </w:pPr>
      <w:r w:rsidRPr="00B43607">
        <w:rPr>
          <w:lang w:val="en-AU"/>
        </w:rPr>
        <w:t>Easy access to information</w:t>
      </w:r>
    </w:p>
    <w:p w14:paraId="75EB8499" w14:textId="77777777" w:rsidR="007E3103" w:rsidRPr="00B43607" w:rsidRDefault="007E3103" w:rsidP="007E3103">
      <w:pPr>
        <w:pStyle w:val="Bullet2"/>
        <w:rPr>
          <w:lang w:val="en-AU"/>
        </w:rPr>
      </w:pPr>
      <w:r w:rsidRPr="00B43607">
        <w:rPr>
          <w:lang w:val="en-AU"/>
        </w:rPr>
        <w:t xml:space="preserve">Additional support </w:t>
      </w:r>
    </w:p>
    <w:p w14:paraId="5DC462F4" w14:textId="4FCEFCF6" w:rsidR="000A0AF0" w:rsidRPr="003938A6" w:rsidRDefault="007E3103" w:rsidP="000A0AF0">
      <w:pPr>
        <w:pStyle w:val="Bullet2"/>
      </w:pPr>
      <w:r w:rsidRPr="00B43607">
        <w:rPr>
          <w:lang w:val="en-AU"/>
        </w:rPr>
        <w:t xml:space="preserve">An </w:t>
      </w:r>
      <w:r>
        <w:rPr>
          <w:lang w:val="en-AU"/>
        </w:rPr>
        <w:t xml:space="preserve">independent agency </w:t>
      </w:r>
      <w:r w:rsidR="00ED6959">
        <w:rPr>
          <w:lang w:val="en-AU"/>
        </w:rPr>
        <w:t xml:space="preserve">(separate from their STCA) </w:t>
      </w:r>
      <w:r>
        <w:rPr>
          <w:lang w:val="en-AU"/>
        </w:rPr>
        <w:t>to talk with</w:t>
      </w:r>
    </w:p>
    <w:p w14:paraId="7791EA47" w14:textId="77777777" w:rsidR="000A0AF0" w:rsidRDefault="00AD0A87" w:rsidP="000A0AF0">
      <w:pPr>
        <w:pStyle w:val="Bullet1"/>
        <w:numPr>
          <w:ilvl w:val="0"/>
          <w:numId w:val="0"/>
        </w:numPr>
        <w:ind w:left="786"/>
        <w:rPr>
          <w:rStyle w:val="Bullet1Char"/>
        </w:rPr>
      </w:pPr>
      <w:r w:rsidRPr="003938A6">
        <w:rPr>
          <w:rStyle w:val="Bullet1Char"/>
          <w:noProof/>
          <w:lang w:val="en-AU"/>
        </w:rPr>
        <mc:AlternateContent>
          <mc:Choice Requires="wps">
            <w:drawing>
              <wp:inline distT="0" distB="0" distL="0" distR="0" wp14:anchorId="03F4001C" wp14:editId="5F545349">
                <wp:extent cx="5257800" cy="1817370"/>
                <wp:effectExtent l="76200" t="57150" r="76200" b="88900"/>
                <wp:docPr id="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1817370"/>
                        </a:xfrm>
                        <a:prstGeom prst="rect">
                          <a:avLst/>
                        </a:prstGeom>
                        <a:solidFill>
                          <a:srgbClr val="71C9FF">
                            <a:lumMod val="20000"/>
                            <a:lumOff val="80000"/>
                          </a:srgb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503A1EA" w14:textId="2A9139FA" w:rsidR="000B67DE" w:rsidRPr="008F21C9" w:rsidRDefault="000B67DE" w:rsidP="001D344A">
                            <w:pPr>
                              <w:pStyle w:val="TextBox"/>
                            </w:pPr>
                            <w:r>
                              <w:t xml:space="preserve">As outlined in Section </w:t>
                            </w:r>
                            <w:r>
                              <w:fldChar w:fldCharType="begin"/>
                            </w:r>
                            <w:r>
                              <w:instrText xml:space="preserve"> REF _Ref490046821 \r \h </w:instrText>
                            </w:r>
                            <w:r>
                              <w:fldChar w:fldCharType="separate"/>
                            </w:r>
                            <w:r w:rsidR="00487073">
                              <w:t>4.1.2</w:t>
                            </w:r>
                            <w:r>
                              <w:fldChar w:fldCharType="end"/>
                            </w:r>
                            <w:r>
                              <w:t>, two denominators are used in reporting findings.  First, the percentage of total parental respondents and second, the proportion of responses that relate to a subset of the variable e.g. service users</w:t>
                            </w:r>
                          </w:p>
                        </w:txbxContent>
                      </wps:txbx>
                      <wps:bodyPr rot="0" spcFirstLastPara="0" vertOverflow="overflow" horzOverflow="overflow" vert="horz" wrap="square" lIns="90000" tIns="45720" rIns="91440" bIns="45720" numCol="1" spcCol="0" rtlCol="0" fromWordArt="0" anchor="ctr" anchorCtr="0" forceAA="0" compatLnSpc="1">
                        <a:prstTxWarp prst="textNoShape">
                          <a:avLst/>
                        </a:prstTxWarp>
                        <a:spAutoFit/>
                      </wps:bodyPr>
                    </wps:wsp>
                  </a:graphicData>
                </a:graphic>
              </wp:inline>
            </w:drawing>
          </mc:Choice>
          <mc:Fallback>
            <w:pict>
              <v:rect w14:anchorId="03F4001C" id="Rectangle 17" o:spid="_x0000_s1032" style="width:414pt;height:14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4Ry6gIAAO4FAAAOAAAAZHJzL2Uyb0RvYy54bWysVF1P2zAUfZ+0/2D5faQpsEJFiqqiTpM6&#10;QMDEs+s4TTTH9my3Kfv1O75pSxl7mpYHy/cj1+ee+3F1vW012ygfGmsKnp8MOFNG2rIxq4J/f5p/&#10;uuAsRGFKoa1RBX9RgV9PPn646txYDW1tdak8QxATxp0reB2jG2dZkLVqRTixThkYK+tbESH6VVZ6&#10;0SF6q7PhYPA566wvnbdShQDtTW/kE4pfVUrGu6oKKjJdcGCLdHo6l+nMJldivPLC1Y3cwRD/gKIV&#10;jcGjh1A3Igq29s27UG0jvQ22iifStpmtqkYqygHZ5IM/snmshVOUC8gJ7kBT+H9h5e3m3rOmLDgK&#10;ZUSLEj2ANGFWWrF8lPjpXBjD7dHd+5RhcAsrfwQYsjeWJISdz7bybfJFfmxLZL8cyFbbyCSU58Pz&#10;0cUANZGw5Rf56HRE5cjEeP+78yF+UbZl6VJwD2BEstgsQkwAxHjvQsisbsp5ozUJfrWcac82ApUf&#10;5bPL+Zz+1ev2my17NRoIAKgFoEaj9Gqg6tWIH/ow9FY4jq8N6wp+epFTCgKtW2kRkU3rQGYwK86E&#10;XmEmZPT08Ju/w0s4gEM3l7bjTIsQoSz4nL6EKwE4fjRleyNC3eMk085Nm5S0oo4HOUT+Oir/WJcd&#10;W+q1fxCAdUaZsbJJdPbZQ8CT52RBMbyNz02sqfNSyd5RmSIg5aQX2tWih3KaONsjPqLM7jFQLkfw&#10;qHf6dkmNE7fLLXXhMAVJmqUtX9CZwEP9E5ycN8h+AZLuhceMAiz2TrzDUWmLWtjdjbPa+l9/0yd/&#10;jA6snHWYedTp51p4Be6/GgzVJaXGIgln56NhIqS35GdnEJbHFrNuZxbNlWPDOUnX5B/1/lp52z5j&#10;PU3TqzAJI/F23xE7YRYhw4QFJ9V0SncsBifiwjw6mYInplPdn7bPwrvdKERM0a3d7weU4u1E9L5U&#10;OzddRztvaFxeeUU5koClQoXZLcC0tY5l8npd05PfAAAA//8DAFBLAwQUAAYACAAAACEAMHthRdsA&#10;AAAFAQAADwAAAGRycy9kb3ducmV2LnhtbEyPwWrDMBBE74X+g9hAL6WR4kNwXcshBHLopZC0oVfF&#10;2tgm0spYiu3+fbe9tJeBYZaZt+Vm9k6MOMQukIbVUoFAqoPtqNHw8b5/ykHEZMgaFwg1fGGETXV/&#10;V5rChokOOB5TI7iEYmE0tCn1hZSxbtGbuAw9EmeXMHiT2A6NtIOZuNw7mSm1lt50xAut6XHXYn09&#10;3ryG1+1h1+WTun7KeHp8fhtX6uT2Wj8s5u0LiIRz+juGH3xGh4qZzuFGNgqngR9Jv8pZnuVszxqy&#10;fJ2BrEr5n776BgAA//8DAFBLAQItABQABgAIAAAAIQC2gziS/gAAAOEBAAATAAAAAAAAAAAAAAAA&#10;AAAAAABbQ29udGVudF9UeXBlc10ueG1sUEsBAi0AFAAGAAgAAAAhADj9If/WAAAAlAEAAAsAAAAA&#10;AAAAAAAAAAAALwEAAF9yZWxzLy5yZWxzUEsBAi0AFAAGAAgAAAAhAJenhHLqAgAA7gUAAA4AAAAA&#10;AAAAAAAAAAAALgIAAGRycy9lMm9Eb2MueG1sUEsBAi0AFAAGAAgAAAAhADB7YUXbAAAABQEAAA8A&#10;AAAAAAAAAAAAAAAARAUAAGRycy9kb3ducmV2LnhtbFBLBQYAAAAABAAEAPMAAABMBgAAAAA=&#10;" fillcolor="#e3f4ff" strokecolor="window" strokeweight="3pt">
                <v:shadow on="t" color="black" opacity="24903f" origin=",.5" offset="0,.55556mm"/>
                <v:path arrowok="t"/>
                <v:textbox style="mso-fit-shape-to-text:t" inset="2.5mm">
                  <w:txbxContent>
                    <w:p w14:paraId="3503A1EA" w14:textId="2A9139FA" w:rsidR="000B67DE" w:rsidRPr="008F21C9" w:rsidRDefault="000B67DE" w:rsidP="001D344A">
                      <w:pPr>
                        <w:pStyle w:val="TextBox"/>
                      </w:pPr>
                      <w:r>
                        <w:t xml:space="preserve">As outlined in Section </w:t>
                      </w:r>
                      <w:r>
                        <w:fldChar w:fldCharType="begin"/>
                      </w:r>
                      <w:r>
                        <w:instrText xml:space="preserve"> REF _Ref490046821 \r \h </w:instrText>
                      </w:r>
                      <w:r>
                        <w:fldChar w:fldCharType="separate"/>
                      </w:r>
                      <w:r w:rsidR="00487073">
                        <w:t>4.1.2</w:t>
                      </w:r>
                      <w:r>
                        <w:fldChar w:fldCharType="end"/>
                      </w:r>
                      <w:r>
                        <w:t>, two denominators are used in reporting findings.  First, the percentage of total parental respondents and second, the proportion of responses that relate to a subset of the variable e.g. service users</w:t>
                      </w:r>
                    </w:p>
                  </w:txbxContent>
                </v:textbox>
                <w10:anchorlock/>
              </v:rect>
            </w:pict>
          </mc:Fallback>
        </mc:AlternateContent>
      </w:r>
    </w:p>
    <w:p w14:paraId="784A16A9" w14:textId="0FDC8483" w:rsidR="003938A6" w:rsidRDefault="003938A6" w:rsidP="003938A6">
      <w:pPr>
        <w:pStyle w:val="Bullet1"/>
        <w:rPr>
          <w:rStyle w:val="Bullet1Char"/>
        </w:rPr>
      </w:pPr>
      <w:r w:rsidRPr="003938A6">
        <w:rPr>
          <w:rStyle w:val="Bullet1Char"/>
        </w:rPr>
        <w:t>Overall, almost one in five of all parental respondents (42/220, 19.1%) indicated that they had used the 1800 information line (</w:t>
      </w:r>
      <w:r w:rsidR="00333F77" w:rsidRPr="00333F77">
        <w:rPr>
          <w:rStyle w:val="Bullet1Char"/>
          <w:i/>
        </w:rPr>
        <w:fldChar w:fldCharType="begin"/>
      </w:r>
      <w:r w:rsidR="00333F77" w:rsidRPr="00333F77">
        <w:rPr>
          <w:rStyle w:val="Bullet1Char"/>
          <w:i/>
        </w:rPr>
        <w:instrText xml:space="preserve"> REF _Ref462823346 \h </w:instrText>
      </w:r>
      <w:r w:rsidR="00333F77">
        <w:rPr>
          <w:rStyle w:val="Bullet1Char"/>
          <w:i/>
        </w:rPr>
        <w:instrText xml:space="preserve"> \* MERGEFORMAT </w:instrText>
      </w:r>
      <w:r w:rsidR="00333F77" w:rsidRPr="00333F77">
        <w:rPr>
          <w:rStyle w:val="Bullet1Char"/>
          <w:i/>
        </w:rPr>
      </w:r>
      <w:r w:rsidR="00333F77" w:rsidRPr="00333F77">
        <w:rPr>
          <w:rStyle w:val="Bullet1Char"/>
          <w:i/>
        </w:rPr>
        <w:fldChar w:fldCharType="separate"/>
      </w:r>
      <w:r w:rsidR="00487073" w:rsidRPr="00487073">
        <w:rPr>
          <w:i/>
        </w:rPr>
        <w:t xml:space="preserve">Table </w:t>
      </w:r>
      <w:r w:rsidR="00487073" w:rsidRPr="00487073">
        <w:rPr>
          <w:i/>
          <w:noProof/>
        </w:rPr>
        <w:t>5</w:t>
      </w:r>
      <w:r w:rsidR="00487073" w:rsidRPr="00487073">
        <w:rPr>
          <w:i/>
          <w:noProof/>
        </w:rPr>
        <w:noBreakHyphen/>
        <w:t>9</w:t>
      </w:r>
      <w:r w:rsidR="00333F77" w:rsidRPr="00333F77">
        <w:rPr>
          <w:rStyle w:val="Bullet1Char"/>
          <w:i/>
        </w:rPr>
        <w:fldChar w:fldCharType="end"/>
      </w:r>
      <w:r w:rsidRPr="003938A6">
        <w:rPr>
          <w:rStyle w:val="Bullet1Char"/>
        </w:rPr>
        <w:t>).  Those wanting to adopt for the first time accounted for the greatest proportion of information line users (31/42, 73.8%)</w:t>
      </w:r>
    </w:p>
    <w:p w14:paraId="3F6ADBE5" w14:textId="0F290838" w:rsidR="00AD0A87" w:rsidRPr="00AD0A87" w:rsidRDefault="00AD0A87" w:rsidP="00AD0A87">
      <w:pPr>
        <w:pStyle w:val="Bullet1"/>
        <w:rPr>
          <w:lang w:val="en-AU"/>
        </w:rPr>
      </w:pPr>
      <w:r w:rsidRPr="00AD0A87">
        <w:t>Half of the 42 respondents who reported having used the information line rated the information provided as either very useful or useful (21/42, 50.0%) (</w:t>
      </w:r>
      <w:r w:rsidR="00333F77" w:rsidRPr="00333F77">
        <w:rPr>
          <w:i/>
        </w:rPr>
        <w:fldChar w:fldCharType="begin"/>
      </w:r>
      <w:r w:rsidR="00333F77" w:rsidRPr="00333F77">
        <w:rPr>
          <w:i/>
        </w:rPr>
        <w:instrText xml:space="preserve"> REF _Ref462664881 \h </w:instrText>
      </w:r>
      <w:r w:rsidR="00333F77">
        <w:rPr>
          <w:i/>
        </w:rPr>
        <w:instrText xml:space="preserve"> \* MERGEFORMAT </w:instrText>
      </w:r>
      <w:r w:rsidR="00333F77" w:rsidRPr="00333F77">
        <w:rPr>
          <w:i/>
        </w:rPr>
      </w:r>
      <w:r w:rsidR="00333F77" w:rsidRPr="00333F77">
        <w:rPr>
          <w:i/>
        </w:rPr>
        <w:fldChar w:fldCharType="separate"/>
      </w:r>
      <w:r w:rsidR="00487073" w:rsidRPr="00487073">
        <w:rPr>
          <w:i/>
        </w:rPr>
        <w:t>Table 5</w:t>
      </w:r>
      <w:r w:rsidR="00487073" w:rsidRPr="00487073">
        <w:rPr>
          <w:i/>
        </w:rPr>
        <w:noBreakHyphen/>
        <w:t>10</w:t>
      </w:r>
      <w:r w:rsidR="00333F77" w:rsidRPr="00333F77">
        <w:rPr>
          <w:i/>
        </w:rPr>
        <w:fldChar w:fldCharType="end"/>
      </w:r>
      <w:r w:rsidR="006C11BE" w:rsidRPr="00333F77">
        <w:rPr>
          <w:i/>
        </w:rPr>
        <w:t>)</w:t>
      </w:r>
    </w:p>
    <w:p w14:paraId="63A01CC5" w14:textId="52EE5D8D" w:rsidR="00AD0A87" w:rsidRDefault="00AD0A87" w:rsidP="00AD0A87">
      <w:pPr>
        <w:pStyle w:val="Bullet1"/>
      </w:pPr>
      <w:r w:rsidRPr="00B43607">
        <w:t xml:space="preserve">Overall, </w:t>
      </w:r>
      <w:r>
        <w:t xml:space="preserve">almost </w:t>
      </w:r>
      <w:r w:rsidRPr="00B43607">
        <w:t xml:space="preserve">60% of the total parental respondents </w:t>
      </w:r>
      <w:r>
        <w:t xml:space="preserve">(131/220) </w:t>
      </w:r>
      <w:r w:rsidRPr="00B43607">
        <w:t>had used the IAA website</w:t>
      </w:r>
      <w:r>
        <w:t xml:space="preserve"> (</w:t>
      </w:r>
      <w:r w:rsidRPr="00B43607">
        <w:fldChar w:fldCharType="begin"/>
      </w:r>
      <w:r w:rsidRPr="00B43607">
        <w:instrText xml:space="preserve"> REF _Ref462650678 \h  \* MERGEFORMAT </w:instrText>
      </w:r>
      <w:r w:rsidRPr="00B43607">
        <w:fldChar w:fldCharType="separate"/>
      </w:r>
      <w:r w:rsidR="00487073" w:rsidRPr="00487073">
        <w:rPr>
          <w:i/>
          <w:iCs/>
        </w:rPr>
        <w:t>Table 5</w:t>
      </w:r>
      <w:r w:rsidR="00487073" w:rsidRPr="00487073">
        <w:rPr>
          <w:i/>
          <w:iCs/>
        </w:rPr>
        <w:noBreakHyphen/>
        <w:t>11</w:t>
      </w:r>
      <w:r w:rsidRPr="00B43607">
        <w:fldChar w:fldCharType="end"/>
      </w:r>
      <w:r>
        <w:t>)</w:t>
      </w:r>
      <w:r w:rsidR="00493268">
        <w:t xml:space="preserve">.  </w:t>
      </w:r>
      <w:r>
        <w:t>H</w:t>
      </w:r>
      <w:r w:rsidRPr="00B43607">
        <w:t xml:space="preserve">ighest usage </w:t>
      </w:r>
      <w:r>
        <w:t xml:space="preserve">was </w:t>
      </w:r>
      <w:r w:rsidRPr="00B43607">
        <w:t>evident among those wanting to adopt for the first time</w:t>
      </w:r>
      <w:r>
        <w:t xml:space="preserve"> (81/131, 61.8%)</w:t>
      </w:r>
      <w:r w:rsidRPr="00B43607">
        <w:t xml:space="preserve"> and </w:t>
      </w:r>
      <w:r>
        <w:t>in the post-adoption phase (27/131, 20.6%)</w:t>
      </w:r>
      <w:r w:rsidRPr="00B43607">
        <w:t>.</w:t>
      </w:r>
    </w:p>
    <w:p w14:paraId="27FD3521" w14:textId="3EDE764F" w:rsidR="007E3103" w:rsidRPr="007B5DAC" w:rsidRDefault="00AD0A87" w:rsidP="00F82B2C">
      <w:pPr>
        <w:pStyle w:val="Bullet1"/>
      </w:pPr>
      <w:r w:rsidRPr="00AD0A87">
        <w:t>O</w:t>
      </w:r>
      <w:r>
        <w:t>f those who had used the website</w:t>
      </w:r>
      <w:r w:rsidRPr="00AD0A87">
        <w:t>, 61.8% (81/131) rated the website information as very useful or useful (</w:t>
      </w:r>
      <w:r w:rsidR="00333F77" w:rsidRPr="00333F77">
        <w:rPr>
          <w:i/>
        </w:rPr>
        <w:fldChar w:fldCharType="begin"/>
      </w:r>
      <w:r w:rsidR="00333F77" w:rsidRPr="00333F77">
        <w:rPr>
          <w:i/>
        </w:rPr>
        <w:instrText xml:space="preserve"> REF _Ref462939357 \h </w:instrText>
      </w:r>
      <w:r w:rsidR="00333F77">
        <w:rPr>
          <w:i/>
        </w:rPr>
        <w:instrText xml:space="preserve"> \* MERGEFORMAT </w:instrText>
      </w:r>
      <w:r w:rsidR="00333F77" w:rsidRPr="00333F77">
        <w:rPr>
          <w:i/>
        </w:rPr>
      </w:r>
      <w:r w:rsidR="00333F77" w:rsidRPr="00333F77">
        <w:rPr>
          <w:i/>
        </w:rPr>
        <w:fldChar w:fldCharType="separate"/>
      </w:r>
      <w:r w:rsidR="00487073" w:rsidRPr="00487073">
        <w:rPr>
          <w:i/>
        </w:rPr>
        <w:t xml:space="preserve">Table </w:t>
      </w:r>
      <w:r w:rsidR="00487073" w:rsidRPr="00487073">
        <w:rPr>
          <w:i/>
          <w:noProof/>
        </w:rPr>
        <w:t>6</w:t>
      </w:r>
      <w:r w:rsidR="00487073" w:rsidRPr="00487073">
        <w:rPr>
          <w:i/>
          <w:noProof/>
        </w:rPr>
        <w:noBreakHyphen/>
        <w:t>9</w:t>
      </w:r>
      <w:r w:rsidR="00333F77" w:rsidRPr="00333F77">
        <w:rPr>
          <w:i/>
        </w:rPr>
        <w:fldChar w:fldCharType="end"/>
      </w:r>
      <w:r>
        <w:t>)</w:t>
      </w:r>
    </w:p>
    <w:p w14:paraId="37EBEE2F" w14:textId="77777777" w:rsidR="007E3103" w:rsidRDefault="007E3103" w:rsidP="007E3103">
      <w:pPr>
        <w:pStyle w:val="Bullet1"/>
      </w:pPr>
      <w:r w:rsidRPr="008D6228">
        <w:t>No complaints were received about the IAA service between May 2015 and May 2016</w:t>
      </w:r>
    </w:p>
    <w:p w14:paraId="711D4794" w14:textId="25251E54" w:rsidR="007E3103" w:rsidRDefault="007E3103" w:rsidP="007E3103">
      <w:pPr>
        <w:pStyle w:val="Bullet1"/>
      </w:pPr>
      <w:r w:rsidRPr="008D6228">
        <w:t>Less than 1% of calls and emails are complaints about ICA processes</w:t>
      </w:r>
      <w:r>
        <w:t>.</w:t>
      </w:r>
    </w:p>
    <w:p w14:paraId="0B4FF60D" w14:textId="77777777" w:rsidR="007E3103" w:rsidRDefault="007E3103" w:rsidP="007E3103">
      <w:pPr>
        <w:pStyle w:val="Heading4"/>
      </w:pPr>
      <w:r>
        <w:t>STCA feedback</w:t>
      </w:r>
    </w:p>
    <w:p w14:paraId="4C8FA133" w14:textId="73572A0A" w:rsidR="00205508" w:rsidRDefault="005C4011" w:rsidP="003938A6">
      <w:pPr>
        <w:pStyle w:val="Bullet1"/>
        <w:rPr>
          <w:lang w:val="en-AU"/>
        </w:rPr>
      </w:pPr>
      <w:r w:rsidRPr="00205508">
        <w:rPr>
          <w:lang w:val="en-AU"/>
        </w:rPr>
        <w:t>Discussions with STCA representatives highlighted a lack of clarity at STCA and client level regarding the role of IAA in ICA</w:t>
      </w:r>
      <w:r w:rsidR="00205508" w:rsidRPr="00205508">
        <w:rPr>
          <w:lang w:val="en-AU"/>
        </w:rPr>
        <w:t>.  This was particularly true d</w:t>
      </w:r>
      <w:r w:rsidRPr="00205508">
        <w:rPr>
          <w:lang w:val="en-AU"/>
        </w:rPr>
        <w:t>uring the early implementation phase</w:t>
      </w:r>
      <w:r w:rsidR="00205508" w:rsidRPr="00205508">
        <w:rPr>
          <w:lang w:val="en-AU"/>
        </w:rPr>
        <w:t xml:space="preserve"> where this lack of clarity resulted in</w:t>
      </w:r>
      <w:r w:rsidR="00205508">
        <w:rPr>
          <w:lang w:val="en-AU"/>
        </w:rPr>
        <w:t>:</w:t>
      </w:r>
      <w:r w:rsidR="00205508" w:rsidRPr="00205508">
        <w:rPr>
          <w:lang w:val="en-AU"/>
        </w:rPr>
        <w:t xml:space="preserve"> </w:t>
      </w:r>
    </w:p>
    <w:p w14:paraId="3221E0F5" w14:textId="0CCA7EDC" w:rsidR="005C4011" w:rsidRPr="00205508" w:rsidRDefault="005C4011" w:rsidP="00205508">
      <w:pPr>
        <w:pStyle w:val="Bullet2"/>
        <w:rPr>
          <w:lang w:val="en-AU"/>
        </w:rPr>
      </w:pPr>
      <w:r w:rsidRPr="00205508">
        <w:rPr>
          <w:lang w:val="en-AU"/>
        </w:rPr>
        <w:t xml:space="preserve">STCAs </w:t>
      </w:r>
      <w:r w:rsidR="00205508">
        <w:rPr>
          <w:lang w:val="en-AU"/>
        </w:rPr>
        <w:t>being</w:t>
      </w:r>
      <w:r w:rsidRPr="00205508">
        <w:rPr>
          <w:lang w:val="en-AU"/>
        </w:rPr>
        <w:t xml:space="preserve"> concerned about service duplication </w:t>
      </w:r>
    </w:p>
    <w:p w14:paraId="58BFDA70" w14:textId="58F0F377" w:rsidR="005C4011" w:rsidRDefault="005C4011" w:rsidP="005C4011">
      <w:pPr>
        <w:pStyle w:val="Bullet2"/>
        <w:rPr>
          <w:lang w:val="en-AU"/>
        </w:rPr>
      </w:pPr>
      <w:r w:rsidRPr="003A46CF">
        <w:rPr>
          <w:lang w:val="en-AU"/>
        </w:rPr>
        <w:t xml:space="preserve">Some STCAs </w:t>
      </w:r>
      <w:r w:rsidR="00205508">
        <w:rPr>
          <w:lang w:val="en-AU"/>
        </w:rPr>
        <w:t>being unable to</w:t>
      </w:r>
      <w:r w:rsidRPr="003A46CF">
        <w:rPr>
          <w:lang w:val="en-AU"/>
        </w:rPr>
        <w:t xml:space="preserve"> understanding/differentiation between IAA’s role and that of AGD, thus making transitioning from AGD to IAA as the central information/contact point problematic in some cases</w:t>
      </w:r>
    </w:p>
    <w:p w14:paraId="159EF8D0" w14:textId="59B28540" w:rsidR="007E3103" w:rsidRDefault="003938A6" w:rsidP="007E3103">
      <w:pPr>
        <w:pStyle w:val="Bullet1"/>
        <w:rPr>
          <w:lang w:val="en-AU"/>
        </w:rPr>
      </w:pPr>
      <w:r>
        <w:rPr>
          <w:lang w:val="en-AU"/>
        </w:rPr>
        <w:t>Factors contributing to this</w:t>
      </w:r>
      <w:r w:rsidR="006D0463">
        <w:rPr>
          <w:lang w:val="en-AU"/>
        </w:rPr>
        <w:t xml:space="preserve"> role confusion </w:t>
      </w:r>
      <w:r>
        <w:rPr>
          <w:lang w:val="en-AU"/>
        </w:rPr>
        <w:t>were</w:t>
      </w:r>
      <w:r w:rsidR="007E3103">
        <w:rPr>
          <w:lang w:val="en-AU"/>
        </w:rPr>
        <w:t>:</w:t>
      </w:r>
    </w:p>
    <w:p w14:paraId="0EBBFDDC" w14:textId="0175384B" w:rsidR="007E3103" w:rsidRPr="00443D9C" w:rsidRDefault="007E3103" w:rsidP="007E3103">
      <w:pPr>
        <w:pStyle w:val="Bullet2"/>
        <w:rPr>
          <w:lang w:val="en-AU"/>
        </w:rPr>
      </w:pPr>
      <w:r w:rsidRPr="00443D9C">
        <w:rPr>
          <w:lang w:val="en-AU"/>
        </w:rPr>
        <w:t xml:space="preserve">The Commonwealth-state agreement </w:t>
      </w:r>
      <w:r w:rsidR="00FB7799">
        <w:rPr>
          <w:lang w:val="en-AU"/>
        </w:rPr>
        <w:t>in place at the time predated the establishment of IAA.  As a result, no formal agreement existed that</w:t>
      </w:r>
      <w:r w:rsidR="00FB7799" w:rsidRPr="00443D9C">
        <w:rPr>
          <w:lang w:val="en-AU"/>
        </w:rPr>
        <w:t xml:space="preserve"> </w:t>
      </w:r>
      <w:r w:rsidRPr="00443D9C">
        <w:rPr>
          <w:lang w:val="en-AU"/>
        </w:rPr>
        <w:t>document</w:t>
      </w:r>
      <w:r w:rsidR="00FB7799">
        <w:rPr>
          <w:lang w:val="en-AU"/>
        </w:rPr>
        <w:t>ed</w:t>
      </w:r>
      <w:r w:rsidRPr="00443D9C">
        <w:rPr>
          <w:lang w:val="en-AU"/>
        </w:rPr>
        <w:t xml:space="preserve"> IAA’s role and govern</w:t>
      </w:r>
      <w:r w:rsidR="00FB7799">
        <w:rPr>
          <w:lang w:val="en-AU"/>
        </w:rPr>
        <w:t>ed</w:t>
      </w:r>
      <w:r w:rsidRPr="00443D9C">
        <w:rPr>
          <w:lang w:val="en-AU"/>
        </w:rPr>
        <w:t xml:space="preserve"> relationships between stakeholders </w:t>
      </w:r>
    </w:p>
    <w:p w14:paraId="5D06A089" w14:textId="5F24A743" w:rsidR="007E3103" w:rsidRPr="003938A6" w:rsidRDefault="007E3103" w:rsidP="007E3103">
      <w:pPr>
        <w:pStyle w:val="Bullet2"/>
        <w:rPr>
          <w:lang w:val="en-AU"/>
        </w:rPr>
      </w:pPr>
      <w:r w:rsidRPr="00443D9C">
        <w:rPr>
          <w:lang w:val="en-AU"/>
        </w:rPr>
        <w:t>Media coverage during the early implementation phase generated unrealisti</w:t>
      </w:r>
      <w:r>
        <w:rPr>
          <w:lang w:val="en-AU"/>
        </w:rPr>
        <w:t>c expectations of ICA processes</w:t>
      </w:r>
      <w:r w:rsidR="006D0463" w:rsidRPr="006C11BE">
        <w:rPr>
          <w:lang w:val="en-AU"/>
        </w:rPr>
        <w:t>, ICA reforms and the role of IAA</w:t>
      </w:r>
      <w:r w:rsidRPr="006C11BE">
        <w:rPr>
          <w:lang w:val="en-AU"/>
        </w:rPr>
        <w:t xml:space="preserve"> </w:t>
      </w:r>
    </w:p>
    <w:p w14:paraId="624989C6" w14:textId="0C20D8A2" w:rsidR="007E3103" w:rsidRDefault="007E3103" w:rsidP="00FB7799">
      <w:pPr>
        <w:pStyle w:val="Bullet1"/>
        <w:rPr>
          <w:lang w:val="en-AU"/>
        </w:rPr>
      </w:pPr>
      <w:r>
        <w:rPr>
          <w:lang w:val="en-AU"/>
        </w:rPr>
        <w:t>A</w:t>
      </w:r>
      <w:r w:rsidRPr="00443D9C">
        <w:rPr>
          <w:lang w:val="en-AU"/>
        </w:rPr>
        <w:t xml:space="preserve"> number of STCA representatives acknowledged </w:t>
      </w:r>
      <w:r w:rsidR="00205508">
        <w:rPr>
          <w:lang w:val="en-AU"/>
        </w:rPr>
        <w:t xml:space="preserve">that IAA has played a </w:t>
      </w:r>
      <w:r w:rsidRPr="00443D9C">
        <w:rPr>
          <w:lang w:val="en-AU"/>
        </w:rPr>
        <w:t xml:space="preserve">dual role in improving </w:t>
      </w:r>
      <w:r w:rsidR="00FB7799">
        <w:rPr>
          <w:lang w:val="en-AU"/>
        </w:rPr>
        <w:t>STCA</w:t>
      </w:r>
      <w:r w:rsidR="00FB7799" w:rsidRPr="00443D9C">
        <w:rPr>
          <w:lang w:val="en-AU"/>
        </w:rPr>
        <w:t xml:space="preserve"> </w:t>
      </w:r>
      <w:r w:rsidR="00FB7799">
        <w:rPr>
          <w:lang w:val="en-AU"/>
        </w:rPr>
        <w:t xml:space="preserve">staff and client </w:t>
      </w:r>
      <w:r w:rsidRPr="00443D9C">
        <w:rPr>
          <w:lang w:val="en-AU"/>
        </w:rPr>
        <w:t>understanding of ICA</w:t>
      </w:r>
      <w:r w:rsidR="003938A6">
        <w:rPr>
          <w:lang w:val="en-AU"/>
        </w:rPr>
        <w:t xml:space="preserve"> generally</w:t>
      </w:r>
      <w:r w:rsidR="00823F56">
        <w:rPr>
          <w:lang w:val="en-AU"/>
        </w:rPr>
        <w:t>.</w:t>
      </w:r>
    </w:p>
    <w:p w14:paraId="6578965A" w14:textId="77777777" w:rsidR="007E3103" w:rsidRPr="00A25212" w:rsidRDefault="007E3103" w:rsidP="007E3103">
      <w:pPr>
        <w:pStyle w:val="Heading3"/>
        <w:rPr>
          <w:lang w:val="en-AU"/>
        </w:rPr>
      </w:pPr>
      <w:r w:rsidRPr="00A25212">
        <w:rPr>
          <w:lang w:val="en-AU"/>
        </w:rPr>
        <w:lastRenderedPageBreak/>
        <w:t>Post-implementation IAA service delivery developments</w:t>
      </w:r>
    </w:p>
    <w:p w14:paraId="5E2CDF19" w14:textId="1175143D" w:rsidR="007E3103" w:rsidRDefault="007E3103" w:rsidP="00E07D8E">
      <w:pPr>
        <w:pStyle w:val="Paragraph"/>
        <w:rPr>
          <w:lang w:val="en-AU"/>
        </w:rPr>
      </w:pPr>
      <w:r w:rsidRPr="00A25212">
        <w:rPr>
          <w:lang w:val="en-AU"/>
        </w:rPr>
        <w:t xml:space="preserve">Since its initial implementation, the IAA has </w:t>
      </w:r>
      <w:r w:rsidR="005C4011">
        <w:rPr>
          <w:lang w:val="en-AU"/>
        </w:rPr>
        <w:t xml:space="preserve">been responsive to ongoing feedback and </w:t>
      </w:r>
      <w:r w:rsidRPr="00A25212">
        <w:rPr>
          <w:lang w:val="en-AU"/>
        </w:rPr>
        <w:t xml:space="preserve">evolved beyond the original parameters specified in the </w:t>
      </w:r>
      <w:r w:rsidR="008B0955">
        <w:t>Reform</w:t>
      </w:r>
      <w:r w:rsidR="008B0955" w:rsidRPr="00A25212">
        <w:rPr>
          <w:lang w:val="en-AU"/>
        </w:rPr>
        <w:t xml:space="preserve"> </w:t>
      </w:r>
      <w:r w:rsidRPr="00A25212">
        <w:rPr>
          <w:lang w:val="en-AU"/>
        </w:rPr>
        <w:t xml:space="preserve">Implementation Plan </w:t>
      </w:r>
      <w:r w:rsidR="006812F2">
        <w:fldChar w:fldCharType="begin" w:fldLock="1"/>
      </w:r>
      <w:r w:rsidR="006812F2">
        <w:instrText>ADDIN CSL_CITATION { "citationItems" : [ { "id" : "ITEM-1", "itemData" : { "author" : [ { "dropping-particle" : "", "family" : "Department", "given" : "Australian Government Department of Social Services and Attorney-General's", "non-dropping-particle" : "", "parse-names" : false, "suffix" : "" } ], "id" : "ITEM-1", "issued" : { "date-parts" : [ [ "2015" ] ] }, "publisher-place" : "Canberra", "title" : "Intercountry Adoption Reform: Implementation Plan", "type" : "report" }, "prefix" : "Intercountry Adoption Reform: Implementation Plan", "suppress-author" : 1, "uris" : [ "http://www.mendeley.com/documents/?uuid=c63de2ba-0b90-4802-a065-fb47ac7ca77f" ] } ], "mendeley" : { "formattedCitation" : "(Intercountry Adoption Reform: Implementation Plan 2015)", "plainTextFormattedCitation" : "(Intercountry Adoption Reform: Implementation Plan 2015)", "previouslyFormattedCitation" : "(Intercountry Adoption Reform: Implementation Plan 2015)" }, "properties" : { "noteIndex" : 0 }, "schema" : "https://github.com/citation-style-language/schema/raw/master/csl-citation.json" }</w:instrText>
      </w:r>
      <w:r w:rsidR="006812F2">
        <w:fldChar w:fldCharType="separate"/>
      </w:r>
      <w:r w:rsidR="006812F2" w:rsidRPr="006812F2">
        <w:rPr>
          <w:i/>
          <w:noProof/>
        </w:rPr>
        <w:t xml:space="preserve">(Intercountry Adoption Reform: Implementation Plan </w:t>
      </w:r>
      <w:r w:rsidR="006812F2" w:rsidRPr="006812F2">
        <w:rPr>
          <w:noProof/>
        </w:rPr>
        <w:t>2015)</w:t>
      </w:r>
      <w:r w:rsidR="006812F2">
        <w:fldChar w:fldCharType="end"/>
      </w:r>
      <w:r w:rsidR="006812F2">
        <w:t xml:space="preserve">.  </w:t>
      </w:r>
      <w:r>
        <w:rPr>
          <w:lang w:val="en-AU"/>
        </w:rPr>
        <w:t>Examples of the developments to date are:</w:t>
      </w:r>
    </w:p>
    <w:p w14:paraId="7A77AB34" w14:textId="53CBA10D" w:rsidR="007E3103" w:rsidRDefault="002F1254" w:rsidP="007E3103">
      <w:pPr>
        <w:pStyle w:val="Bullet1"/>
      </w:pPr>
      <w:r>
        <w:t>DSS t</w:t>
      </w:r>
      <w:r w:rsidR="007E3103" w:rsidRPr="008567C9">
        <w:t xml:space="preserve">eams have been restructured so that there is now one team which includes the IAA </w:t>
      </w:r>
      <w:r w:rsidR="007E3103">
        <w:t>service and policy function</w:t>
      </w:r>
      <w:r>
        <w:t>s</w:t>
      </w:r>
      <w:r w:rsidR="005C4011">
        <w:t>.</w:t>
      </w:r>
      <w:r w:rsidR="00E831C0">
        <w:t xml:space="preserve"> </w:t>
      </w:r>
      <w:r w:rsidR="005C4011">
        <w:t xml:space="preserve"> This </w:t>
      </w:r>
      <w:r w:rsidR="006C11BE">
        <w:t xml:space="preserve">will </w:t>
      </w:r>
      <w:r w:rsidR="005C4011">
        <w:t>allow the IAA service to directly provide input to ICA policy decisions</w:t>
      </w:r>
    </w:p>
    <w:p w14:paraId="7B673A3F" w14:textId="087BA083" w:rsidR="00BC46CE" w:rsidRDefault="007E3103" w:rsidP="007E3103">
      <w:pPr>
        <w:pStyle w:val="Bullet1"/>
      </w:pPr>
      <w:r>
        <w:t xml:space="preserve">Expansion of client </w:t>
      </w:r>
      <w:r w:rsidR="005C4011">
        <w:t xml:space="preserve">service provision </w:t>
      </w:r>
      <w:r>
        <w:t>t</w:t>
      </w:r>
      <w:r w:rsidRPr="008567C9">
        <w:t xml:space="preserve">o include greater focus on all </w:t>
      </w:r>
      <w:r w:rsidR="005C4011">
        <w:t xml:space="preserve">types </w:t>
      </w:r>
      <w:r w:rsidR="00823F56">
        <w:t>of inter</w:t>
      </w:r>
      <w:r w:rsidR="002D1191">
        <w:t>country</w:t>
      </w:r>
      <w:r w:rsidR="00823F56">
        <w:t xml:space="preserve"> adoption </w:t>
      </w:r>
      <w:r w:rsidR="005C4011">
        <w:t xml:space="preserve">and </w:t>
      </w:r>
      <w:r w:rsidRPr="008567C9">
        <w:t xml:space="preserve">stages in the </w:t>
      </w:r>
      <w:r w:rsidR="00384B37">
        <w:t>intercountry adoption</w:t>
      </w:r>
      <w:r w:rsidR="00384B37" w:rsidRPr="008567C9">
        <w:t xml:space="preserve"> </w:t>
      </w:r>
      <w:r w:rsidRPr="008567C9">
        <w:t>process</w:t>
      </w:r>
      <w:r w:rsidR="00BC46CE">
        <w:t>, including expatriate, relative and ad</w:t>
      </w:r>
      <w:r w:rsidR="00CD72BF">
        <w:t xml:space="preserve"> </w:t>
      </w:r>
      <w:r w:rsidR="00BC46CE">
        <w:t xml:space="preserve">hoc adoptions, and support for adult adoptees.  Non-ICA-related </w:t>
      </w:r>
      <w:r w:rsidR="00CD72BF">
        <w:t xml:space="preserve">adoption </w:t>
      </w:r>
      <w:r w:rsidR="00BC46CE">
        <w:t>enquires</w:t>
      </w:r>
      <w:r w:rsidR="00823F56">
        <w:t>, such as domestic adoption and IVF information,</w:t>
      </w:r>
      <w:r w:rsidR="00BC46CE">
        <w:t xml:space="preserve"> are also received  </w:t>
      </w:r>
    </w:p>
    <w:p w14:paraId="1D0B96DE" w14:textId="77777777" w:rsidR="007E3103" w:rsidRDefault="007E3103" w:rsidP="007E3103">
      <w:pPr>
        <w:pStyle w:val="Bullet1"/>
        <w:rPr>
          <w:lang w:val="en-AU"/>
        </w:rPr>
      </w:pPr>
      <w:r>
        <w:rPr>
          <w:lang w:val="en-AU"/>
        </w:rPr>
        <w:t>I</w:t>
      </w:r>
      <w:r w:rsidRPr="00A25212">
        <w:rPr>
          <w:lang w:val="en-AU"/>
        </w:rPr>
        <w:t>n July and August 2016, IAA undertook service visits to the STCAs and local service providers to increase face-to-face engagement and clarify the role of IAA</w:t>
      </w:r>
    </w:p>
    <w:p w14:paraId="111C53F2" w14:textId="2DEB6177" w:rsidR="00FB7799" w:rsidRDefault="00FB7799" w:rsidP="00FB7799">
      <w:pPr>
        <w:pStyle w:val="Bullet1"/>
        <w:rPr>
          <w:lang w:val="en-AU"/>
        </w:rPr>
      </w:pPr>
      <w:r>
        <w:rPr>
          <w:lang w:val="en-AU"/>
        </w:rPr>
        <w:t xml:space="preserve">The IAA </w:t>
      </w:r>
      <w:r w:rsidRPr="00FB7799">
        <w:rPr>
          <w:lang w:val="en-AU"/>
        </w:rPr>
        <w:t>website now includes information on citizenship and passports for adoptees as a response to enquiries and feedback</w:t>
      </w:r>
      <w:r>
        <w:rPr>
          <w:lang w:val="en-AU"/>
        </w:rPr>
        <w:t>.</w:t>
      </w:r>
    </w:p>
    <w:p w14:paraId="60A79092" w14:textId="4A8C9FEA" w:rsidR="007E3103" w:rsidRPr="00D413DD" w:rsidRDefault="007E3103" w:rsidP="00E07D8E">
      <w:pPr>
        <w:pStyle w:val="Paragraph"/>
        <w:rPr>
          <w:lang w:val="en-AU"/>
        </w:rPr>
      </w:pPr>
      <w:r w:rsidRPr="00D413DD">
        <w:rPr>
          <w:lang w:val="en-AU"/>
        </w:rPr>
        <w:t xml:space="preserve">The following </w:t>
      </w:r>
      <w:r w:rsidR="002D1191">
        <w:rPr>
          <w:lang w:val="en-AU"/>
        </w:rPr>
        <w:t>activities</w:t>
      </w:r>
      <w:r w:rsidR="002D1191" w:rsidRPr="00D413DD">
        <w:rPr>
          <w:lang w:val="en-AU"/>
        </w:rPr>
        <w:t xml:space="preserve"> </w:t>
      </w:r>
      <w:r>
        <w:rPr>
          <w:lang w:val="en-AU"/>
        </w:rPr>
        <w:t>are</w:t>
      </w:r>
      <w:r w:rsidRPr="00D413DD">
        <w:rPr>
          <w:lang w:val="en-AU"/>
        </w:rPr>
        <w:t xml:space="preserve"> currently underway:</w:t>
      </w:r>
    </w:p>
    <w:p w14:paraId="17622DA6" w14:textId="631344B6" w:rsidR="007E3103" w:rsidRPr="00D413DD" w:rsidRDefault="007E3103" w:rsidP="007E3103">
      <w:pPr>
        <w:pStyle w:val="Bullet1"/>
        <w:rPr>
          <w:lang w:val="en-AU"/>
        </w:rPr>
      </w:pPr>
      <w:r w:rsidRPr="006C05A5">
        <w:rPr>
          <w:lang w:val="en-AU"/>
        </w:rPr>
        <w:t xml:space="preserve">Addressing specific stakeholder </w:t>
      </w:r>
      <w:r w:rsidR="00F928FE">
        <w:rPr>
          <w:lang w:val="en-AU"/>
        </w:rPr>
        <w:t xml:space="preserve">needs </w:t>
      </w:r>
      <w:r w:rsidRPr="006C05A5">
        <w:rPr>
          <w:lang w:val="en-AU"/>
        </w:rPr>
        <w:t xml:space="preserve">including </w:t>
      </w:r>
      <w:r>
        <w:rPr>
          <w:lang w:val="en-AU"/>
        </w:rPr>
        <w:t>e</w:t>
      </w:r>
      <w:r w:rsidRPr="006C05A5">
        <w:rPr>
          <w:lang w:val="en-AU"/>
        </w:rPr>
        <w:t>xpatriate stakeholders</w:t>
      </w:r>
      <w:r>
        <w:rPr>
          <w:lang w:val="en-AU"/>
        </w:rPr>
        <w:t xml:space="preserve"> and post-adoption support</w:t>
      </w:r>
      <w:r w:rsidRPr="00D413DD">
        <w:rPr>
          <w:lang w:val="en-AU"/>
        </w:rPr>
        <w:t xml:space="preserve"> </w:t>
      </w:r>
    </w:p>
    <w:p w14:paraId="2C7DEF68" w14:textId="77777777" w:rsidR="007E3103" w:rsidRPr="00D413DD" w:rsidRDefault="007E3103" w:rsidP="007E3103">
      <w:pPr>
        <w:pStyle w:val="Bullet1"/>
        <w:rPr>
          <w:lang w:val="en-AU"/>
        </w:rPr>
      </w:pPr>
      <w:r w:rsidRPr="00D413DD">
        <w:rPr>
          <w:lang w:val="en-AU"/>
        </w:rPr>
        <w:t>Developmen</w:t>
      </w:r>
      <w:r>
        <w:rPr>
          <w:lang w:val="en-AU"/>
        </w:rPr>
        <w:t>t of an online eligibility tool</w:t>
      </w:r>
      <w:r w:rsidRPr="00D413DD">
        <w:rPr>
          <w:lang w:val="en-AU"/>
        </w:rPr>
        <w:t xml:space="preserve">  </w:t>
      </w:r>
    </w:p>
    <w:p w14:paraId="765621CC" w14:textId="009459B3" w:rsidR="007E3103" w:rsidRDefault="002D1191" w:rsidP="007E3103">
      <w:pPr>
        <w:pStyle w:val="Bullet1"/>
        <w:rPr>
          <w:lang w:val="en-AU"/>
        </w:rPr>
      </w:pPr>
      <w:r>
        <w:rPr>
          <w:lang w:val="en-AU"/>
        </w:rPr>
        <w:t>Scoping</w:t>
      </w:r>
      <w:r w:rsidRPr="00D413DD">
        <w:rPr>
          <w:lang w:val="en-AU"/>
        </w:rPr>
        <w:t xml:space="preserve"> </w:t>
      </w:r>
      <w:r w:rsidR="007E3103" w:rsidRPr="00D413DD">
        <w:rPr>
          <w:lang w:val="en-AU"/>
        </w:rPr>
        <w:t>of a new client record management system.</w:t>
      </w:r>
    </w:p>
    <w:p w14:paraId="0AE383D1" w14:textId="77777777" w:rsidR="00A41F8B" w:rsidRDefault="00A41F8B" w:rsidP="00A40C88">
      <w:pPr>
        <w:pStyle w:val="Paragraph"/>
        <w:rPr>
          <w:lang w:val="en-AU"/>
        </w:rPr>
      </w:pPr>
      <w:r>
        <w:rPr>
          <w:lang w:val="en-AU"/>
        </w:rPr>
        <w:t>Additionally:</w:t>
      </w:r>
    </w:p>
    <w:p w14:paraId="67C490B3" w14:textId="5ECD798B" w:rsidR="00A41F8B" w:rsidRDefault="00A41F8B">
      <w:pPr>
        <w:pStyle w:val="Bullet1"/>
        <w:rPr>
          <w:lang w:val="en-AU"/>
        </w:rPr>
      </w:pPr>
      <w:r w:rsidRPr="00A41F8B">
        <w:rPr>
          <w:lang w:val="en-AU"/>
        </w:rPr>
        <w:t xml:space="preserve">LifeWorks and </w:t>
      </w:r>
      <w:r w:rsidR="007F31EA" w:rsidRPr="007F31EA">
        <w:rPr>
          <w:lang w:val="en-AU"/>
        </w:rPr>
        <w:t>International Social Service</w:t>
      </w:r>
      <w:r w:rsidR="007F31EA">
        <w:rPr>
          <w:lang w:val="en-AU"/>
        </w:rPr>
        <w:t>s</w:t>
      </w:r>
      <w:r w:rsidR="007F31EA" w:rsidRPr="007F31EA">
        <w:rPr>
          <w:lang w:val="en-AU"/>
        </w:rPr>
        <w:t xml:space="preserve"> </w:t>
      </w:r>
      <w:r w:rsidR="007F31EA">
        <w:rPr>
          <w:lang w:val="en-AU"/>
        </w:rPr>
        <w:t>(</w:t>
      </w:r>
      <w:r w:rsidRPr="00A41F8B">
        <w:rPr>
          <w:lang w:val="en-AU"/>
        </w:rPr>
        <w:t>ISS</w:t>
      </w:r>
      <w:r w:rsidR="007F31EA">
        <w:rPr>
          <w:lang w:val="en-AU"/>
        </w:rPr>
        <w:t>)</w:t>
      </w:r>
      <w:r w:rsidRPr="00A41F8B">
        <w:rPr>
          <w:lang w:val="en-AU"/>
        </w:rPr>
        <w:t xml:space="preserve"> </w:t>
      </w:r>
      <w:r>
        <w:rPr>
          <w:lang w:val="en-AU"/>
        </w:rPr>
        <w:t xml:space="preserve">have been engaged </w:t>
      </w:r>
      <w:r w:rsidRPr="00A41F8B">
        <w:rPr>
          <w:lang w:val="en-AU"/>
        </w:rPr>
        <w:t xml:space="preserve">to assist </w:t>
      </w:r>
      <w:r w:rsidR="00823F56">
        <w:rPr>
          <w:lang w:val="en-AU"/>
        </w:rPr>
        <w:t xml:space="preserve">families </w:t>
      </w:r>
      <w:r w:rsidR="002D1191">
        <w:rPr>
          <w:lang w:val="en-AU"/>
        </w:rPr>
        <w:t xml:space="preserve">and children involved </w:t>
      </w:r>
      <w:r w:rsidR="00E831C0">
        <w:rPr>
          <w:lang w:val="en-AU"/>
        </w:rPr>
        <w:t>in adoption,</w:t>
      </w:r>
      <w:r w:rsidR="00823F56">
        <w:rPr>
          <w:lang w:val="en-AU"/>
        </w:rPr>
        <w:t xml:space="preserve"> and </w:t>
      </w:r>
      <w:r w:rsidRPr="00A41F8B">
        <w:rPr>
          <w:lang w:val="en-AU"/>
        </w:rPr>
        <w:t xml:space="preserve">adoptees with </w:t>
      </w:r>
      <w:r w:rsidR="00823F56">
        <w:rPr>
          <w:lang w:val="en-AU"/>
        </w:rPr>
        <w:t xml:space="preserve">post adoption support, </w:t>
      </w:r>
      <w:r w:rsidRPr="00A41F8B">
        <w:rPr>
          <w:lang w:val="en-AU"/>
        </w:rPr>
        <w:t>counselling and family reunification</w:t>
      </w:r>
    </w:p>
    <w:p w14:paraId="153E7F44" w14:textId="32C6AB3C" w:rsidR="00A41F8B" w:rsidRDefault="00A41F8B">
      <w:pPr>
        <w:pStyle w:val="Bullet1"/>
        <w:rPr>
          <w:lang w:val="en-AU"/>
        </w:rPr>
      </w:pPr>
      <w:r>
        <w:rPr>
          <w:lang w:val="en-AU"/>
        </w:rPr>
        <w:t xml:space="preserve">In April 2016, a commitment was given to revise </w:t>
      </w:r>
      <w:r w:rsidRPr="00A41F8B">
        <w:rPr>
          <w:lang w:val="en-AU"/>
        </w:rPr>
        <w:t>the Commonwealth-state agreement</w:t>
      </w:r>
      <w:r>
        <w:rPr>
          <w:lang w:val="en-AU"/>
        </w:rPr>
        <w:t xml:space="preserve">.  This </w:t>
      </w:r>
      <w:r w:rsidRPr="00A41F8B">
        <w:rPr>
          <w:lang w:val="en-AU"/>
        </w:rPr>
        <w:t>will clarify IAA</w:t>
      </w:r>
      <w:r w:rsidR="004D7D0A">
        <w:rPr>
          <w:lang w:val="en-AU"/>
        </w:rPr>
        <w:t>’</w:t>
      </w:r>
      <w:r w:rsidRPr="00A41F8B">
        <w:rPr>
          <w:lang w:val="en-AU"/>
        </w:rPr>
        <w:t xml:space="preserve">s role in relation to </w:t>
      </w:r>
      <w:r w:rsidR="00F928FE">
        <w:rPr>
          <w:lang w:val="en-AU"/>
        </w:rPr>
        <w:t xml:space="preserve">state and territory governments and </w:t>
      </w:r>
      <w:r w:rsidRPr="00A41F8B">
        <w:rPr>
          <w:lang w:val="en-AU"/>
        </w:rPr>
        <w:t>other Commonwealth agencies.</w:t>
      </w:r>
      <w:r w:rsidR="002D1191">
        <w:rPr>
          <w:lang w:val="en-AU"/>
        </w:rPr>
        <w:t xml:space="preserve"> This work is being progressed by the Commonwealth and STCAs with a view to finalisation of a new agreement by late 2017.</w:t>
      </w:r>
    </w:p>
    <w:p w14:paraId="615B9814" w14:textId="77777777" w:rsidR="007E3103" w:rsidRDefault="007E3103" w:rsidP="007E3103">
      <w:pPr>
        <w:pStyle w:val="Heading3"/>
      </w:pPr>
      <w:r>
        <w:t>Are</w:t>
      </w:r>
      <w:r w:rsidRPr="001E74B7">
        <w:t xml:space="preserve"> prospective adoptive parents and adoptive parents’ experiences of the </w:t>
      </w:r>
      <w:r>
        <w:t>ICA</w:t>
      </w:r>
      <w:r w:rsidRPr="001E74B7">
        <w:t xml:space="preserve"> process positive?</w:t>
      </w:r>
    </w:p>
    <w:p w14:paraId="11E6129B" w14:textId="77777777" w:rsidR="007E3103" w:rsidRPr="00920EFF" w:rsidRDefault="007E3103" w:rsidP="007E3103">
      <w:pPr>
        <w:pStyle w:val="Paragraph"/>
        <w:rPr>
          <w:lang w:eastAsia="en-AU"/>
        </w:rPr>
      </w:pPr>
      <w:r>
        <w:rPr>
          <w:lang w:eastAsia="en-AU"/>
        </w:rPr>
        <w:t>Achievements regarding access to information and referral to support services are discussed separately in the following sections.</w:t>
      </w:r>
    </w:p>
    <w:p w14:paraId="426487E5" w14:textId="77777777" w:rsidR="007E3103" w:rsidRDefault="007E3103" w:rsidP="007E3103">
      <w:pPr>
        <w:pStyle w:val="Heading4"/>
      </w:pPr>
      <w:r>
        <w:t xml:space="preserve">Access to information </w:t>
      </w:r>
    </w:p>
    <w:p w14:paraId="25BE2FE3" w14:textId="77777777" w:rsidR="007E3103" w:rsidRDefault="007E3103" w:rsidP="00E07D8E">
      <w:pPr>
        <w:pStyle w:val="Paragraph"/>
      </w:pPr>
      <w:r>
        <w:t>Four elements of access to information were considered in this report:</w:t>
      </w:r>
    </w:p>
    <w:p w14:paraId="0C3FED30" w14:textId="77777777" w:rsidR="007E3103" w:rsidRDefault="007E3103" w:rsidP="007E3103">
      <w:pPr>
        <w:pStyle w:val="Bullet1"/>
      </w:pPr>
      <w:r>
        <w:t>Stakeholder assessment of the contribution of IAA to information access</w:t>
      </w:r>
    </w:p>
    <w:p w14:paraId="0B7AF620" w14:textId="77777777" w:rsidR="007E3103" w:rsidRDefault="007E3103" w:rsidP="007E3103">
      <w:pPr>
        <w:pStyle w:val="Bullet1"/>
      </w:pPr>
      <w:r>
        <w:t>Uptake issues</w:t>
      </w:r>
    </w:p>
    <w:p w14:paraId="0740D922" w14:textId="77777777" w:rsidR="007E3103" w:rsidRDefault="007E3103" w:rsidP="007E3103">
      <w:pPr>
        <w:pStyle w:val="Bullet1"/>
      </w:pPr>
      <w:r>
        <w:lastRenderedPageBreak/>
        <w:t>Comprehensiveness of the information provided</w:t>
      </w:r>
    </w:p>
    <w:p w14:paraId="5DD6A6F8" w14:textId="77777777" w:rsidR="007E3103" w:rsidRDefault="007E3103" w:rsidP="007E3103">
      <w:pPr>
        <w:pStyle w:val="Bullet1"/>
      </w:pPr>
      <w:r>
        <w:t>Client expectations.</w:t>
      </w:r>
    </w:p>
    <w:p w14:paraId="0ED06C16" w14:textId="06BB0824" w:rsidR="007E3103" w:rsidRPr="00315F91" w:rsidRDefault="002847B1" w:rsidP="007E3103">
      <w:pPr>
        <w:pStyle w:val="Heading4"/>
        <w:rPr>
          <w:rStyle w:val="Strong"/>
          <w:b/>
          <w:bCs w:val="0"/>
          <w:noProof/>
        </w:rPr>
      </w:pPr>
      <w:r>
        <w:rPr>
          <w:rStyle w:val="Strong"/>
          <w:b/>
          <w:bCs w:val="0"/>
          <w:noProof/>
        </w:rPr>
        <w:t>Non-parental s</w:t>
      </w:r>
      <w:r w:rsidR="007E3103" w:rsidRPr="00315F91">
        <w:rPr>
          <w:rStyle w:val="Strong"/>
          <w:b/>
          <w:bCs w:val="0"/>
          <w:noProof/>
        </w:rPr>
        <w:t>takeholder</w:t>
      </w:r>
      <w:r w:rsidR="00F928FE">
        <w:rPr>
          <w:rStyle w:val="Strong"/>
          <w:b/>
          <w:bCs w:val="0"/>
          <w:noProof/>
        </w:rPr>
        <w:t>s’</w:t>
      </w:r>
      <w:r w:rsidR="007E3103" w:rsidRPr="00315F91">
        <w:rPr>
          <w:rStyle w:val="Strong"/>
          <w:b/>
          <w:bCs w:val="0"/>
          <w:noProof/>
        </w:rPr>
        <w:t xml:space="preserve"> assessment of IAA</w:t>
      </w:r>
      <w:r w:rsidR="00F928FE">
        <w:rPr>
          <w:rStyle w:val="Strong"/>
          <w:b/>
          <w:bCs w:val="0"/>
          <w:noProof/>
        </w:rPr>
        <w:t>’s contribution</w:t>
      </w:r>
      <w:r w:rsidR="007E3103" w:rsidRPr="00315F91">
        <w:rPr>
          <w:rStyle w:val="Strong"/>
          <w:b/>
          <w:bCs w:val="0"/>
          <w:noProof/>
        </w:rPr>
        <w:t xml:space="preserve"> to information access</w:t>
      </w:r>
    </w:p>
    <w:p w14:paraId="6CCF425C" w14:textId="50340978" w:rsidR="007E3103" w:rsidRDefault="002847B1" w:rsidP="007E3103">
      <w:pPr>
        <w:pStyle w:val="Paragraph"/>
        <w:rPr>
          <w:lang w:eastAsia="en-AU"/>
        </w:rPr>
      </w:pPr>
      <w:r>
        <w:rPr>
          <w:lang w:eastAsia="en-AU"/>
        </w:rPr>
        <w:t>Non-parental s</w:t>
      </w:r>
      <w:r w:rsidR="007E3103">
        <w:rPr>
          <w:lang w:eastAsia="en-AU"/>
        </w:rPr>
        <w:t>takeholders differed in their assessment of the contribution this information made to the ICA community:</w:t>
      </w:r>
    </w:p>
    <w:p w14:paraId="6631B05E" w14:textId="77777777" w:rsidR="007E3103" w:rsidRPr="002847B1" w:rsidRDefault="007E3103" w:rsidP="007E3103">
      <w:pPr>
        <w:pStyle w:val="Bullet1"/>
        <w:rPr>
          <w:rStyle w:val="Emphasis"/>
        </w:rPr>
      </w:pPr>
      <w:r w:rsidRPr="002847B1">
        <w:rPr>
          <w:rStyle w:val="Emphasis"/>
        </w:rPr>
        <w:t>Commonwealth stakeholders:</w:t>
      </w:r>
    </w:p>
    <w:p w14:paraId="1B47E409" w14:textId="44333D54" w:rsidR="007E3103" w:rsidRDefault="00FB7799" w:rsidP="007E3103">
      <w:pPr>
        <w:pStyle w:val="Bullet2"/>
      </w:pPr>
      <w:r>
        <w:t>G</w:t>
      </w:r>
      <w:r w:rsidR="007E3103">
        <w:t>enerally agreed that IAA has improved access to information</w:t>
      </w:r>
    </w:p>
    <w:p w14:paraId="3003F79A" w14:textId="7CC4A018" w:rsidR="007E3103" w:rsidRDefault="00FB7799" w:rsidP="007E3103">
      <w:pPr>
        <w:pStyle w:val="Bullet2"/>
      </w:pPr>
      <w:r>
        <w:t>C</w:t>
      </w:r>
      <w:r w:rsidR="007E3103">
        <w:t xml:space="preserve">onsidered the phone service as particularly useful </w:t>
      </w:r>
    </w:p>
    <w:p w14:paraId="233E899E" w14:textId="77777777" w:rsidR="007E3103" w:rsidRPr="002847B1" w:rsidRDefault="007E3103" w:rsidP="007E3103">
      <w:pPr>
        <w:pStyle w:val="Bullet1"/>
        <w:rPr>
          <w:rStyle w:val="Emphasis"/>
        </w:rPr>
      </w:pPr>
      <w:r w:rsidRPr="002847B1">
        <w:rPr>
          <w:rStyle w:val="Emphasis"/>
        </w:rPr>
        <w:t>At STCA level:</w:t>
      </w:r>
    </w:p>
    <w:p w14:paraId="31322E7E" w14:textId="7CB4EA83" w:rsidR="007E3103" w:rsidRDefault="00E07D8E" w:rsidP="007E3103">
      <w:pPr>
        <w:pStyle w:val="Bullet2"/>
      </w:pPr>
      <w:r>
        <w:t>T</w:t>
      </w:r>
      <w:r w:rsidR="007E3103">
        <w:t>he IAA website was seen as important precursor to STCA contact and provided clients with information in a more user-friendly format than had previously been available</w:t>
      </w:r>
    </w:p>
    <w:p w14:paraId="6D2E652C" w14:textId="35968AFF" w:rsidR="007E3103" w:rsidRDefault="00FB7799" w:rsidP="007E3103">
      <w:pPr>
        <w:pStyle w:val="Bullet2"/>
      </w:pPr>
      <w:r>
        <w:t>S</w:t>
      </w:r>
      <w:r w:rsidR="007E3103">
        <w:t>ome queried the value-add of this information because it was also available on the AGD website</w:t>
      </w:r>
    </w:p>
    <w:p w14:paraId="3FCDD55D" w14:textId="1934DCC9" w:rsidR="00FB7799" w:rsidRDefault="007E3103" w:rsidP="007E3103">
      <w:pPr>
        <w:pStyle w:val="Bullet1"/>
      </w:pPr>
      <w:r w:rsidRPr="002847B1">
        <w:rPr>
          <w:rStyle w:val="Emphasis"/>
        </w:rPr>
        <w:t xml:space="preserve">Academics </w:t>
      </w:r>
      <w:r>
        <w:t>welcomed the provision of a centralised information service</w:t>
      </w:r>
      <w:r w:rsidR="004C2DBE">
        <w:t>.</w:t>
      </w:r>
    </w:p>
    <w:p w14:paraId="27EC3B2D" w14:textId="0301AFBE" w:rsidR="007E3103" w:rsidRDefault="00FB7799" w:rsidP="002847B1">
      <w:pPr>
        <w:pStyle w:val="Paragraph"/>
      </w:pPr>
      <w:r>
        <w:t xml:space="preserve">Overall, </w:t>
      </w:r>
      <w:r w:rsidR="00F165DB">
        <w:t>a</w:t>
      </w:r>
      <w:r w:rsidR="00F165DB" w:rsidRPr="00F165DB">
        <w:t>ny duplication of information provision to service users by IAA and the Commonwealth agencies/STCAs was not</w:t>
      </w:r>
      <w:r w:rsidR="00F165DB">
        <w:t xml:space="preserve"> seen to be problematic because t</w:t>
      </w:r>
      <w:r w:rsidR="00F165DB" w:rsidRPr="00F165DB">
        <w:t xml:space="preserve">he </w:t>
      </w:r>
      <w:r w:rsidR="002D1191">
        <w:t>complex</w:t>
      </w:r>
      <w:r w:rsidR="002D1191" w:rsidRPr="00F165DB">
        <w:t xml:space="preserve"> </w:t>
      </w:r>
      <w:r w:rsidR="00F165DB" w:rsidRPr="00F165DB">
        <w:t xml:space="preserve">nature of ICA meant there was a need for service users to triangulate and confirm advice/information from multiple sources. </w:t>
      </w:r>
    </w:p>
    <w:p w14:paraId="2CA7004B" w14:textId="77777777" w:rsidR="007E3103" w:rsidRPr="00315F91" w:rsidRDefault="007E3103" w:rsidP="007E3103">
      <w:pPr>
        <w:pStyle w:val="Heading4"/>
        <w:rPr>
          <w:rStyle w:val="Strong"/>
          <w:b/>
          <w:bCs w:val="0"/>
          <w:noProof/>
        </w:rPr>
      </w:pPr>
      <w:r w:rsidRPr="00315F91">
        <w:rPr>
          <w:rStyle w:val="Strong"/>
          <w:b/>
          <w:bCs w:val="0"/>
          <w:noProof/>
        </w:rPr>
        <w:t>Uptake issues</w:t>
      </w:r>
    </w:p>
    <w:p w14:paraId="2EF5861E" w14:textId="76E595D2" w:rsidR="00F82B2C" w:rsidRDefault="00F82B2C" w:rsidP="007E3103">
      <w:pPr>
        <w:pStyle w:val="Bullet1"/>
      </w:pPr>
      <w:r>
        <w:t xml:space="preserve">Underutilisation of the 1800 information line was evident with </w:t>
      </w:r>
      <w:r w:rsidR="007E3103">
        <w:t>75.</w:t>
      </w:r>
      <w:r w:rsidR="00226861">
        <w:t>5</w:t>
      </w:r>
      <w:r w:rsidR="007E3103">
        <w:t xml:space="preserve">% </w:t>
      </w:r>
      <w:r>
        <w:t xml:space="preserve">(166/220) </w:t>
      </w:r>
      <w:r w:rsidR="007E3103">
        <w:t xml:space="preserve">of survey respondents </w:t>
      </w:r>
      <w:r>
        <w:t xml:space="preserve">indicating they </w:t>
      </w:r>
      <w:r w:rsidR="007E3103">
        <w:t>had not used the 1800 information line</w:t>
      </w:r>
    </w:p>
    <w:p w14:paraId="32869A86" w14:textId="77777777" w:rsidR="00F82B2C" w:rsidRPr="00FF0F38" w:rsidRDefault="00F82B2C" w:rsidP="00F82B2C">
      <w:pPr>
        <w:pStyle w:val="Bullet1"/>
        <w:rPr>
          <w:lang w:val="en-AU"/>
        </w:rPr>
      </w:pPr>
      <w:r w:rsidRPr="00FF0F38">
        <w:rPr>
          <w:lang w:val="en-AU"/>
        </w:rPr>
        <w:t>The two main reasons cited by non-users for not having used the IAA 1800 information line were that respondents did not</w:t>
      </w:r>
      <w:r>
        <w:rPr>
          <w:lang w:val="en-AU"/>
        </w:rPr>
        <w:t xml:space="preserve"> know about the service (63/166</w:t>
      </w:r>
      <w:r w:rsidRPr="00FF0F38">
        <w:rPr>
          <w:lang w:val="en-AU"/>
        </w:rPr>
        <w:t>, 38.0%) or that they had contacted their STCA directly (47/166, 28.31%)</w:t>
      </w:r>
    </w:p>
    <w:p w14:paraId="0C0FD6E3" w14:textId="4863153A" w:rsidR="00F82B2C" w:rsidRPr="00F82B2C" w:rsidRDefault="00F82B2C" w:rsidP="00F82B2C">
      <w:pPr>
        <w:pStyle w:val="Bullet1"/>
      </w:pPr>
      <w:r>
        <w:t>More than one-third of all survey respondents (</w:t>
      </w:r>
      <w:r w:rsidR="00DC2597">
        <w:t>36.8</w:t>
      </w:r>
      <w:r w:rsidRPr="00F82B2C">
        <w:t>%</w:t>
      </w:r>
      <w:r>
        <w:t xml:space="preserve">, </w:t>
      </w:r>
      <w:r w:rsidR="00DC2597">
        <w:t>81/220)</w:t>
      </w:r>
      <w:r w:rsidRPr="00F82B2C">
        <w:t xml:space="preserve"> had not used the website  </w:t>
      </w:r>
    </w:p>
    <w:p w14:paraId="1DC31A02" w14:textId="4A9332C7" w:rsidR="007E3103" w:rsidRDefault="00F82B2C" w:rsidP="00F82B2C">
      <w:pPr>
        <w:pStyle w:val="Bullet1"/>
      </w:pPr>
      <w:r w:rsidRPr="00F82B2C">
        <w:rPr>
          <w:lang w:val="en-AU"/>
        </w:rPr>
        <w:t>The two main reasons for not having used the IAA website were that the service did not exist when the respondent had started the process (35/81, 43.2%) or that respondents did not know about the service (32/81, 39.5%).</w:t>
      </w:r>
      <w:r>
        <w:t xml:space="preserve"> </w:t>
      </w:r>
    </w:p>
    <w:p w14:paraId="30310CE2" w14:textId="77777777" w:rsidR="007E3103" w:rsidRPr="00315F91" w:rsidRDefault="007E3103" w:rsidP="007E3103">
      <w:pPr>
        <w:pStyle w:val="Heading4"/>
        <w:rPr>
          <w:rStyle w:val="Strong"/>
          <w:b/>
          <w:bCs w:val="0"/>
          <w:noProof/>
        </w:rPr>
      </w:pPr>
      <w:r w:rsidRPr="00315F91">
        <w:rPr>
          <w:rStyle w:val="Strong"/>
          <w:b/>
          <w:bCs w:val="0"/>
          <w:noProof/>
        </w:rPr>
        <w:t>Comprehensiveness of the information provided</w:t>
      </w:r>
    </w:p>
    <w:p w14:paraId="64C816F0" w14:textId="1969D9A5" w:rsidR="007E3103" w:rsidRDefault="007E3103" w:rsidP="007E3103">
      <w:pPr>
        <w:pStyle w:val="Paragraph"/>
        <w:keepNext/>
        <w:rPr>
          <w:lang w:eastAsia="en-AU"/>
        </w:rPr>
      </w:pPr>
      <w:r>
        <w:rPr>
          <w:lang w:eastAsia="en-AU"/>
        </w:rPr>
        <w:t>IAA’s primary focus on the information needs of prospective adoptive parents during the service’s initial implementation phase was seen by many of the external stakeholders to limit the comprehensive</w:t>
      </w:r>
      <w:r w:rsidR="00F165DB">
        <w:rPr>
          <w:lang w:eastAsia="en-AU"/>
        </w:rPr>
        <w:t>ness</w:t>
      </w:r>
      <w:r>
        <w:rPr>
          <w:lang w:eastAsia="en-AU"/>
        </w:rPr>
        <w:t xml:space="preserve"> of the information provided.  In particular, gaps were identified in relation to adult adoptees, expatriate adoptions and ad hoc adoptions.</w:t>
      </w:r>
    </w:p>
    <w:p w14:paraId="6B24D10C" w14:textId="77777777" w:rsidR="007E3103" w:rsidRDefault="007E3103" w:rsidP="007E3103">
      <w:pPr>
        <w:pStyle w:val="Paragraph"/>
        <w:rPr>
          <w:lang w:eastAsia="en-AU"/>
        </w:rPr>
      </w:pPr>
      <w:r>
        <w:rPr>
          <w:lang w:eastAsia="en-AU"/>
        </w:rPr>
        <w:t>Parent support and advocacy groups highlighted the importance of web information being accurate and comprehensive.</w:t>
      </w:r>
    </w:p>
    <w:p w14:paraId="7E74ADB8" w14:textId="124C8FEF" w:rsidR="007E3103" w:rsidRDefault="007E3103" w:rsidP="007E3103">
      <w:pPr>
        <w:pStyle w:val="Paragraph"/>
        <w:rPr>
          <w:lang w:eastAsia="en-AU"/>
        </w:rPr>
      </w:pPr>
      <w:r>
        <w:rPr>
          <w:lang w:eastAsia="en-AU"/>
        </w:rPr>
        <w:t xml:space="preserve">For academic </w:t>
      </w:r>
      <w:r w:rsidR="008822A3">
        <w:rPr>
          <w:lang w:eastAsia="en-AU"/>
        </w:rPr>
        <w:t>informants,</w:t>
      </w:r>
      <w:r>
        <w:rPr>
          <w:lang w:eastAsia="en-AU"/>
        </w:rPr>
        <w:t xml:space="preserve"> a key consideration was the need for IAA to recognise that the information needs of ICA stakeholders differ considerably depending on their stage in the process.</w:t>
      </w:r>
    </w:p>
    <w:p w14:paraId="5D396F7E" w14:textId="77777777" w:rsidR="007E3103" w:rsidRPr="00315F91" w:rsidRDefault="007E3103" w:rsidP="007E3103">
      <w:pPr>
        <w:pStyle w:val="Heading4"/>
        <w:rPr>
          <w:rStyle w:val="Strong"/>
          <w:b/>
          <w:bCs w:val="0"/>
          <w:noProof/>
        </w:rPr>
      </w:pPr>
      <w:r w:rsidRPr="00315F91">
        <w:rPr>
          <w:rStyle w:val="Strong"/>
          <w:b/>
          <w:bCs w:val="0"/>
          <w:noProof/>
        </w:rPr>
        <w:lastRenderedPageBreak/>
        <w:t>Client expectations</w:t>
      </w:r>
    </w:p>
    <w:p w14:paraId="7F771427" w14:textId="25BF0B5B" w:rsidR="007E3103" w:rsidRDefault="007E3103" w:rsidP="007E3103">
      <w:pPr>
        <w:pStyle w:val="Paragraph"/>
        <w:rPr>
          <w:lang w:eastAsia="en-AU"/>
        </w:rPr>
      </w:pPr>
      <w:r>
        <w:rPr>
          <w:lang w:eastAsia="en-AU"/>
        </w:rPr>
        <w:t>Stakeholders indicated that client assessment of the utility of available informati</w:t>
      </w:r>
      <w:r w:rsidRPr="003915B2">
        <w:rPr>
          <w:lang w:eastAsia="en-AU"/>
        </w:rPr>
        <w:t xml:space="preserve">on was </w:t>
      </w:r>
      <w:r w:rsidR="004C2DBE" w:rsidRPr="003915B2">
        <w:rPr>
          <w:lang w:eastAsia="en-AU"/>
        </w:rPr>
        <w:t xml:space="preserve">generally influenced </w:t>
      </w:r>
      <w:r w:rsidRPr="003915B2">
        <w:rPr>
          <w:lang w:eastAsia="en-AU"/>
        </w:rPr>
        <w:t>by their expectations, some of which were unrealistic.</w:t>
      </w:r>
    </w:p>
    <w:p w14:paraId="164D2524" w14:textId="77777777" w:rsidR="007E3103" w:rsidRPr="007C6B3E" w:rsidRDefault="007E3103" w:rsidP="007E3103">
      <w:pPr>
        <w:pStyle w:val="Heading3"/>
      </w:pPr>
      <w:r w:rsidRPr="001E74B7">
        <w:t xml:space="preserve">Are adoptive parents’ experiences of immigration and passport </w:t>
      </w:r>
      <w:r w:rsidRPr="007C6B3E">
        <w:t>processes improved?</w:t>
      </w:r>
    </w:p>
    <w:p w14:paraId="28968B0E" w14:textId="77777777" w:rsidR="007E3103" w:rsidRPr="007C6B3E" w:rsidRDefault="007E3103" w:rsidP="00E07D8E">
      <w:pPr>
        <w:pStyle w:val="Paragraph"/>
        <w:rPr>
          <w:lang w:val="en-AU"/>
        </w:rPr>
      </w:pPr>
      <w:r w:rsidRPr="007C6B3E">
        <w:rPr>
          <w:lang w:val="en-AU"/>
        </w:rPr>
        <w:t>IAA’s role as a conduit between clients and immigration and passport processes was seen as the key means whereby clients’ experiences had been improved in this area.</w:t>
      </w:r>
    </w:p>
    <w:p w14:paraId="32615BAC" w14:textId="77777777" w:rsidR="007E3103" w:rsidRPr="007C6B3E" w:rsidRDefault="007E3103" w:rsidP="007E3103">
      <w:pPr>
        <w:pStyle w:val="Heading3"/>
      </w:pPr>
      <w:r w:rsidRPr="007C6B3E">
        <w:t>Does the service inform ICA policies and practices?</w:t>
      </w:r>
    </w:p>
    <w:p w14:paraId="21E39102" w14:textId="40C5B885" w:rsidR="007E3103" w:rsidRDefault="00CD72BF" w:rsidP="00753B1F">
      <w:pPr>
        <w:pStyle w:val="Paragraph"/>
        <w:rPr>
          <w:lang w:val="en-AU"/>
        </w:rPr>
      </w:pPr>
      <w:r w:rsidRPr="007C6B3E">
        <w:rPr>
          <w:lang w:val="en-AU"/>
        </w:rPr>
        <w:t xml:space="preserve">Discussions with IAA </w:t>
      </w:r>
      <w:r w:rsidR="007C6B3E">
        <w:rPr>
          <w:lang w:val="en-AU"/>
        </w:rPr>
        <w:t xml:space="preserve">senior management </w:t>
      </w:r>
      <w:r w:rsidRPr="007C6B3E">
        <w:rPr>
          <w:lang w:val="en-AU"/>
        </w:rPr>
        <w:t xml:space="preserve">indicated that </w:t>
      </w:r>
      <w:r w:rsidR="00823F56" w:rsidRPr="007C6B3E">
        <w:rPr>
          <w:lang w:val="en-AU"/>
        </w:rPr>
        <w:t xml:space="preserve">the </w:t>
      </w:r>
      <w:r w:rsidRPr="007C6B3E">
        <w:rPr>
          <w:lang w:val="en-AU"/>
        </w:rPr>
        <w:t>service contribute</w:t>
      </w:r>
      <w:r w:rsidR="00823F56" w:rsidRPr="007C6B3E">
        <w:rPr>
          <w:lang w:val="en-AU"/>
        </w:rPr>
        <w:t>s</w:t>
      </w:r>
      <w:r w:rsidRPr="007C6B3E">
        <w:rPr>
          <w:lang w:val="en-AU"/>
        </w:rPr>
        <w:t xml:space="preserve"> to ICA policies and practices through a number of mechanisms.  Consultations with external stakeholders clearly illustrated these stakeholders were unaware of IAA’s work in these areas (</w:t>
      </w:r>
      <w:r w:rsidRPr="007C6B3E">
        <w:rPr>
          <w:rStyle w:val="Emphasis"/>
        </w:rPr>
        <w:t xml:space="preserve">Section </w:t>
      </w:r>
      <w:r w:rsidRPr="007C6B3E">
        <w:rPr>
          <w:rStyle w:val="Emphasis"/>
        </w:rPr>
        <w:fldChar w:fldCharType="begin"/>
      </w:r>
      <w:r w:rsidRPr="007C6B3E">
        <w:rPr>
          <w:rStyle w:val="Emphasis"/>
        </w:rPr>
        <w:instrText xml:space="preserve"> REF _Ref462938878 \r \h  \* MERGEFORMAT </w:instrText>
      </w:r>
      <w:r w:rsidRPr="007C6B3E">
        <w:rPr>
          <w:rStyle w:val="Emphasis"/>
        </w:rPr>
      </w:r>
      <w:r w:rsidRPr="007C6B3E">
        <w:rPr>
          <w:rStyle w:val="Emphasis"/>
        </w:rPr>
        <w:fldChar w:fldCharType="separate"/>
      </w:r>
      <w:r w:rsidR="00487073">
        <w:rPr>
          <w:rStyle w:val="Emphasis"/>
        </w:rPr>
        <w:t>6.5.2</w:t>
      </w:r>
      <w:r w:rsidRPr="007C6B3E">
        <w:rPr>
          <w:rStyle w:val="Emphasis"/>
        </w:rPr>
        <w:fldChar w:fldCharType="end"/>
      </w:r>
      <w:r w:rsidRPr="007C6B3E">
        <w:rPr>
          <w:lang w:val="en-AU"/>
        </w:rPr>
        <w:t>).</w:t>
      </w:r>
      <w:r w:rsidR="00A40C88" w:rsidRPr="00A40C88">
        <w:rPr>
          <w:lang w:val="en-AU"/>
        </w:rPr>
        <w:t xml:space="preserve"> </w:t>
      </w:r>
    </w:p>
    <w:p w14:paraId="323ECF98" w14:textId="29E6B712" w:rsidR="007E3103" w:rsidRDefault="00F165DB" w:rsidP="007E3103">
      <w:pPr>
        <w:pStyle w:val="Heading2"/>
      </w:pPr>
      <w:bookmarkStart w:id="12" w:name="_Toc490481607"/>
      <w:r>
        <w:t>Implications of findings – key considerations going forward</w:t>
      </w:r>
      <w:bookmarkEnd w:id="12"/>
    </w:p>
    <w:p w14:paraId="7FA1AD87" w14:textId="1AEBED28" w:rsidR="00C67255" w:rsidRDefault="007E3103" w:rsidP="007E3103">
      <w:pPr>
        <w:pStyle w:val="Paragraph"/>
        <w:rPr>
          <w:lang w:eastAsia="en-AU"/>
        </w:rPr>
      </w:pPr>
      <w:r>
        <w:rPr>
          <w:lang w:eastAsia="en-AU"/>
        </w:rPr>
        <w:t>The findings of this evaluation indicate that IAA</w:t>
      </w:r>
      <w:r w:rsidR="00C67255">
        <w:rPr>
          <w:lang w:eastAsia="en-AU"/>
        </w:rPr>
        <w:t xml:space="preserve"> has:</w:t>
      </w:r>
    </w:p>
    <w:p w14:paraId="4F87F5FB" w14:textId="77512540" w:rsidR="00C67255" w:rsidRDefault="00C67255" w:rsidP="00753B1F">
      <w:pPr>
        <w:pStyle w:val="Bullet1"/>
      </w:pPr>
      <w:r>
        <w:t xml:space="preserve">Achieved all milestones and deliverables </w:t>
      </w:r>
      <w:r w:rsidRPr="00C67255">
        <w:t xml:space="preserve">specified in the </w:t>
      </w:r>
      <w:r w:rsidR="008B0955">
        <w:t>Reform</w:t>
      </w:r>
      <w:r w:rsidR="008B0955" w:rsidRPr="00C67255">
        <w:t xml:space="preserve"> </w:t>
      </w:r>
      <w:r w:rsidRPr="00C67255">
        <w:t>Implementation Plan</w:t>
      </w:r>
    </w:p>
    <w:p w14:paraId="296A9D63" w14:textId="55963469" w:rsidR="00C67255" w:rsidRDefault="00C67255" w:rsidP="00753B1F">
      <w:pPr>
        <w:pStyle w:val="Bullet1"/>
      </w:pPr>
      <w:r>
        <w:t>Achieved or is demonstrating</w:t>
      </w:r>
      <w:r w:rsidRPr="00C67255">
        <w:t xml:space="preserve"> strong progress in relation to </w:t>
      </w:r>
      <w:r>
        <w:t xml:space="preserve">most of the </w:t>
      </w:r>
      <w:r w:rsidR="007E3103">
        <w:t xml:space="preserve">measures of success and KPIs specified in the </w:t>
      </w:r>
      <w:r w:rsidR="008B0955">
        <w:t xml:space="preserve">Reform </w:t>
      </w:r>
      <w:r w:rsidR="007E3103">
        <w:t xml:space="preserve">Implementation Plan.  </w:t>
      </w:r>
    </w:p>
    <w:p w14:paraId="2EAEDA34" w14:textId="7A24AAB7" w:rsidR="007E3103" w:rsidRDefault="00F165DB">
      <w:pPr>
        <w:pStyle w:val="Paragraph"/>
      </w:pPr>
      <w:r w:rsidRPr="00F165DB">
        <w:t>However, it is also apparent that:</w:t>
      </w:r>
    </w:p>
    <w:p w14:paraId="64670AAF" w14:textId="30851FE6" w:rsidR="007E3103" w:rsidRDefault="007E3103" w:rsidP="007E3103">
      <w:pPr>
        <w:pStyle w:val="Bullet1"/>
      </w:pPr>
      <w:r>
        <w:t>Many of the KPIs are now redundant as the patterns of client interaction and the evolving nature of service provision extend beyond that which was envisaged prior to implementation.  A review of KPIs is warranted</w:t>
      </w:r>
    </w:p>
    <w:p w14:paraId="6011C885" w14:textId="245D1CA3" w:rsidR="007E3103" w:rsidRDefault="007E3103" w:rsidP="007E3103">
      <w:pPr>
        <w:pStyle w:val="Bullet1"/>
      </w:pPr>
      <w:r>
        <w:t>Current data collection and management systems require review so that data capture and analysis potential is enhanced</w:t>
      </w:r>
    </w:p>
    <w:p w14:paraId="6D4AF8C3" w14:textId="4D474B24" w:rsidR="00A40C88" w:rsidRDefault="007E3103" w:rsidP="007E3103">
      <w:pPr>
        <w:pStyle w:val="Bullet1"/>
      </w:pPr>
      <w:r>
        <w:t xml:space="preserve">STCAs have lacked clarity about the role of IAA and IAA activities particularly in the area of policy and practice  </w:t>
      </w:r>
    </w:p>
    <w:p w14:paraId="25467434" w14:textId="500BC9B0" w:rsidR="007E3103" w:rsidRDefault="007E3103" w:rsidP="007E3103">
      <w:pPr>
        <w:pStyle w:val="Bullet1"/>
      </w:pPr>
      <w:r>
        <w:t>Increased data sharing between IAA and STCAs would be beneficial so that referral outcomes can be established and greater transparency is engendered</w:t>
      </w:r>
    </w:p>
    <w:p w14:paraId="084D1495" w14:textId="77777777" w:rsidR="00F165DB" w:rsidRDefault="007E3103" w:rsidP="007E3103">
      <w:pPr>
        <w:pStyle w:val="Bullet1"/>
      </w:pPr>
      <w:r>
        <w:t>Uptake of IAA services by targeted service users has been limited by</w:t>
      </w:r>
      <w:r w:rsidR="00F165DB">
        <w:t>:</w:t>
      </w:r>
    </w:p>
    <w:p w14:paraId="727059EF" w14:textId="77777777" w:rsidR="00F165DB" w:rsidRDefault="00F165DB" w:rsidP="00F165DB">
      <w:pPr>
        <w:pStyle w:val="Bullet2"/>
      </w:pPr>
      <w:r>
        <w:t xml:space="preserve">A lack of awareness about IAA </w:t>
      </w:r>
    </w:p>
    <w:p w14:paraId="5B372D25" w14:textId="190D3501" w:rsidR="00F165DB" w:rsidRDefault="00F165DB" w:rsidP="00F165DB">
      <w:pPr>
        <w:pStyle w:val="Bullet2"/>
      </w:pPr>
      <w:r>
        <w:t>Lack of differentiation between IAA and other ICA stakeholders (STCAS and AGD in particular) which may have caused confusion</w:t>
      </w:r>
    </w:p>
    <w:p w14:paraId="6ECBBFED" w14:textId="77777777" w:rsidR="00F165DB" w:rsidRDefault="00F165DB" w:rsidP="00F165DB">
      <w:pPr>
        <w:pStyle w:val="Bullet2"/>
      </w:pPr>
      <w:r>
        <w:t>A perception in the early stages that the service was primarily targeting prospective adoptive parents.</w:t>
      </w:r>
    </w:p>
    <w:p w14:paraId="7794E971" w14:textId="0E42D761" w:rsidR="007E3103" w:rsidRDefault="007E3103" w:rsidP="004C2DBE">
      <w:pPr>
        <w:pStyle w:val="Paragraph"/>
      </w:pPr>
      <w:r w:rsidRPr="0057662E">
        <w:lastRenderedPageBreak/>
        <w:t xml:space="preserve">Revisions to the Commonwealth-state agreement </w:t>
      </w:r>
      <w:r>
        <w:t>will</w:t>
      </w:r>
      <w:r w:rsidRPr="0057662E">
        <w:t xml:space="preserve"> clarify</w:t>
      </w:r>
      <w:r>
        <w:t xml:space="preserve"> IAA</w:t>
      </w:r>
      <w:r w:rsidR="002D1191">
        <w:t>’</w:t>
      </w:r>
      <w:r>
        <w:t xml:space="preserve">s role in relation to </w:t>
      </w:r>
      <w:r w:rsidR="004C2DBE">
        <w:t xml:space="preserve">state and territory governments and </w:t>
      </w:r>
      <w:r>
        <w:t>other Commonwealth agencies.</w:t>
      </w:r>
    </w:p>
    <w:p w14:paraId="49912431" w14:textId="77777777" w:rsidR="00F165DB" w:rsidRDefault="00F165DB" w:rsidP="00F165DB">
      <w:pPr>
        <w:pStyle w:val="Paragraph"/>
        <w:rPr>
          <w:lang w:eastAsia="en-AU"/>
        </w:rPr>
      </w:pPr>
      <w:r>
        <w:rPr>
          <w:lang w:eastAsia="en-AU"/>
        </w:rPr>
        <w:t>Going forward, a number of factors warrant consideration to facilitate the ongoing development of IAA and ensure its capacity to meet its KPIs and the expectations of the ICA community.  Key considerations include:</w:t>
      </w:r>
    </w:p>
    <w:p w14:paraId="60264962" w14:textId="47574EFA" w:rsidR="00F165DB" w:rsidRDefault="00F165DB" w:rsidP="00F165DB">
      <w:pPr>
        <w:pStyle w:val="Bullet1"/>
      </w:pPr>
      <w:r>
        <w:t>Review current KPIs to more accurately reflect the current and future scope of IAA’s activities</w:t>
      </w:r>
    </w:p>
    <w:p w14:paraId="37DA2FC9" w14:textId="7E090285" w:rsidR="00F165DB" w:rsidRDefault="00F165DB" w:rsidP="00F165DB">
      <w:pPr>
        <w:pStyle w:val="Bullet1"/>
      </w:pPr>
      <w:r>
        <w:t>Review current data collection and management system so that its capacity to capture and analyse data is enhanced</w:t>
      </w:r>
    </w:p>
    <w:p w14:paraId="4867FD2C" w14:textId="6B499606" w:rsidR="00F165DB" w:rsidRDefault="00F165DB" w:rsidP="00F165DB">
      <w:pPr>
        <w:pStyle w:val="Bullet1"/>
      </w:pPr>
      <w:r>
        <w:t>Increased data sharing between IAA and STCAs so that referral outcomes can be established</w:t>
      </w:r>
    </w:p>
    <w:p w14:paraId="586861F1" w14:textId="77777777" w:rsidR="00F165DB" w:rsidRDefault="00F165DB" w:rsidP="00F165DB">
      <w:pPr>
        <w:pStyle w:val="Bullet1"/>
      </w:pPr>
      <w:r>
        <w:t>Continued engagement with STCAs to:</w:t>
      </w:r>
    </w:p>
    <w:p w14:paraId="3782360A" w14:textId="02D87910" w:rsidR="00F165DB" w:rsidRDefault="00F165DB" w:rsidP="00F165DB">
      <w:pPr>
        <w:pStyle w:val="Bullet2"/>
      </w:pPr>
      <w:r>
        <w:t xml:space="preserve">Further </w:t>
      </w:r>
      <w:r w:rsidR="00B936BD">
        <w:t xml:space="preserve">consolidate </w:t>
      </w:r>
      <w:r>
        <w:t>working relationships</w:t>
      </w:r>
    </w:p>
    <w:p w14:paraId="195FEF28" w14:textId="0F99C8A5" w:rsidR="00F165DB" w:rsidRDefault="00F165DB" w:rsidP="00F165DB">
      <w:pPr>
        <w:pStyle w:val="Bullet2"/>
      </w:pPr>
      <w:r>
        <w:t>Communicate IAA activities, particularly in relation to policy and practice, and to jointly collaborate in the development of these policies and practice</w:t>
      </w:r>
    </w:p>
    <w:p w14:paraId="10669CFD" w14:textId="736AC471" w:rsidR="00F165DB" w:rsidRDefault="00F165DB" w:rsidP="00F165DB">
      <w:pPr>
        <w:pStyle w:val="Bullet2"/>
      </w:pPr>
      <w:r>
        <w:t>Promote IAA on STCA websites</w:t>
      </w:r>
      <w:r w:rsidR="00A41F8B">
        <w:t xml:space="preserve">.  </w:t>
      </w:r>
      <w:r w:rsidR="004C2DBE">
        <w:t xml:space="preserve">At the time of the </w:t>
      </w:r>
      <w:r w:rsidR="00F35A93">
        <w:t xml:space="preserve">website review undertaken in this </w:t>
      </w:r>
      <w:r w:rsidR="004C2DBE">
        <w:t>evaluation</w:t>
      </w:r>
      <w:r w:rsidR="00A41F8B">
        <w:t xml:space="preserve">, </w:t>
      </w:r>
      <w:r w:rsidR="00F35A93">
        <w:t xml:space="preserve">not all STCAs currently did </w:t>
      </w:r>
      <w:r w:rsidR="00A41F8B">
        <w:t>so (</w:t>
      </w:r>
      <w:r w:rsidR="00A41F8B" w:rsidRPr="00A41F8B">
        <w:rPr>
          <w:rStyle w:val="Emphasis"/>
        </w:rPr>
        <w:fldChar w:fldCharType="begin"/>
      </w:r>
      <w:r w:rsidR="00A41F8B" w:rsidRPr="00A41F8B">
        <w:rPr>
          <w:rStyle w:val="Emphasis"/>
        </w:rPr>
        <w:instrText xml:space="preserve"> REF _Ref462645321 \h </w:instrText>
      </w:r>
      <w:r w:rsidR="00A41F8B">
        <w:rPr>
          <w:rStyle w:val="Emphasis"/>
        </w:rPr>
        <w:instrText xml:space="preserve"> \* MERGEFORMAT </w:instrText>
      </w:r>
      <w:r w:rsidR="00A41F8B" w:rsidRPr="00A41F8B">
        <w:rPr>
          <w:rStyle w:val="Emphasis"/>
        </w:rPr>
      </w:r>
      <w:r w:rsidR="00A41F8B" w:rsidRPr="00A41F8B">
        <w:rPr>
          <w:rStyle w:val="Emphasis"/>
        </w:rPr>
        <w:fldChar w:fldCharType="separate"/>
      </w:r>
      <w:r w:rsidR="00487073" w:rsidRPr="00487073">
        <w:rPr>
          <w:rStyle w:val="Emphasis"/>
        </w:rPr>
        <w:t>Table 3</w:t>
      </w:r>
      <w:r w:rsidR="00487073" w:rsidRPr="00487073">
        <w:rPr>
          <w:rStyle w:val="Emphasis"/>
        </w:rPr>
        <w:noBreakHyphen/>
        <w:t>3</w:t>
      </w:r>
      <w:r w:rsidR="00A41F8B" w:rsidRPr="00A41F8B">
        <w:rPr>
          <w:rStyle w:val="Emphasis"/>
        </w:rPr>
        <w:fldChar w:fldCharType="end"/>
      </w:r>
      <w:r w:rsidR="00A41F8B">
        <w:t>) and this may impact on client awareness of the IAA service</w:t>
      </w:r>
      <w:r w:rsidR="00025FD2">
        <w:t>s</w:t>
      </w:r>
      <w:r w:rsidR="00A41F8B">
        <w:t xml:space="preserve"> in these jurisdictions</w:t>
      </w:r>
    </w:p>
    <w:p w14:paraId="4BA14604" w14:textId="7CDD2A5B" w:rsidR="00F165DB" w:rsidRDefault="00F165DB" w:rsidP="00F165DB">
      <w:pPr>
        <w:pStyle w:val="Bullet1"/>
      </w:pPr>
      <w:r>
        <w:t>Greater promotion of IAA so that its target clients are aware of the breadth of its services</w:t>
      </w:r>
    </w:p>
    <w:p w14:paraId="0507D276" w14:textId="23177964" w:rsidR="00F165DB" w:rsidRDefault="00F165DB" w:rsidP="00F165DB">
      <w:pPr>
        <w:pStyle w:val="Bullet1"/>
      </w:pPr>
      <w:r>
        <w:t xml:space="preserve">Clarification of IAA’s role.  This not only involves clarifying </w:t>
      </w:r>
      <w:r w:rsidRPr="0057662E">
        <w:t>IAA</w:t>
      </w:r>
      <w:r w:rsidR="00025FD2">
        <w:t>’</w:t>
      </w:r>
      <w:r w:rsidRPr="0057662E">
        <w:t>s role in relation to other Commonwealth agencies</w:t>
      </w:r>
      <w:r>
        <w:t xml:space="preserve"> through r</w:t>
      </w:r>
      <w:r w:rsidRPr="0057662E">
        <w:t>evisions to the Commonwealth-state agreement</w:t>
      </w:r>
      <w:r w:rsidR="00025FD2">
        <w:t>,</w:t>
      </w:r>
      <w:r>
        <w:t xml:space="preserve"> but also in the public perception by differentiating its functions from AGD.  Ongoing engagement with target clients will assist in this regard as would revision to the web content on both the IAA and AGD websites.</w:t>
      </w:r>
    </w:p>
    <w:p w14:paraId="4B676F40" w14:textId="78134D40" w:rsidR="00D813BF" w:rsidRPr="002B47AA" w:rsidRDefault="00F165DB" w:rsidP="00753B1F">
      <w:pPr>
        <w:pStyle w:val="Paragraph"/>
      </w:pPr>
      <w:r>
        <w:t>The list of factors presented above directly aligns with IAA</w:t>
      </w:r>
      <w:r w:rsidR="00025FD2">
        <w:t>’s</w:t>
      </w:r>
      <w:r>
        <w:t xml:space="preserve"> KPIs and to the gaps identified in this evaluation.  C</w:t>
      </w:r>
      <w:r w:rsidRPr="00435C39">
        <w:t>onsultations with a diverse range of stakeholders identified a number of key suggestions for consideration going forward (</w:t>
      </w:r>
      <w:r w:rsidRPr="00435C39">
        <w:rPr>
          <w:rStyle w:val="Emphasis"/>
        </w:rPr>
        <w:t xml:space="preserve">Chapter </w:t>
      </w:r>
      <w:r w:rsidRPr="00435C39">
        <w:t>7).</w:t>
      </w:r>
      <w:r>
        <w:t xml:space="preserve">  These latter suggestions give voice to some of the needs and visions of other key stakeholders in the ICA community and warrant further consideration.</w:t>
      </w:r>
      <w:r w:rsidR="00D813BF" w:rsidRPr="00331FE4">
        <w:br w:type="page"/>
      </w:r>
    </w:p>
    <w:p w14:paraId="5A23D09A" w14:textId="77777777" w:rsidR="004942B7" w:rsidRDefault="004942B7" w:rsidP="004942B7"/>
    <w:bookmarkStart w:id="13" w:name="_Toc490481608"/>
    <w:p w14:paraId="2B06826E" w14:textId="77777777" w:rsidR="006A12A7" w:rsidRDefault="00B36A43" w:rsidP="00283E1C">
      <w:pPr>
        <w:pStyle w:val="Heading1"/>
      </w:pPr>
      <w:r>
        <w:rPr>
          <w:noProof/>
          <w:lang w:val="en-AU" w:eastAsia="en-AU"/>
        </w:rPr>
        <mc:AlternateContent>
          <mc:Choice Requires="wps">
            <w:drawing>
              <wp:anchor distT="0" distB="0" distL="114300" distR="114300" simplePos="0" relativeHeight="251650048" behindDoc="1" locked="0" layoutInCell="1" allowOverlap="1" wp14:anchorId="237D5BEA" wp14:editId="15374086">
                <wp:simplePos x="0" y="0"/>
                <wp:positionH relativeFrom="page">
                  <wp:align>left</wp:align>
                </wp:positionH>
                <wp:positionV relativeFrom="page">
                  <wp:align>top</wp:align>
                </wp:positionV>
                <wp:extent cx="7632065" cy="10763885"/>
                <wp:effectExtent l="0" t="0" r="6985" b="0"/>
                <wp:wrapNone/>
                <wp:docPr id="695" name="Rectangle 7" title="&quot; &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2065" cy="107638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C865E" id="Rectangle 7" o:spid="_x0000_s1026" alt="Title: &quot; &quot;" style="position:absolute;margin-left:0;margin-top:0;width:600.95pt;height:847.55pt;z-index:-2516664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ElwrgIAALcFAAAOAAAAZHJzL2Uyb0RvYy54bWysVN9P2zAQfp+0/8Hyw95G0o4WyEhRxcQ0&#10;qQIETDwbx26iOT5ju027v35nOwkdQ3uY1gfX5/vuux+5u/OLXavIVljXgC7p5CinRGgOVaPXJf3+&#10;cPXxlBLnma6YAi1KuheOXizevzvvTCGmUIOqhCVIol3RmZLW3psiyxyvRcvcERihUSnBtsyjaNdZ&#10;ZVmH7K3Kpnk+zzqwlbHAhXP4+iUp6SLySym4v5HSCU9USTE2H08bz6dwZotzVqwtM3XD+zDYP0TR&#10;skaj05HqC/OMbGzzB1XbcAsOpD/i0GYgZcNFzAGzmeSvsrmvmRExFyyOM2OZ3P+j5dfbW0uaqqTz&#10;sxklmrX4ke6wbEyvlSAnWLLGK3z78LwB/5mkv1C2zrgCre/NrQ2JO7MC/sOhIvtNEwTXY3bStgGL&#10;aZNd/Ab78RuInSccH0/mn6b5HEPhqJvkKJ6ezoK/jBWDvbHOfxXQknApqcVwY/HZduV8gg6QGBqo&#10;prpqlIpC6CxxqSzZMuwJv5v25O4QpXTAaghWiTC8xMxSMjEtv1ci4JS+ExKLiOFPYyCxfV+cMM6F&#10;9pOkqlklku9Zjr/B+xBWTDQSBmaJ/kfunmBAJpKBO0XZ44OpiN0/Gud/CywZjxbRM2g/GreNBvsW&#10;gcKses8JPxQplSZU6QmqPbaYhTR7zvCrBj/bijl/yywOG44lLhB/g4dU0JUU+hslNdifb70HPM4A&#10;ainpcHhL6p43zApK1DeN03E2OT4O0x6F49nJFAV7qHk61OhNewnYCxNcVYbHa8B7NVylhfYR98wy&#10;eEUV0xx9l5R7OwiXPi0V3FRcLJcRhhNumF/pe8MDeahqaMuH3SOzpu9dj31/DcOgs+JVCydssNSw&#10;3HiQTezvl7r29cbtEBun32Rh/RzKEfWybxe/AAAA//8DAFBLAwQUAAYACAAAACEAcIV8ZtwAAAAH&#10;AQAADwAAAGRycy9kb3ducmV2LnhtbEyPQW/CMAyF75P4D5GRdhtpmcZKaYoQUjlO0G3iahqvrdY4&#10;VROg+/cLu4yL9axnvfc5W4+mExcaXGtZQTyLQBBXVrdcK/h4L54SEM4ja+wsk4IfcrDOJw8Zptpe&#10;+UCX0tcihLBLUUHjfZ9K6aqGDLqZ7YmD92UHgz6sQy31gNcQbjo5j6KFNNhyaGiwp21D1Xd5NgqK&#10;4yslh3i/242fz/tEl2++QFLqcTpuViA8jf7/GG74AR3ywHSyZ9ZOdArCI/5v3rx5FC9BnIJaLF9i&#10;kHkm7/nzXwAAAP//AwBQSwECLQAUAAYACAAAACEAtoM4kv4AAADhAQAAEwAAAAAAAAAAAAAAAAAA&#10;AAAAW0NvbnRlbnRfVHlwZXNdLnhtbFBLAQItABQABgAIAAAAIQA4/SH/1gAAAJQBAAALAAAAAAAA&#10;AAAAAAAAAC8BAABfcmVscy8ucmVsc1BLAQItABQABgAIAAAAIQB3zElwrgIAALcFAAAOAAAAAAAA&#10;AAAAAAAAAC4CAABkcnMvZTJvRG9jLnhtbFBLAQItABQABgAIAAAAIQBwhXxm3AAAAAcBAAAPAAAA&#10;AAAAAAAAAAAAAAgFAABkcnMvZG93bnJldi54bWxQSwUGAAAAAAQABADzAAAAEQYAAAAA&#10;" fillcolor="#0079c1 [3215]" stroked="f" strokeweight="2pt">
                <v:path arrowok="t"/>
                <w10:wrap anchorx="page" anchory="page"/>
              </v:rect>
            </w:pict>
          </mc:Fallback>
        </mc:AlternateContent>
      </w:r>
      <w:r w:rsidR="00C10184">
        <w:t>Introduction</w:t>
      </w:r>
      <w:bookmarkEnd w:id="13"/>
    </w:p>
    <w:p w14:paraId="33C691AD" w14:textId="77777777" w:rsidR="008E6557" w:rsidRDefault="008E6557">
      <w:pPr>
        <w:rPr>
          <w:lang w:eastAsia="en-AU"/>
        </w:rPr>
      </w:pPr>
      <w:r>
        <w:rPr>
          <w:lang w:eastAsia="en-AU"/>
        </w:rPr>
        <w:br w:type="page"/>
      </w:r>
    </w:p>
    <w:p w14:paraId="63CF59E9" w14:textId="77777777" w:rsidR="0027225E" w:rsidRDefault="00842C54" w:rsidP="00283E1C">
      <w:pPr>
        <w:pStyle w:val="Heading2"/>
      </w:pPr>
      <w:bookmarkStart w:id="14" w:name="_Toc490481609"/>
      <w:r>
        <w:lastRenderedPageBreak/>
        <w:t xml:space="preserve">Defining </w:t>
      </w:r>
      <w:r w:rsidR="0036036C">
        <w:t>ICA</w:t>
      </w:r>
      <w:bookmarkEnd w:id="14"/>
    </w:p>
    <w:p w14:paraId="28930C62" w14:textId="678500BC" w:rsidR="00DB5FB9" w:rsidRPr="00DB5FB9" w:rsidRDefault="00DB5FB9" w:rsidP="00CF3866">
      <w:pPr>
        <w:pStyle w:val="Paragraph"/>
        <w:rPr>
          <w:lang w:eastAsia="en-AU"/>
        </w:rPr>
      </w:pPr>
      <w:r w:rsidRPr="00DB5FB9">
        <w:rPr>
          <w:lang w:eastAsia="en-AU"/>
        </w:rPr>
        <w:t xml:space="preserve">Adoption is a legal process of transferring rights and responsibilities from a child’s parents to their adoptive parents </w:t>
      </w:r>
      <w:r w:rsidRPr="00DB5FB9">
        <w:rPr>
          <w:lang w:eastAsia="en-AU"/>
        </w:rPr>
        <w:fldChar w:fldCharType="begin" w:fldLock="1"/>
      </w:r>
      <w:r w:rsidRPr="00DB5FB9">
        <w:rPr>
          <w:lang w:eastAsia="en-AU"/>
        </w:rPr>
        <w:instrText>ADDIN CSL_CITATION { "citationItems" : [ { "id" : "ITEM-1", "itemData" : { "ISBN" : "9781742492681", "author" : [ { "dropping-particle" : "", "family" : "Australian Institute of Health and Welfare", "given" : "", "non-dropping-particle" : "", "parse-names" : false, "suffix" : "" } ], "id" : "ITEM-1", "issue" : "Child Welfare Series No. 62", "issued" : { "date-parts" : [ [ "2015" ] ] }, "title" : "Adoptions Australia 2014-15", "type" : "report" }, "uris" : [ "http://www.mendeley.com/documents/?uuid=a7d585c3-f515-438c-b0ba-d8f2bef78cf9", "http://www.mendeley.com/documents/?uuid=99855821-a0a7-4736-95c3-64f21eeff017" ] } ], "mendeley" : { "formattedCitation" : "(Australian Institute of Health and Welfare 2015)", "plainTextFormattedCitation" : "(Australian Institute of Health and Welfare 2015)", "previouslyFormattedCitation" : "(Australian Institute of Health and Welfare 2015)" }, "properties" : { "noteIndex" : 0 }, "schema" : "https://github.com/citation-style-language/schema/raw/master/csl-citation.json" }</w:instrText>
      </w:r>
      <w:r w:rsidRPr="00DB5FB9">
        <w:rPr>
          <w:lang w:eastAsia="en-AU"/>
        </w:rPr>
        <w:fldChar w:fldCharType="separate"/>
      </w:r>
      <w:r w:rsidRPr="00DB5FB9">
        <w:rPr>
          <w:noProof/>
          <w:lang w:eastAsia="en-AU"/>
        </w:rPr>
        <w:t>(Australian Institute of Health and Welfare 2015)</w:t>
      </w:r>
      <w:r w:rsidRPr="00DB5FB9">
        <w:rPr>
          <w:lang w:eastAsia="en-AU"/>
        </w:rPr>
        <w:fldChar w:fldCharType="end"/>
      </w:r>
      <w:r w:rsidRPr="00DB5FB9">
        <w:rPr>
          <w:lang w:eastAsia="en-AU"/>
        </w:rPr>
        <w:t xml:space="preserve">.  One mechanism by which this occurs is through </w:t>
      </w:r>
      <w:r w:rsidR="00F003D9">
        <w:rPr>
          <w:lang w:eastAsia="en-AU"/>
        </w:rPr>
        <w:t>i</w:t>
      </w:r>
      <w:r w:rsidR="00552AC0">
        <w:rPr>
          <w:lang w:eastAsia="en-AU"/>
        </w:rPr>
        <w:t>ntercountry adoption</w:t>
      </w:r>
      <w:r w:rsidRPr="00DB5FB9">
        <w:rPr>
          <w:lang w:eastAsia="en-AU"/>
        </w:rPr>
        <w:t xml:space="preserve"> (ICA)—also referred to as international and transnational adoption—which involves the adoption of a child who is a national of a different country to that of the adoptive parents.  </w:t>
      </w:r>
    </w:p>
    <w:p w14:paraId="2C4ECBF7" w14:textId="77777777" w:rsidR="00DB5FB9" w:rsidRPr="00DB5FB9" w:rsidRDefault="00DB5FB9" w:rsidP="00283E1C">
      <w:pPr>
        <w:pStyle w:val="Heading2"/>
      </w:pPr>
      <w:bookmarkStart w:id="15" w:name="_Toc490481610"/>
      <w:r w:rsidRPr="00DB5FB9">
        <w:t>Historical perspective</w:t>
      </w:r>
      <w:bookmarkEnd w:id="15"/>
    </w:p>
    <w:p w14:paraId="65F39DB1" w14:textId="770020A4" w:rsidR="00DB5FB9" w:rsidRPr="00DB5FB9" w:rsidRDefault="00DB5FB9" w:rsidP="00E07D8E">
      <w:pPr>
        <w:pStyle w:val="Paragraph"/>
        <w:rPr>
          <w:lang w:eastAsia="en-AU"/>
        </w:rPr>
      </w:pPr>
      <w:r w:rsidRPr="00DB5FB9">
        <w:rPr>
          <w:lang w:eastAsia="en-AU"/>
        </w:rPr>
        <w:t xml:space="preserve">ICA is largely a post-World War II (WWII) phenomenon, which initially evolved as a humanitarian response to help children orphaned by </w:t>
      </w:r>
      <w:r w:rsidR="00F003D9">
        <w:rPr>
          <w:lang w:eastAsia="en-AU"/>
        </w:rPr>
        <w:t>WWII</w:t>
      </w:r>
      <w:r w:rsidR="00552AC0" w:rsidRPr="00DB5FB9">
        <w:rPr>
          <w:lang w:eastAsia="en-AU"/>
        </w:rPr>
        <w:t xml:space="preserve"> </w:t>
      </w:r>
      <w:r w:rsidRPr="00DB5FB9">
        <w:rPr>
          <w:lang w:eastAsia="en-AU"/>
        </w:rPr>
        <w:t xml:space="preserve">and later by the Korean and Vietnam Wars </w:t>
      </w:r>
      <w:r w:rsidRPr="00DB5FB9">
        <w:rPr>
          <w:lang w:eastAsia="en-AU"/>
        </w:rPr>
        <w:fldChar w:fldCharType="begin" w:fldLock="1"/>
      </w:r>
      <w:r w:rsidRPr="00DB5FB9">
        <w:rPr>
          <w:lang w:eastAsia="en-AU"/>
        </w:rPr>
        <w:instrText>ADDIN CSL_CITATION { "citationItems" : [ { "id" : "ITEM-1", "itemData" : { "author" : [ { "dropping-particle" : "", "family" : "Young", "given" : "Alexandra", "non-dropping-particle" : "", "parse-names" : false, "suffix" : "" } ], "container-title" : "Adoption &amp; Fostering", "id" : "ITEM-1", "issue" : "2", "issued" : { "date-parts" : [ [ "2012" ] ] }, "page" : "67-", "title" : "Developments in intercountry adoption: From humanitarian aid to market-driven policy and beyond", "type" : "article-journal", "volume" : "36" }, "uris" : [ "http://www.mendeley.com/documents/?uuid=474910f2-6e99-4171-9878-4048f52bca12" ] } ], "mendeley" : { "formattedCitation" : "(Young 2012a)", "plainTextFormattedCitation" : "(Young 2012a)", "previouslyFormattedCitation" : "(Young 2012a)" }, "properties" : { "noteIndex" : 0 }, "schema" : "https://github.com/citation-style-language/schema/raw/master/csl-citation.json" }</w:instrText>
      </w:r>
      <w:r w:rsidRPr="00DB5FB9">
        <w:rPr>
          <w:lang w:eastAsia="en-AU"/>
        </w:rPr>
        <w:fldChar w:fldCharType="separate"/>
      </w:r>
      <w:r w:rsidRPr="00DB5FB9">
        <w:rPr>
          <w:noProof/>
          <w:lang w:eastAsia="en-AU"/>
        </w:rPr>
        <w:t>(Young 2012a)</w:t>
      </w:r>
      <w:r w:rsidRPr="00DB5FB9">
        <w:rPr>
          <w:lang w:eastAsia="en-AU"/>
        </w:rPr>
        <w:fldChar w:fldCharType="end"/>
      </w:r>
      <w:r w:rsidRPr="00DB5FB9">
        <w:rPr>
          <w:lang w:eastAsia="en-AU"/>
        </w:rPr>
        <w:t xml:space="preserve">.  In the Australian context, ICA formally commenced with the Saigon baby lift in April 1975 </w:t>
      </w:r>
      <w:r w:rsidRPr="00DB5FB9">
        <w:rPr>
          <w:lang w:eastAsia="en-AU"/>
        </w:rPr>
        <w:fldChar w:fldCharType="begin" w:fldLock="1"/>
      </w:r>
      <w:r w:rsidRPr="00DB5FB9">
        <w:rPr>
          <w:lang w:eastAsia="en-AU"/>
        </w:rPr>
        <w:instrText>ADDIN CSL_CITATION { "citationItems" : [ { "id" : "ITEM-1", "itemData" : { "DOI" : "10.1111/j.1467-6443.2010.01376.x", "ISSN" : "09521909", "PMID" : "20845588", "abstract" : "This paper brings historical perspectives to bear on the ambivalent and contradictory position of adoption in Australian public policy. It examines the divergent histories of Australian domestic and intercountry adoption (ICA) since the mid-1970s and the impact of these histories on adoption policy in Australia. It identifies tendencies in contemporary ICA to repeat elements of pre-reform era domestic adoption. In particular, it is argued that the resistance of ICA to the move to openness in local adoption has been an unacknowledged driver of ICA for many Australian families. We offer corrective readings of the rise of ICA in relation to domestic adoption and conclude by offering alternatives for adoption policy which better align the two kinds of adoption, focusing on the needs of children, as distinct from the desires of adults.", "author" : [ { "dropping-particle" : "", "family" : "Cuthbert", "given" : "Denise", "non-dropping-particle" : "", "parse-names" : false, "suffix" : "" }, { "dropping-particle" : "", "family" : "Spark", "given" : "Ceridwen", "non-dropping-particle" : "", "parse-names" : false, "suffix" : "" }, { "dropping-particle" : "", "family" : "Murphy", "given" : "Kate", "non-dropping-particle" : "", "parse-names" : false, "suffix" : "" } ], "container-title" : "Journal of Historical Sociology", "id" : "ITEM-1", "issue" : "3", "issued" : { "date-parts" : [ [ "2010" ] ] }, "page" : "427-452", "title" : "\u201cThat was Then, but This is Now\u201d: Historical Perspectives on Intercountry Adoption and Domestic Child Adoption in Australian Public Policy", "type" : "article-journal", "volume" : "23" }, "uris" : [ "http://www.mendeley.com/documents/?uuid=217dd373-00db-4f48-a3f0-7169d817b577", "http://www.mendeley.com/documents/?uuid=b87fdbf4-384a-4df0-b5e4-b1915f04c127" ] }, { "id" : "ITEM-2", "itemData" : { "DOI" : "10.1080/14443058.2012.727845", "ISSN" : "1444-3058", "abstract" : "Abstract The Vietnam War played a significant role in the institutionalisation of intercountry adoption (ICA) in Australia. The fall of Saigon provided the leverage needed for proponents of ICA to engage the governments of Western countries in ensuring previously arranged adoptions were completed. The humanitarian discourse that surrounded the airlift of children from Saigon, Operation Babylift, precipitated private- and government-sponsored mass evacuation of ?orphans? who were adopted despite the lack of substantive evidence of their orphan status with no attempts at supported reunification. Though adoption from Vietnam to Australia was short-lived, it opened the doors for other government-sanctioned adoption programs within two years.", "author" : [ { "dropping-particle" : "", "family" : "Fronek", "given" : "Patricia", "non-dropping-particle" : "", "parse-names" : false, "suffix" : "" } ], "container-title" : "Journal of Australian Studies", "id" : "ITEM-2", "issue" : "4", "issued" : { "date-parts" : [ [ "2012" ] ] }, "page" : "445-458", "title" : "Operation Babylift: advancing intercountry adoption into Australia", "type" : "article-journal", "volume" : "36" }, "uris" : [ "http://www.mendeley.com/documents/?uuid=1180f6e3-9f9d-46cf-aead-c6659971e06b", "http://www.mendeley.com/documents/?uuid=ab7c025b-ca06-4294-a33d-2ea0ec6ab9bd" ] } ], "mendeley" : { "formattedCitation" : "(Cuthbert et al. 2010a, Fronek 2012)", "plainTextFormattedCitation" : "(Cuthbert et al. 2010a, Fronek 2012)", "previouslyFormattedCitation" : "(Cuthbert et al. 2010a, Fronek 2012)" }, "properties" : { "noteIndex" : 0 }, "schema" : "https://github.com/citation-style-language/schema/raw/master/csl-citation.json" }</w:instrText>
      </w:r>
      <w:r w:rsidRPr="00DB5FB9">
        <w:rPr>
          <w:lang w:eastAsia="en-AU"/>
        </w:rPr>
        <w:fldChar w:fldCharType="separate"/>
      </w:r>
      <w:r w:rsidRPr="00DB5FB9">
        <w:rPr>
          <w:noProof/>
          <w:lang w:eastAsia="en-AU"/>
        </w:rPr>
        <w:t>(Cuthbert et al. 2010a, Fronek 2012)</w:t>
      </w:r>
      <w:r w:rsidRPr="00DB5FB9">
        <w:rPr>
          <w:lang w:eastAsia="en-AU"/>
        </w:rPr>
        <w:fldChar w:fldCharType="end"/>
      </w:r>
      <w:r w:rsidRPr="00DB5FB9">
        <w:rPr>
          <w:lang w:eastAsia="en-AU"/>
        </w:rPr>
        <w:t>.  From the 1970s onwards, ICA became an increasingly sought after option for prospective parents in Australia for two key reasons:</w:t>
      </w:r>
    </w:p>
    <w:p w14:paraId="4DF57CC5" w14:textId="77777777" w:rsidR="00DB5FB9" w:rsidRPr="00DB5FB9" w:rsidRDefault="00DB5FB9" w:rsidP="00CF3866">
      <w:pPr>
        <w:pStyle w:val="Bullet1"/>
      </w:pPr>
      <w:r w:rsidRPr="00DB5FB9">
        <w:t>First, social and economic changes meant that fewer children, especially young babies, became available for adoption domestically.  Key among these changes were the introduction of the Single Parent’s Support Benefit, the increased availability of contraception, greater social acceptance and de-stigmatisation of illegitimacy, and access to procedures to address infertility issues such as in vitro fertilisation (IVF) and surrogacy arrangements.  There has also been a reduction in the number of available adoptees and an increase in the number of families seeking to adopt.</w:t>
      </w:r>
    </w:p>
    <w:p w14:paraId="5DC079DD" w14:textId="4FADAA5B" w:rsidR="00DB5FB9" w:rsidRDefault="00DB5FB9" w:rsidP="00CF3866">
      <w:pPr>
        <w:pStyle w:val="Bullet1"/>
      </w:pPr>
      <w:r w:rsidRPr="00DB5FB9">
        <w:t>Second, issues related to past child welfare and adoption practices, coupled with legislative reforms that made adoptions more open</w:t>
      </w:r>
      <w:r w:rsidRPr="00DB5FB9">
        <w:rPr>
          <w:vertAlign w:val="superscript"/>
        </w:rPr>
        <w:footnoteReference w:id="1"/>
      </w:r>
      <w:r w:rsidRPr="00DB5FB9">
        <w:t xml:space="preserve"> in terms of information and contact, reduced the attractiveness of domestic adoption for prospective adoptive parents </w:t>
      </w:r>
      <w:r w:rsidRPr="00DB5FB9">
        <w:fldChar w:fldCharType="begin" w:fldLock="1"/>
      </w:r>
      <w:r w:rsidRPr="00DB5FB9">
        <w:instrText>ADDIN CSL_CITATION { "citationItems" : [ { "id" : "ITEM-1", "itemData" : { "author" : [ { "dropping-particle" : "", "family" : "Young", "given" : "Alexandra", "non-dropping-particle" : "", "parse-names" : false, "suffix" : "" } ], "container-title" : "Australian Journal of Social Issues", "id" : "ITEM-1", "issue" : "2", "issued" : { "date-parts" : [ [ "2012" ] ] }, "page" : "221-242", "title" : "Choosing intercountry adoption: an Australian study of the motivation and attitudes of intending and recent adoptive parents", "type" : "article-journal", "volume" : "47" }, "uris" : [ "http://www.mendeley.com/documents/?uuid=5f4f69b1-c9dd-418e-9b1c-12d7b5053fa4", "http://www.mendeley.com/documents/?uuid=d446601c-13a3-4f2d-b4d3-41c563f3c7f9" ] } ], "mendeley" : { "formattedCitation" : "(Young 2012b)", "plainTextFormattedCitation" : "(Young 2012b)", "previouslyFormattedCitation" : "(Young 2012b)" }, "properties" : { "noteIndex" : 0 }, "schema" : "https://github.com/citation-style-language/schema/raw/master/csl-citation.json" }</w:instrText>
      </w:r>
      <w:r w:rsidRPr="00DB5FB9">
        <w:fldChar w:fldCharType="separate"/>
      </w:r>
      <w:r w:rsidRPr="00DB5FB9">
        <w:rPr>
          <w:noProof/>
        </w:rPr>
        <w:t>(Young 2012b)</w:t>
      </w:r>
      <w:r w:rsidRPr="00DB5FB9">
        <w:fldChar w:fldCharType="end"/>
      </w:r>
      <w:r w:rsidRPr="00DB5FB9">
        <w:t xml:space="preserve">.  Increased public awareness of the horrendous experiences of groups of ‘removed children’ including Indigenous Australians (the Stolen Generation), </w:t>
      </w:r>
      <w:r w:rsidR="00B936BD">
        <w:t>non-Indigenous</w:t>
      </w:r>
      <w:r w:rsidR="00B936BD" w:rsidRPr="00DB5FB9">
        <w:t xml:space="preserve"> </w:t>
      </w:r>
      <w:r w:rsidRPr="00DB5FB9">
        <w:t>Australians (Forgotten Australians) and child migrants from Britain and Malta further fuelled this reluctance to adopt domestically.</w:t>
      </w:r>
    </w:p>
    <w:p w14:paraId="5F157C04" w14:textId="1160442A" w:rsidR="00C40285" w:rsidRPr="00DB5FB9" w:rsidRDefault="00C40285" w:rsidP="007F31EA">
      <w:pPr>
        <w:pStyle w:val="Paragraph"/>
      </w:pPr>
      <w:r w:rsidRPr="00C40285">
        <w:t>ICA is guided by Australia’s commitment to the</w:t>
      </w:r>
      <w:r w:rsidR="00C3737D">
        <w:t xml:space="preserve"> </w:t>
      </w:r>
      <w:r w:rsidR="00C3737D" w:rsidRPr="00FC3C59">
        <w:rPr>
          <w:i/>
          <w:lang w:val="en-AU" w:eastAsia="en-AU"/>
        </w:rPr>
        <w:t>Hague Convention on the Protection of Children and Cooperation in Respect of Intercountry Adoption</w:t>
      </w:r>
      <w:r w:rsidRPr="00C40285">
        <w:t xml:space="preserve"> </w:t>
      </w:r>
      <w:r w:rsidR="007F31EA">
        <w:t>(</w:t>
      </w:r>
      <w:r w:rsidR="007F31EA" w:rsidRPr="007F31EA">
        <w:rPr>
          <w:rStyle w:val="Emphasis"/>
        </w:rPr>
        <w:t xml:space="preserve">Section </w:t>
      </w:r>
      <w:r w:rsidR="007F31EA" w:rsidRPr="007F31EA">
        <w:rPr>
          <w:rStyle w:val="Emphasis"/>
        </w:rPr>
        <w:fldChar w:fldCharType="begin"/>
      </w:r>
      <w:r w:rsidR="007F31EA" w:rsidRPr="007F31EA">
        <w:rPr>
          <w:rStyle w:val="Emphasis"/>
        </w:rPr>
        <w:instrText xml:space="preserve"> REF _Ref464733863 \n \h </w:instrText>
      </w:r>
      <w:r w:rsidR="007F31EA">
        <w:rPr>
          <w:rStyle w:val="Emphasis"/>
        </w:rPr>
        <w:instrText xml:space="preserve"> \* MERGEFORMAT </w:instrText>
      </w:r>
      <w:r w:rsidR="007F31EA" w:rsidRPr="007F31EA">
        <w:rPr>
          <w:rStyle w:val="Emphasis"/>
        </w:rPr>
      </w:r>
      <w:r w:rsidR="007F31EA" w:rsidRPr="007F31EA">
        <w:rPr>
          <w:rStyle w:val="Emphasis"/>
        </w:rPr>
        <w:fldChar w:fldCharType="separate"/>
      </w:r>
      <w:r w:rsidR="00487073">
        <w:rPr>
          <w:rStyle w:val="Emphasis"/>
        </w:rPr>
        <w:t>2.4.1</w:t>
      </w:r>
      <w:r w:rsidR="007F31EA" w:rsidRPr="007F31EA">
        <w:rPr>
          <w:rStyle w:val="Emphasis"/>
        </w:rPr>
        <w:fldChar w:fldCharType="end"/>
      </w:r>
      <w:r w:rsidR="007F31EA">
        <w:t>)</w:t>
      </w:r>
      <w:r>
        <w:t>.</w:t>
      </w:r>
    </w:p>
    <w:p w14:paraId="3C100D7E" w14:textId="77777777" w:rsidR="00DB5FB9" w:rsidRPr="00DB5FB9" w:rsidRDefault="00DB5FB9" w:rsidP="00283E1C">
      <w:pPr>
        <w:pStyle w:val="Heading2"/>
      </w:pPr>
      <w:bookmarkStart w:id="16" w:name="_Ref458173494"/>
      <w:bookmarkStart w:id="17" w:name="_Toc490481611"/>
      <w:r w:rsidRPr="00DB5FB9">
        <w:t>Recent trends</w:t>
      </w:r>
      <w:bookmarkEnd w:id="16"/>
      <w:bookmarkEnd w:id="17"/>
    </w:p>
    <w:p w14:paraId="4EE27E6D" w14:textId="5027C654" w:rsidR="00DB5FB9" w:rsidRPr="00DB5FB9" w:rsidRDefault="00DB5FB9" w:rsidP="00CF3866">
      <w:pPr>
        <w:pStyle w:val="Paragraph"/>
        <w:rPr>
          <w:lang w:val="en-AU" w:eastAsia="en-AU"/>
        </w:rPr>
      </w:pPr>
      <w:r w:rsidRPr="00DB5FB9">
        <w:rPr>
          <w:lang w:eastAsia="en-AU"/>
        </w:rPr>
        <w:t xml:space="preserve">In Australia, during the </w:t>
      </w:r>
      <w:r w:rsidR="00F003D9">
        <w:rPr>
          <w:lang w:val="en-AU" w:eastAsia="en-AU"/>
        </w:rPr>
        <w:t>1999–00 and 2010-</w:t>
      </w:r>
      <w:r w:rsidRPr="00DB5FB9">
        <w:rPr>
          <w:lang w:val="en-AU" w:eastAsia="en-AU"/>
        </w:rPr>
        <w:t>11 periods, the number of finalised ICAs each year exceeded that of domestic adoptions (local and known adoptions combi</w:t>
      </w:r>
      <w:r w:rsidR="00F003D9">
        <w:rPr>
          <w:lang w:val="en-AU" w:eastAsia="en-AU"/>
        </w:rPr>
        <w:t>ned).  Between 1999–00 and 2004-05</w:t>
      </w:r>
      <w:r w:rsidRPr="00DB5FB9">
        <w:rPr>
          <w:lang w:val="en-AU" w:eastAsia="en-AU"/>
        </w:rPr>
        <w:t xml:space="preserve">5, the proportion of ICAs increased from 53% to 74%, with the highest number of ICAs (434) in 2004–05.  </w:t>
      </w:r>
    </w:p>
    <w:p w14:paraId="62190BC3" w14:textId="2AE1E7F1" w:rsidR="00DB5FB9" w:rsidRPr="00DB5FB9" w:rsidRDefault="00DB5FB9" w:rsidP="00CF3866">
      <w:pPr>
        <w:pStyle w:val="Paragraph"/>
        <w:rPr>
          <w:lang w:eastAsia="en-AU"/>
        </w:rPr>
      </w:pPr>
      <w:r w:rsidRPr="00DB5FB9">
        <w:rPr>
          <w:lang w:val="en-AU" w:eastAsia="en-AU"/>
        </w:rPr>
        <w:t xml:space="preserve">Since then, however, the number of ICAs has steadily decreased with the result that since 2011–12, more children have been adopted domestically than from overseas.  This long-term decline was evident in most states and territories throughout Australia with only New South Wales and Queensland reporting a small rise between 2013–14 and 2014–15, and numbers in South Australia remaining the </w:t>
      </w:r>
      <w:r w:rsidRPr="00DB5FB9">
        <w:rPr>
          <w:lang w:val="en-AU" w:eastAsia="en-AU"/>
        </w:rPr>
        <w:lastRenderedPageBreak/>
        <w:t xml:space="preserve">same </w:t>
      </w:r>
      <w:r w:rsidRPr="00DB5FB9">
        <w:rPr>
          <w:lang w:val="en-AU" w:eastAsia="en-AU"/>
        </w:rPr>
        <w:fldChar w:fldCharType="begin" w:fldLock="1"/>
      </w:r>
      <w:r w:rsidRPr="00DB5FB9">
        <w:rPr>
          <w:lang w:val="en-AU" w:eastAsia="en-AU"/>
        </w:rPr>
        <w:instrText>ADDIN CSL_CITATION { "citationItems" : [ { "id" : "ITEM-1", "itemData" : { "ISBN" : "9781742492681", "author" : [ { "dropping-particle" : "", "family" : "Australian Institute of Health and Welfare", "given" : "", "non-dropping-particle" : "", "parse-names" : false, "suffix" : "" } ], "id" : "ITEM-1", "issue" : "Child Welfare Series No. 62", "issued" : { "date-parts" : [ [ "2015" ] ] }, "title" : "Adoptions Australia 2014-15", "type" : "report" }, "uris" : [ "http://www.mendeley.com/documents/?uuid=99855821-a0a7-4736-95c3-64f21eeff017", "http://www.mendeley.com/documents/?uuid=a7d585c3-f515-438c-b0ba-d8f2bef78cf9" ] } ], "mendeley" : { "formattedCitation" : "(Australian Institute of Health and Welfare 2015)", "plainTextFormattedCitation" : "(Australian Institute of Health and Welfare 2015)", "previouslyFormattedCitation" : "(Australian Institute of Health and Welfare 2015)" }, "properties" : { "noteIndex" : 0 }, "schema" : "https://github.com/citation-style-language/schema/raw/master/csl-citation.json" }</w:instrText>
      </w:r>
      <w:r w:rsidRPr="00DB5FB9">
        <w:rPr>
          <w:lang w:val="en-AU" w:eastAsia="en-AU"/>
        </w:rPr>
        <w:fldChar w:fldCharType="separate"/>
      </w:r>
      <w:r w:rsidRPr="00DB5FB9">
        <w:rPr>
          <w:noProof/>
          <w:lang w:val="en-AU" w:eastAsia="en-AU"/>
        </w:rPr>
        <w:t>(Australian Institute of Health and Welfare 2015)</w:t>
      </w:r>
      <w:r w:rsidRPr="00DB5FB9">
        <w:rPr>
          <w:lang w:val="en-AU" w:eastAsia="en-AU"/>
        </w:rPr>
        <w:fldChar w:fldCharType="end"/>
      </w:r>
      <w:r w:rsidRPr="00DB5FB9">
        <w:rPr>
          <w:lang w:val="en-AU" w:eastAsia="en-AU"/>
        </w:rPr>
        <w:t>.  I</w:t>
      </w:r>
      <w:r w:rsidRPr="00DB5FB9">
        <w:rPr>
          <w:lang w:eastAsia="en-AU"/>
        </w:rPr>
        <w:t>n 2014</w:t>
      </w:r>
      <w:r w:rsidRPr="00DB5FB9">
        <w:rPr>
          <w:lang w:val="en-AU" w:eastAsia="en-AU"/>
        </w:rPr>
        <w:t>–</w:t>
      </w:r>
      <w:r w:rsidRPr="00DB5FB9">
        <w:rPr>
          <w:lang w:eastAsia="en-AU"/>
        </w:rPr>
        <w:t>15, Australia reported its lowest number of finalised adoptions on record (292), of which 83 (28%) were ICAs</w:t>
      </w:r>
      <w:r w:rsidR="00753B1F">
        <w:rPr>
          <w:rStyle w:val="FootnoteReference"/>
          <w:lang w:eastAsia="en-AU"/>
        </w:rPr>
        <w:footnoteReference w:id="2"/>
      </w:r>
      <w:r w:rsidRPr="00DB5FB9">
        <w:rPr>
          <w:lang w:eastAsia="en-AU"/>
        </w:rPr>
        <w:t xml:space="preserve"> </w:t>
      </w:r>
      <w:r w:rsidRPr="00DB5FB9">
        <w:rPr>
          <w:lang w:eastAsia="en-AU"/>
        </w:rPr>
        <w:fldChar w:fldCharType="begin" w:fldLock="1"/>
      </w:r>
      <w:r w:rsidRPr="00DB5FB9">
        <w:rPr>
          <w:lang w:eastAsia="en-AU"/>
        </w:rPr>
        <w:instrText>ADDIN CSL_CITATION { "citationItems" : [ { "id" : "ITEM-1", "itemData" : { "ISBN" : "9781742492681", "author" : [ { "dropping-particle" : "", "family" : "Australian Institute of Health and Welfare", "given" : "", "non-dropping-particle" : "", "parse-names" : false, "suffix" : "" } ], "id" : "ITEM-1", "issue" : "Child Welfare Series No. 62", "issued" : { "date-parts" : [ [ "2015" ] ] }, "title" : "Adoptions Australia 2014-15", "type" : "report" }, "uris" : [ "http://www.mendeley.com/documents/?uuid=a7d585c3-f515-438c-b0ba-d8f2bef78cf9" ] } ], "mendeley" : { "formattedCitation" : "(Australian Institute of Health and Welfare 2015)", "plainTextFormattedCitation" : "(Australian Institute of Health and Welfare 2015)", "previouslyFormattedCitation" : "(Australian Institute of Health and Welfare 2015)" }, "properties" : { "noteIndex" : 0 }, "schema" : "https://github.com/citation-style-language/schema/raw/master/csl-citation.json" }</w:instrText>
      </w:r>
      <w:r w:rsidRPr="00DB5FB9">
        <w:rPr>
          <w:lang w:eastAsia="en-AU"/>
        </w:rPr>
        <w:fldChar w:fldCharType="separate"/>
      </w:r>
      <w:r w:rsidRPr="00DB5FB9">
        <w:rPr>
          <w:noProof/>
          <w:lang w:eastAsia="en-AU"/>
        </w:rPr>
        <w:t>(Australian Institute of Health and Welfare 2015)</w:t>
      </w:r>
      <w:r w:rsidRPr="00DB5FB9">
        <w:rPr>
          <w:lang w:eastAsia="en-AU"/>
        </w:rPr>
        <w:fldChar w:fldCharType="end"/>
      </w:r>
      <w:r w:rsidRPr="00DB5FB9">
        <w:rPr>
          <w:lang w:eastAsia="en-AU"/>
        </w:rPr>
        <w:t>.</w:t>
      </w:r>
      <w:r w:rsidR="00753B1F">
        <w:rPr>
          <w:lang w:eastAsia="en-AU"/>
        </w:rPr>
        <w:t xml:space="preserve"> </w:t>
      </w:r>
    </w:p>
    <w:p w14:paraId="75E534D1" w14:textId="26FC6BF6" w:rsidR="00DB5FB9" w:rsidRPr="00DB5FB9" w:rsidRDefault="00DB5FB9" w:rsidP="00CF3866">
      <w:pPr>
        <w:pStyle w:val="Paragraph"/>
        <w:rPr>
          <w:lang w:eastAsia="en-AU"/>
        </w:rPr>
      </w:pPr>
      <w:r w:rsidRPr="00DB5FB9">
        <w:rPr>
          <w:lang w:eastAsia="en-AU"/>
        </w:rPr>
        <w:t xml:space="preserve">All 83 intercountry adoptees in 2014–15 were younger than ten years of age, with more than two-thirds (67%) aged less than five years.  A decline in the </w:t>
      </w:r>
      <w:r w:rsidR="004D7D0A">
        <w:rPr>
          <w:lang w:eastAsia="en-AU"/>
        </w:rPr>
        <w:t>number</w:t>
      </w:r>
      <w:r w:rsidR="004D7D0A" w:rsidRPr="00DB5FB9">
        <w:rPr>
          <w:lang w:eastAsia="en-AU"/>
        </w:rPr>
        <w:t xml:space="preserve"> </w:t>
      </w:r>
      <w:r w:rsidRPr="00DB5FB9">
        <w:rPr>
          <w:lang w:eastAsia="en-AU"/>
        </w:rPr>
        <w:t xml:space="preserve">of infants </w:t>
      </w:r>
      <w:r w:rsidR="004D7D0A">
        <w:rPr>
          <w:lang w:eastAsia="en-AU"/>
        </w:rPr>
        <w:t>needing</w:t>
      </w:r>
      <w:r w:rsidRPr="00DB5FB9">
        <w:rPr>
          <w:lang w:eastAsia="en-AU"/>
        </w:rPr>
        <w:t xml:space="preserve"> ICA meant that only eight (10%) were aged under 12 months.  Consistent with previous years, more than half (55%) of these children were male </w:t>
      </w:r>
      <w:r w:rsidRPr="00DB5FB9">
        <w:rPr>
          <w:lang w:eastAsia="en-AU"/>
        </w:rPr>
        <w:fldChar w:fldCharType="begin" w:fldLock="1"/>
      </w:r>
      <w:r w:rsidRPr="00DB5FB9">
        <w:rPr>
          <w:lang w:eastAsia="en-AU"/>
        </w:rPr>
        <w:instrText>ADDIN CSL_CITATION { "citationItems" : [ { "id" : "ITEM-1", "itemData" : { "ISBN" : "9781742492681", "author" : [ { "dropping-particle" : "", "family" : "Australian Institute of Health and Welfare", "given" : "", "non-dropping-particle" : "", "parse-names" : false, "suffix" : "" } ], "id" : "ITEM-1", "issue" : "Child Welfare Series No. 62", "issued" : { "date-parts" : [ [ "2015" ] ] }, "title" : "Adoptions Australia 2014-15", "type" : "report" }, "uris" : [ "http://www.mendeley.com/documents/?uuid=99855821-a0a7-4736-95c3-64f21eeff017", "http://www.mendeley.com/documents/?uuid=a7d585c3-f515-438c-b0ba-d8f2bef78cf9" ] } ], "mendeley" : { "formattedCitation" : "(Australian Institute of Health and Welfare 2015)", "plainTextFormattedCitation" : "(Australian Institute of Health and Welfare 2015)", "previouslyFormattedCitation" : "(Australian Institute of Health and Welfare 2015)" }, "properties" : { "noteIndex" : 0 }, "schema" : "https://github.com/citation-style-language/schema/raw/master/csl-citation.json" }</w:instrText>
      </w:r>
      <w:r w:rsidRPr="00DB5FB9">
        <w:rPr>
          <w:lang w:eastAsia="en-AU"/>
        </w:rPr>
        <w:fldChar w:fldCharType="separate"/>
      </w:r>
      <w:r w:rsidRPr="00DB5FB9">
        <w:rPr>
          <w:noProof/>
          <w:lang w:eastAsia="en-AU"/>
        </w:rPr>
        <w:t>(Australian Institute of Health and Welfare 2015)</w:t>
      </w:r>
      <w:r w:rsidRPr="00DB5FB9">
        <w:rPr>
          <w:lang w:eastAsia="en-AU"/>
        </w:rPr>
        <w:fldChar w:fldCharType="end"/>
      </w:r>
      <w:r w:rsidRPr="00DB5FB9">
        <w:rPr>
          <w:lang w:eastAsia="en-AU"/>
        </w:rPr>
        <w:t>.</w:t>
      </w:r>
    </w:p>
    <w:p w14:paraId="7528353A" w14:textId="42CC1B2C" w:rsidR="00DB5FB9" w:rsidRPr="00DB5FB9" w:rsidRDefault="00DB5FB9" w:rsidP="00CF3866">
      <w:pPr>
        <w:pStyle w:val="Paragraph"/>
        <w:rPr>
          <w:lang w:eastAsia="en-AU"/>
        </w:rPr>
      </w:pPr>
      <w:r w:rsidRPr="00DB5FB9">
        <w:rPr>
          <w:lang w:val="en-AU" w:eastAsia="en-AU"/>
        </w:rPr>
        <w:t>These Australian figures reflect global trends, where the numbers of ICAs declined by 17 per</w:t>
      </w:r>
      <w:r w:rsidR="004D7D0A">
        <w:rPr>
          <w:lang w:val="en-AU" w:eastAsia="en-AU"/>
        </w:rPr>
        <w:t xml:space="preserve"> </w:t>
      </w:r>
      <w:r w:rsidRPr="00DB5FB9">
        <w:rPr>
          <w:lang w:val="en-AU" w:eastAsia="en-AU"/>
        </w:rPr>
        <w:t xml:space="preserve">cent between 2004-07, from a peak of 45,000 per year in 2004 </w:t>
      </w:r>
      <w:r w:rsidRPr="00DB5FB9">
        <w:rPr>
          <w:lang w:val="en-AU" w:eastAsia="en-AU"/>
        </w:rPr>
        <w:fldChar w:fldCharType="begin" w:fldLock="1"/>
      </w:r>
      <w:r w:rsidRPr="00DB5FB9">
        <w:rPr>
          <w:lang w:val="en-AU" w:eastAsia="en-AU"/>
        </w:rPr>
        <w:instrText>ADDIN CSL_CITATION { "citationItems" : [ { "id" : "ITEM-1", "itemData" : { "DOI" : "10.1177/0020872809337681", "ISBN" : "0020-8728", "ISSN" : "0020-8728", "abstract" : "Recent developments in intercountry adoption worldwide, based on a demographic analysis of trends in 22 receiving states between 2001 and 2007, are reviewed. The analysis shows a marked decline in the global number of adoptions after a steady rise from the mid-1990s to over 45,000 in 2004.", "author" : [ { "dropping-particle" : "", "family" : "Selman", "given" : "P.", "non-dropping-particle" : "", "parse-names" : false, "suffix" : "" } ], "container-title" : "International Social Work", "id" : "ITEM-1", "issue" : "5", "issued" : { "date-parts" : [ [ "2009" ] ] }, "page" : "575-594", "title" : "The rise and fall of intercountry adoption in the 21st century", "type" : "article-journal", "volume" : "52" }, "uris" : [ "http://www.mendeley.com/documents/?uuid=1b3eb334-96ff-4b65-b899-d19644703924", "http://www.mendeley.com/documents/?uuid=86c3986c-8ccc-411a-b0aa-6f86101f7919" ] } ], "mendeley" : { "formattedCitation" : "(Selman 2009)", "plainTextFormattedCitation" : "(Selman 2009)", "previouslyFormattedCitation" : "(Selman 2009)" }, "properties" : { "noteIndex" : 0 }, "schema" : "https://github.com/citation-style-language/schema/raw/master/csl-citation.json" }</w:instrText>
      </w:r>
      <w:r w:rsidRPr="00DB5FB9">
        <w:rPr>
          <w:lang w:val="en-AU" w:eastAsia="en-AU"/>
        </w:rPr>
        <w:fldChar w:fldCharType="separate"/>
      </w:r>
      <w:r w:rsidRPr="00DB5FB9">
        <w:rPr>
          <w:noProof/>
          <w:lang w:val="en-AU" w:eastAsia="en-AU"/>
        </w:rPr>
        <w:t>(Selman 2009)</w:t>
      </w:r>
      <w:r w:rsidRPr="00DB5FB9">
        <w:rPr>
          <w:lang w:val="en-AU" w:eastAsia="en-AU"/>
        </w:rPr>
        <w:fldChar w:fldCharType="end"/>
      </w:r>
      <w:r w:rsidRPr="00DB5FB9">
        <w:rPr>
          <w:lang w:val="en-AU" w:eastAsia="en-AU"/>
        </w:rPr>
        <w:t>.</w:t>
      </w:r>
    </w:p>
    <w:p w14:paraId="30FF2656" w14:textId="21F7E5AF" w:rsidR="009314E2" w:rsidRDefault="00DB5FB9" w:rsidP="00CF3866">
      <w:pPr>
        <w:pStyle w:val="Paragraph"/>
        <w:rPr>
          <w:lang w:val="en-AU" w:eastAsia="en-AU"/>
        </w:rPr>
      </w:pPr>
      <w:r w:rsidRPr="00DB5FB9">
        <w:rPr>
          <w:lang w:val="en-AU" w:eastAsia="en-AU"/>
        </w:rPr>
        <w:t>Reasons for the decline include</w:t>
      </w:r>
      <w:r w:rsidR="004D7D0A">
        <w:rPr>
          <w:lang w:val="en-AU" w:eastAsia="en-AU"/>
        </w:rPr>
        <w:t>d</w:t>
      </w:r>
      <w:r w:rsidRPr="00DB5FB9">
        <w:rPr>
          <w:lang w:val="en-AU" w:eastAsia="en-AU"/>
        </w:rPr>
        <w:t xml:space="preserve"> changing economic and social factors that decrease the number of children from other countries </w:t>
      </w:r>
      <w:r w:rsidR="004D7D0A">
        <w:rPr>
          <w:lang w:val="en-AU" w:eastAsia="en-AU"/>
        </w:rPr>
        <w:t>needing</w:t>
      </w:r>
      <w:r w:rsidRPr="00DB5FB9">
        <w:rPr>
          <w:lang w:val="en-AU" w:eastAsia="en-AU"/>
        </w:rPr>
        <w:t xml:space="preserve"> adoption in Australia as well as changes to the nature of agreements between Australia and other countries.  </w:t>
      </w:r>
    </w:p>
    <w:p w14:paraId="5EB2530A" w14:textId="1C275233" w:rsidR="00DB5FB9" w:rsidRPr="00DB5FB9" w:rsidRDefault="00DB5FB9" w:rsidP="00CF3866">
      <w:pPr>
        <w:pStyle w:val="Paragraph"/>
        <w:rPr>
          <w:lang w:val="en-AU" w:eastAsia="en-AU"/>
        </w:rPr>
      </w:pPr>
      <w:r w:rsidRPr="00DB5FB9">
        <w:rPr>
          <w:lang w:val="en-AU" w:eastAsia="en-AU"/>
        </w:rPr>
        <w:t xml:space="preserve">In particular, the </w:t>
      </w:r>
      <w:r w:rsidRPr="00C3737D">
        <w:rPr>
          <w:i/>
          <w:lang w:val="en-AU" w:eastAsia="en-AU"/>
        </w:rPr>
        <w:t xml:space="preserve">Hague Convention on </w:t>
      </w:r>
      <w:r w:rsidR="009314E2" w:rsidRPr="00C3737D">
        <w:rPr>
          <w:i/>
          <w:lang w:val="en-AU" w:eastAsia="en-AU"/>
        </w:rPr>
        <w:t>the P</w:t>
      </w:r>
      <w:r w:rsidRPr="00C3737D">
        <w:rPr>
          <w:i/>
          <w:lang w:val="en-AU" w:eastAsia="en-AU"/>
        </w:rPr>
        <w:t xml:space="preserve">rotection of </w:t>
      </w:r>
      <w:r w:rsidR="009314E2" w:rsidRPr="00C3737D">
        <w:rPr>
          <w:i/>
          <w:lang w:val="en-AU" w:eastAsia="en-AU"/>
        </w:rPr>
        <w:t>C</w:t>
      </w:r>
      <w:r w:rsidRPr="00C3737D">
        <w:rPr>
          <w:i/>
          <w:lang w:val="en-AU" w:eastAsia="en-AU"/>
        </w:rPr>
        <w:t xml:space="preserve">hildren and </w:t>
      </w:r>
      <w:r w:rsidR="009314E2" w:rsidRPr="00C3737D">
        <w:rPr>
          <w:i/>
          <w:lang w:val="en-AU" w:eastAsia="en-AU"/>
        </w:rPr>
        <w:t>C</w:t>
      </w:r>
      <w:r w:rsidRPr="00C3737D">
        <w:rPr>
          <w:i/>
          <w:lang w:val="en-AU" w:eastAsia="en-AU"/>
        </w:rPr>
        <w:t xml:space="preserve">ooperation in </w:t>
      </w:r>
      <w:r w:rsidR="009314E2" w:rsidRPr="00C3737D">
        <w:rPr>
          <w:i/>
          <w:lang w:val="en-AU" w:eastAsia="en-AU"/>
        </w:rPr>
        <w:t>R</w:t>
      </w:r>
      <w:r w:rsidRPr="00C3737D">
        <w:rPr>
          <w:i/>
          <w:lang w:val="en-AU" w:eastAsia="en-AU"/>
        </w:rPr>
        <w:t xml:space="preserve">espect of </w:t>
      </w:r>
      <w:r w:rsidR="009314E2" w:rsidRPr="00C3737D">
        <w:rPr>
          <w:i/>
          <w:lang w:val="en-AU" w:eastAsia="en-AU"/>
        </w:rPr>
        <w:t>Intercountry Adoption</w:t>
      </w:r>
      <w:r w:rsidRPr="00DB5FB9">
        <w:rPr>
          <w:lang w:val="en-AU" w:eastAsia="en-AU"/>
        </w:rPr>
        <w:t xml:space="preserve">, signed by Australia in 1998, represented international efforts to ensure that ICA only occurs in the best interests of the child.  This included emphasis on consideration of placement options within the child’s own country as well as measures to prevent the abduction, sale and trafficking of children </w:t>
      </w:r>
      <w:r w:rsidRPr="00DB5FB9">
        <w:rPr>
          <w:lang w:val="en-AU" w:eastAsia="en-AU"/>
        </w:rPr>
        <w:fldChar w:fldCharType="begin" w:fldLock="1"/>
      </w:r>
      <w:r w:rsidRPr="00DB5FB9">
        <w:rPr>
          <w:lang w:val="en-AU" w:eastAsia="en-AU"/>
        </w:rPr>
        <w:instrText>ADDIN CSL_CITATION { "citationItems" : [ { "id" : "ITEM-1", "itemData" : { "URL" : "https://www.hcch.net/en/instruments/conventions/publications1/?cid=69&amp;dtid=32", "accessed" : { "date-parts" : [ [ "2016", "7", "20" ] ] }, "author" : [ { "dropping-particle" : "", "family" : "Hague Conference on Private International Law", "given" : "", "non-dropping-particle" : "", "parse-names" : false, "suffix" : "" } ], "id" : "ITEM-1", "issued" : { "date-parts" : [ [ "2016" ] ] }, "title" : "Convention of 29 May 1993 on Protection of Children and Co-operation in Respect of Intercountry Adoption: statistics", "type" : "webpage" }, "uris" : [ "http://www.mendeley.com/documents/?uuid=0f626d37-d512-494f-a262-0676a13b9a8b" ] } ], "mendeley" : { "formattedCitation" : "(Hague Conference on Private International Law 2016)", "plainTextFormattedCitation" : "(Hague Conference on Private International Law 2016)", "previouslyFormattedCitation" : "(Hague Conference on Private International Law 2016)" }, "properties" : { "noteIndex" : 0 }, "schema" : "https://github.com/citation-style-language/schema/raw/master/csl-citation.json" }</w:instrText>
      </w:r>
      <w:r w:rsidRPr="00DB5FB9">
        <w:rPr>
          <w:lang w:val="en-AU" w:eastAsia="en-AU"/>
        </w:rPr>
        <w:fldChar w:fldCharType="separate"/>
      </w:r>
      <w:r w:rsidRPr="00DB5FB9">
        <w:rPr>
          <w:noProof/>
          <w:lang w:val="en-AU" w:eastAsia="en-AU"/>
        </w:rPr>
        <w:t>(Hague Conference on Private International Law 2016)</w:t>
      </w:r>
      <w:r w:rsidRPr="00DB5FB9">
        <w:rPr>
          <w:lang w:val="en-AU" w:eastAsia="en-AU"/>
        </w:rPr>
        <w:fldChar w:fldCharType="end"/>
      </w:r>
      <w:r w:rsidRPr="00DB5FB9">
        <w:rPr>
          <w:lang w:val="en-AU" w:eastAsia="en-AU"/>
        </w:rPr>
        <w:t xml:space="preserve">.  </w:t>
      </w:r>
    </w:p>
    <w:p w14:paraId="7A289992" w14:textId="575B797D" w:rsidR="00DB5FB9" w:rsidRPr="00DB5FB9" w:rsidRDefault="00DB5FB9" w:rsidP="00CF3866">
      <w:pPr>
        <w:pStyle w:val="Paragraph"/>
        <w:rPr>
          <w:lang w:val="en-AU" w:eastAsia="en-AU"/>
        </w:rPr>
      </w:pPr>
      <w:r w:rsidRPr="00DB5FB9">
        <w:rPr>
          <w:lang w:val="en-AU" w:eastAsia="en-AU"/>
        </w:rPr>
        <w:t>With these changes, the characteristics of available adoptees has</w:t>
      </w:r>
      <w:r w:rsidR="004D7D0A">
        <w:rPr>
          <w:lang w:val="en-AU" w:eastAsia="en-AU"/>
        </w:rPr>
        <w:t xml:space="preserve"> </w:t>
      </w:r>
      <w:r w:rsidRPr="00DB5FB9">
        <w:rPr>
          <w:lang w:val="en-AU" w:eastAsia="en-AU"/>
        </w:rPr>
        <w:t xml:space="preserve">also changed, with a current emphasis in most Australian ICA programmes on older children, siblings groups </w:t>
      </w:r>
      <w:r w:rsidR="00C40285">
        <w:rPr>
          <w:lang w:val="en-AU" w:eastAsia="en-AU"/>
        </w:rPr>
        <w:t>and/</w:t>
      </w:r>
      <w:r w:rsidRPr="00DB5FB9">
        <w:rPr>
          <w:lang w:val="en-AU" w:eastAsia="en-AU"/>
        </w:rPr>
        <w:t xml:space="preserve">or children with special needs </w:t>
      </w:r>
      <w:r w:rsidRPr="00DB5FB9">
        <w:rPr>
          <w:lang w:val="en-AU" w:eastAsia="en-AU"/>
        </w:rPr>
        <w:fldChar w:fldCharType="begin" w:fldLock="1"/>
      </w:r>
      <w:r w:rsidRPr="00DB5FB9">
        <w:rPr>
          <w:lang w:val="en-AU" w:eastAsia="en-AU"/>
        </w:rPr>
        <w:instrText>ADDIN CSL_CITATION { "citationItems" : [ { "id" : "ITEM-1", "itemData" : { "ISBN" : "9781742492681", "author" : [ { "dropping-particle" : "", "family" : "Australian Institute of Health and Welfare", "given" : "", "non-dropping-particle" : "", "parse-names" : false, "suffix" : "" } ], "id" : "ITEM-1", "issue" : "Child Welfare Series No. 62", "issued" : { "date-parts" : [ [ "2015" ] ] }, "title" : "Adoptions Australia 2014-15", "type" : "report" }, "uris" : [ "http://www.mendeley.com/documents/?uuid=a7d585c3-f515-438c-b0ba-d8f2bef78cf9" ] } ], "mendeley" : { "formattedCitation" : "(Australian Institute of Health and Welfare 2015)", "plainTextFormattedCitation" : "(Australian Institute of Health and Welfare 2015)", "previouslyFormattedCitation" : "(Australian Institute of Health and Welfare 2015)" }, "properties" : { "noteIndex" : 0 }, "schema" : "https://github.com/citation-style-language/schema/raw/master/csl-citation.json" }</w:instrText>
      </w:r>
      <w:r w:rsidRPr="00DB5FB9">
        <w:rPr>
          <w:lang w:val="en-AU" w:eastAsia="en-AU"/>
        </w:rPr>
        <w:fldChar w:fldCharType="separate"/>
      </w:r>
      <w:r w:rsidRPr="00DB5FB9">
        <w:rPr>
          <w:noProof/>
          <w:lang w:val="en-AU" w:eastAsia="en-AU"/>
        </w:rPr>
        <w:t>(Australian Institute of Health and Welfare 2015)</w:t>
      </w:r>
      <w:r w:rsidRPr="00DB5FB9">
        <w:rPr>
          <w:lang w:val="en-AU" w:eastAsia="en-AU"/>
        </w:rPr>
        <w:fldChar w:fldCharType="end"/>
      </w:r>
      <w:r w:rsidRPr="00DB5FB9">
        <w:rPr>
          <w:lang w:val="en-AU" w:eastAsia="en-AU"/>
        </w:rPr>
        <w:t xml:space="preserve">. </w:t>
      </w:r>
    </w:p>
    <w:p w14:paraId="0298684F" w14:textId="77777777" w:rsidR="00DB5FB9" w:rsidRPr="00DB5FB9" w:rsidRDefault="00DB5FB9" w:rsidP="00283E1C">
      <w:pPr>
        <w:pStyle w:val="Heading2"/>
      </w:pPr>
      <w:bookmarkStart w:id="18" w:name="_Ref460404397"/>
      <w:bookmarkStart w:id="19" w:name="_Ref460415835"/>
      <w:bookmarkStart w:id="20" w:name="_Ref460419534"/>
      <w:bookmarkStart w:id="21" w:name="_Ref460420013"/>
      <w:bookmarkStart w:id="22" w:name="_Ref460420404"/>
      <w:bookmarkStart w:id="23" w:name="_Ref460423526"/>
      <w:bookmarkStart w:id="24" w:name="_Ref460584925"/>
      <w:bookmarkStart w:id="25" w:name="_Toc490481612"/>
      <w:r w:rsidRPr="00DB5FB9">
        <w:t>Recent Australian ICA reforms</w:t>
      </w:r>
      <w:bookmarkEnd w:id="18"/>
      <w:bookmarkEnd w:id="19"/>
      <w:bookmarkEnd w:id="20"/>
      <w:bookmarkEnd w:id="21"/>
      <w:bookmarkEnd w:id="22"/>
      <w:bookmarkEnd w:id="23"/>
      <w:bookmarkEnd w:id="24"/>
      <w:bookmarkEnd w:id="25"/>
    </w:p>
    <w:p w14:paraId="657635FD" w14:textId="12EF41EC" w:rsidR="00DB5FB9" w:rsidRPr="000F341C" w:rsidRDefault="00DB5FB9" w:rsidP="00283E1C">
      <w:pPr>
        <w:pStyle w:val="Heading3"/>
      </w:pPr>
      <w:bookmarkStart w:id="26" w:name="_Ref464733863"/>
      <w:r w:rsidRPr="000F341C">
        <w:t>An</w:t>
      </w:r>
      <w:r w:rsidR="00504E77" w:rsidRPr="000F341C">
        <w:t>tecedents of the recent reforms</w:t>
      </w:r>
      <w:bookmarkEnd w:id="26"/>
    </w:p>
    <w:p w14:paraId="03021730" w14:textId="346A5508" w:rsidR="00DB5FB9" w:rsidRPr="00DB5FB9" w:rsidRDefault="00DB5FB9" w:rsidP="00CF3866">
      <w:pPr>
        <w:pStyle w:val="Paragraph"/>
      </w:pPr>
      <w:r w:rsidRPr="00DB5FB9">
        <w:t xml:space="preserve">In 1998, Australia ratified the Hague Convention, and, in the same year, a Commonwealth-state agreement for its implementation was signed, defining how the Australian </w:t>
      </w:r>
      <w:r w:rsidR="009314E2">
        <w:t>G</w:t>
      </w:r>
      <w:r w:rsidRPr="00DB5FB9">
        <w:t>overnment Attorney-General’s Department (AGD)—as the Australian Central Authority (ACA) under the Hague Convention—would work with the state and territory central authorities (STCAs) to facilitate ICA (see</w:t>
      </w:r>
      <w:r w:rsidRPr="00F003D9">
        <w:rPr>
          <w:i/>
        </w:rPr>
        <w:t xml:space="preserve"> Section </w:t>
      </w:r>
      <w:r w:rsidRPr="00F003D9">
        <w:rPr>
          <w:i/>
          <w:highlight w:val="yellow"/>
        </w:rPr>
        <w:fldChar w:fldCharType="begin"/>
      </w:r>
      <w:r w:rsidRPr="00F003D9">
        <w:rPr>
          <w:i/>
        </w:rPr>
        <w:instrText xml:space="preserve"> REF _Ref458173282 \w \h </w:instrText>
      </w:r>
      <w:r w:rsidR="00CF3866" w:rsidRPr="00F003D9">
        <w:rPr>
          <w:i/>
          <w:highlight w:val="yellow"/>
        </w:rPr>
        <w:instrText xml:space="preserve"> \* MERGEFORMAT </w:instrText>
      </w:r>
      <w:r w:rsidRPr="00F003D9">
        <w:rPr>
          <w:i/>
          <w:highlight w:val="yellow"/>
        </w:rPr>
      </w:r>
      <w:r w:rsidRPr="00F003D9">
        <w:rPr>
          <w:i/>
          <w:highlight w:val="yellow"/>
        </w:rPr>
        <w:fldChar w:fldCharType="separate"/>
      </w:r>
      <w:r w:rsidR="00487073">
        <w:rPr>
          <w:i/>
        </w:rPr>
        <w:t>3.3</w:t>
      </w:r>
      <w:r w:rsidRPr="00F003D9">
        <w:rPr>
          <w:i/>
          <w:highlight w:val="yellow"/>
        </w:rPr>
        <w:fldChar w:fldCharType="end"/>
      </w:r>
      <w:r w:rsidRPr="00F003D9">
        <w:rPr>
          <w:i/>
        </w:rPr>
        <w:t xml:space="preserve"> </w:t>
      </w:r>
      <w:r w:rsidRPr="00DB5FB9">
        <w:t xml:space="preserve">for further detail).  The agreement was renegotiated in 2008, in response to recommendations of a 2005 report on ICA from the House of Representatives Standing Committee on Family and Human Services </w:t>
      </w:r>
      <w:r w:rsidRPr="00DB5FB9">
        <w:fldChar w:fldCharType="begin" w:fldLock="1"/>
      </w:r>
      <w:r w:rsidRPr="00DB5FB9">
        <w:instrText>ADDIN CSL_CITATION { "citationItems" : [ { "id" : "ITEM-1", "itemData" : { "author" : [ { "dropping-particle" : "", "family" : "House Standing Committee on Family and Human Services", "given" : "", "non-dropping-particle" : "", "parse-names" : false, "suffix" : "" } ], "id" : "ITEM-1", "issued" : { "date-parts" : [ [ "2005" ] ] }, "publisher" : "Commonwealth of Australia", "publisher-place" : "Canberra", "title" : "Overseas adoption in Australia", "type" : "book" }, "uris" : [ "http://www.mendeley.com/documents/?uuid=a4afcdf4-1ae9-46f4-87a7-fed38d961f5e", "http://www.mendeley.com/documents/?uuid=3276771f-7e45-455d-9729-9730def7eadc" ] } ], "mendeley" : { "formattedCitation" : "(House Standing Committee on Family and Human Services 2005)", "plainTextFormattedCitation" : "(House Standing Committee on Family and Human Services 2005)", "previouslyFormattedCitation" : "(House Standing Committee on Family and Human Services 2005)" }, "properties" : { "noteIndex" : 0 }, "schema" : "https://github.com/citation-style-language/schema/raw/master/csl-citation.json" }</w:instrText>
      </w:r>
      <w:r w:rsidRPr="00DB5FB9">
        <w:fldChar w:fldCharType="separate"/>
      </w:r>
      <w:r w:rsidRPr="00DB5FB9">
        <w:rPr>
          <w:noProof/>
        </w:rPr>
        <w:t>(House Standing Committee on Family and Human Services 2005)</w:t>
      </w:r>
      <w:r w:rsidRPr="00DB5FB9">
        <w:fldChar w:fldCharType="end"/>
      </w:r>
      <w:r w:rsidRPr="00DB5FB9">
        <w:t>.</w:t>
      </w:r>
    </w:p>
    <w:p w14:paraId="02402B9D" w14:textId="585BD7C5" w:rsidR="00DB5FB9" w:rsidRPr="00DB5FB9" w:rsidRDefault="00DB5FB9" w:rsidP="00CF3866">
      <w:pPr>
        <w:pStyle w:val="Paragraph"/>
      </w:pPr>
      <w:r w:rsidRPr="00DB5FB9">
        <w:t>An ICA ‘harmonisation working group’, chaired by AGD with representation from each STCA, was set up in 2008 to “progress the harmonisation of ICA legislation</w:t>
      </w:r>
      <w:r w:rsidR="009314E2">
        <w:t xml:space="preserve"> </w:t>
      </w:r>
      <w:r w:rsidRPr="00DB5FB9">
        <w:t xml:space="preserve">and administrative procedures, to achieve best practice”.  While the working group achieved some successes in better aligning some policy and practice issues and developing communications and resources, </w:t>
      </w:r>
      <w:r w:rsidR="00FA192D">
        <w:t xml:space="preserve">there still remains </w:t>
      </w:r>
      <w:r w:rsidR="00A27789">
        <w:t>inconsistencies</w:t>
      </w:r>
      <w:r w:rsidR="00FA192D">
        <w:t xml:space="preserve"> between procedures, participation in country programs, eligibility criteria and fees involved in the intercountry adoption process in each </w:t>
      </w:r>
      <w:r w:rsidR="00FA192D" w:rsidRPr="00FA192D">
        <w:t>jurisdiction</w:t>
      </w:r>
      <w:r w:rsidRPr="00FA192D">
        <w:fldChar w:fldCharType="begin" w:fldLock="1"/>
      </w:r>
      <w:r w:rsidRPr="00FA192D">
        <w:instrText>ADDIN CSL_CITATION { "citationItems" : [ { "id" : "ITEM-1", "itemData" : { "author" : [ { "dropping-particle" : "", "family" : "Department of the Prime Minister and Cabinet", "given" : "", "non-dropping-particle" : "", "parse-names" : false, "suffix" : "" } ], "id" : "ITEM-1", "issued" : { "date-parts" : [ [ "2014" ] ] }, "title" : "Report of the Interdepartmental Committee on Intercountry Adoption", "type" : "report" }, "uris" : [ "http://www.mendeley.com/documents/?uuid=330ffba5-453a-408b-b602-2fc19a74a927" ] } ], "mendeley" : { "formattedCitation" : "(Department of the Prime Minister and Cabinet 2014)", "plainTextFormattedCitation" : "(Department of the Prime Minister and Cabinet 2014)", "previouslyFormattedCitation" : "(Department of the Prime Minister and Cabinet 2014)" }, "properties" : { "noteIndex" : 0 }, "schema" : "https://github.com/citation-style-language/schema/raw/master/csl-citation.json" }</w:instrText>
      </w:r>
      <w:r w:rsidRPr="00FA192D">
        <w:fldChar w:fldCharType="separate"/>
      </w:r>
      <w:r w:rsidRPr="00FA192D">
        <w:rPr>
          <w:noProof/>
        </w:rPr>
        <w:t>(Department of the Prime Minister and Cabinet 2014)</w:t>
      </w:r>
      <w:r w:rsidRPr="00FA192D">
        <w:fldChar w:fldCharType="end"/>
      </w:r>
      <w:r w:rsidRPr="00FA192D">
        <w:t>.</w:t>
      </w:r>
    </w:p>
    <w:p w14:paraId="72D5C8BA" w14:textId="49E1CE9B" w:rsidR="00DB5FB9" w:rsidRPr="00DB5FB9" w:rsidRDefault="00DB5FB9" w:rsidP="00504E77">
      <w:pPr>
        <w:pStyle w:val="Paragraph"/>
      </w:pPr>
      <w:r w:rsidRPr="00DB5FB9">
        <w:t xml:space="preserve">In late 2013, the Department of Prime Minister and Cabinet announced the establishment of an Interdepartmental Committee (IDC) on ICA, including representation from the Department of Social </w:t>
      </w:r>
      <w:r w:rsidRPr="00DB5FB9">
        <w:lastRenderedPageBreak/>
        <w:t xml:space="preserve">Services (DSS), the Attorney-General’s Department (AGD), Department of Foreign Affairs and Trade (DFAT) and the Department of Immigration and Border Protection (DIBP).  The aim of the IDC was to “provide strategic direction and coordination to the further development and implementation of the new national model” for ICA, with DSS as the lead </w:t>
      </w:r>
      <w:r w:rsidR="00F5093A">
        <w:fldChar w:fldCharType="begin" w:fldLock="1"/>
      </w:r>
      <w:r w:rsidR="00F5093A">
        <w:instrText>ADDIN CSL_CITATION { "citationItems" : [ { "id" : "ITEM-1", "itemData" : { "author" : [ { "dropping-particle" : "", "family" : "Department", "given" : "Australian Government Department of Social Services and Attorney-General's", "non-dropping-particle" : "", "parse-names" : false, "suffix" : "" } ], "id" : "ITEM-1", "issued" : { "date-parts" : [ [ "2015" ] ] }, "publisher-place" : "Canberra", "title" : "Intercountry Adoption Reform: Implementation Plan", "type" : "report" }, "prefix" : "Intercountry Adoption Reform: Implementation Plan", "suppress-author" : 1, "uris" : [ "http://www.mendeley.com/documents/?uuid=c63de2ba-0b90-4802-a065-fb47ac7ca77f" ] } ], "mendeley" : { "formattedCitation" : "(Intercountry Adoption Reform: Implementation Plan 2015)", "plainTextFormattedCitation" : "(Intercountry Adoption Reform: Implementation Plan 2015)", "previouslyFormattedCitation" : "(Intercountry Adoption Reform: Implementation Plan 2015)" }, "properties" : { "noteIndex" : 0 }, "schema" : "https://github.com/citation-style-language/schema/raw/master/csl-citation.json" }</w:instrText>
      </w:r>
      <w:r w:rsidR="00F5093A">
        <w:fldChar w:fldCharType="separate"/>
      </w:r>
      <w:r w:rsidR="00F5093A" w:rsidRPr="006812F2">
        <w:rPr>
          <w:i/>
          <w:noProof/>
        </w:rPr>
        <w:t xml:space="preserve">(Intercountry Adoption Reform: Implementation Plan </w:t>
      </w:r>
      <w:r w:rsidR="00F5093A" w:rsidRPr="006812F2">
        <w:rPr>
          <w:noProof/>
        </w:rPr>
        <w:t>2015)</w:t>
      </w:r>
      <w:r w:rsidR="00F5093A">
        <w:fldChar w:fldCharType="end"/>
      </w:r>
      <w:r w:rsidR="00F5093A">
        <w:t>.</w:t>
      </w:r>
    </w:p>
    <w:p w14:paraId="0E827C3B" w14:textId="4466C4C6" w:rsidR="00DB5FB9" w:rsidRPr="00DB5FB9" w:rsidRDefault="00DB5FB9" w:rsidP="00E07D8E">
      <w:pPr>
        <w:pStyle w:val="Paragraph"/>
      </w:pPr>
      <w:r w:rsidRPr="00DB5FB9">
        <w:t>In 2014, the IDC released a report detailing issues in the current ICA process in Australia and outlining key recommendations for reform.  The terms of reference for the IDC included identification of:</w:t>
      </w:r>
    </w:p>
    <w:p w14:paraId="3EE4AE96" w14:textId="77777777" w:rsidR="00DB5FB9" w:rsidRPr="00DB5FB9" w:rsidRDefault="00DB5FB9" w:rsidP="00504E77">
      <w:pPr>
        <w:pStyle w:val="Bullet1"/>
      </w:pPr>
      <w:r w:rsidRPr="00DB5FB9">
        <w:t>Current impediments to ICA</w:t>
      </w:r>
    </w:p>
    <w:p w14:paraId="660A9173" w14:textId="77777777" w:rsidR="00DB5FB9" w:rsidRPr="00DB5FB9" w:rsidRDefault="00DB5FB9" w:rsidP="00504E77">
      <w:pPr>
        <w:pStyle w:val="Bullet1"/>
      </w:pPr>
      <w:r w:rsidRPr="00DB5FB9">
        <w:t>Options for immediate improvement and streamlining of ICA service delivery to make ICA “easier and faster” for Australian couples</w:t>
      </w:r>
    </w:p>
    <w:p w14:paraId="3E7AC444" w14:textId="77777777" w:rsidR="00DB5FB9" w:rsidRPr="00DB5FB9" w:rsidRDefault="00DB5FB9" w:rsidP="00504E77">
      <w:pPr>
        <w:pStyle w:val="Bullet1"/>
      </w:pPr>
      <w:r w:rsidRPr="00DB5FB9">
        <w:t>Recommended longer-term reforms</w:t>
      </w:r>
    </w:p>
    <w:p w14:paraId="06C8363B" w14:textId="77777777" w:rsidR="00DB5FB9" w:rsidRPr="00DB5FB9" w:rsidRDefault="00DB5FB9" w:rsidP="00504E77">
      <w:pPr>
        <w:pStyle w:val="Bullet1"/>
      </w:pPr>
      <w:r w:rsidRPr="00DB5FB9">
        <w:t>Potential partner countries for new ICA programmes</w:t>
      </w:r>
    </w:p>
    <w:p w14:paraId="49D51A86" w14:textId="77777777" w:rsidR="00DB5FB9" w:rsidRPr="002E6579" w:rsidRDefault="00DB5FB9" w:rsidP="00504E77">
      <w:pPr>
        <w:pStyle w:val="Bullet1"/>
      </w:pPr>
      <w:r w:rsidRPr="002E6579">
        <w:t>Alternative arrangements for delivering ICA programmes</w:t>
      </w:r>
    </w:p>
    <w:p w14:paraId="0F675D26" w14:textId="05B80E47" w:rsidR="00DB5FB9" w:rsidRPr="002E6579" w:rsidRDefault="00DB5FB9" w:rsidP="00504E77">
      <w:pPr>
        <w:pStyle w:val="Bullet1"/>
      </w:pPr>
      <w:r w:rsidRPr="002E6579">
        <w:t xml:space="preserve">Changes to Commonwealth or state legislation that would improve and streamline the process </w:t>
      </w:r>
      <w:r w:rsidRPr="002E6579">
        <w:fldChar w:fldCharType="begin" w:fldLock="1"/>
      </w:r>
      <w:r w:rsidRPr="002E6579">
        <w:instrText>ADDIN CSL_CITATION { "citationItems" : [ { "id" : "ITEM-1", "itemData" : { "author" : [ { "dropping-particle" : "", "family" : "Department of the Prime Minister and Cabinet", "given" : "", "non-dropping-particle" : "", "parse-names" : false, "suffix" : "" } ], "id" : "ITEM-1", "issued" : { "date-parts" : [ [ "2014" ] ] }, "title" : "Report of the Interdepartmental Committee on Intercountry Adoption", "type" : "report" }, "uris" : [ "http://www.mendeley.com/documents/?uuid=330ffba5-453a-408b-b602-2fc19a74a927" ] } ], "mendeley" : { "formattedCitation" : "(Department of the Prime Minister and Cabinet 2014)", "plainTextFormattedCitation" : "(Department of the Prime Minister and Cabinet 2014)", "previouslyFormattedCitation" : "(Department of the Prime Minister and Cabinet 2014)" }, "properties" : { "noteIndex" : 0 }, "schema" : "https://github.com/citation-style-language/schema/raw/master/csl-citation.json" }</w:instrText>
      </w:r>
      <w:r w:rsidRPr="002E6579">
        <w:fldChar w:fldCharType="separate"/>
      </w:r>
      <w:r w:rsidRPr="002E6579">
        <w:rPr>
          <w:noProof/>
        </w:rPr>
        <w:t>(Department of the Prime Minister and Cabinet 2014)</w:t>
      </w:r>
      <w:r w:rsidRPr="002E6579">
        <w:fldChar w:fldCharType="end"/>
      </w:r>
      <w:r w:rsidRPr="002E6579">
        <w:t>.</w:t>
      </w:r>
    </w:p>
    <w:p w14:paraId="0B6D45D0" w14:textId="77777777" w:rsidR="00DB5FB9" w:rsidRPr="00DB5FB9" w:rsidRDefault="00DB5FB9" w:rsidP="00504E77">
      <w:pPr>
        <w:pStyle w:val="Paragraph"/>
        <w:rPr>
          <w:lang w:eastAsia="en-AU"/>
        </w:rPr>
      </w:pPr>
      <w:r w:rsidRPr="002E6579">
        <w:rPr>
          <w:lang w:eastAsia="en-AU"/>
        </w:rPr>
        <w:t>While the Council of Australian Governments</w:t>
      </w:r>
      <w:r w:rsidRPr="00DB5FB9">
        <w:rPr>
          <w:lang w:eastAsia="en-AU"/>
        </w:rPr>
        <w:t xml:space="preserve"> (COAG) originally agreed in principle to the establishment of a new national model for ICA service provision </w:t>
      </w:r>
      <w:r w:rsidRPr="00DB5FB9">
        <w:rPr>
          <w:lang w:eastAsia="en-AU"/>
        </w:rPr>
        <w:fldChar w:fldCharType="begin" w:fldLock="1"/>
      </w:r>
      <w:r w:rsidRPr="00DB5FB9">
        <w:rPr>
          <w:lang w:eastAsia="en-AU"/>
        </w:rPr>
        <w:instrText>ADDIN CSL_CITATION { "citationItems" : [ { "id" : "ITEM-1", "itemData" : { "author" : [ { "dropping-particle" : "", "family" : "Council of Australian Governments", "given" : "", "non-dropping-particle" : "", "parse-names" : false, "suffix" : "" } ], "id" : "ITEM-1", "issued" : { "date-parts" : [ [ "2014" ] ] }, "publisher-place" : "Canberra", "title" : "COAG communique", "type" : "book" }, "uris" : [ "http://www.mendeley.com/documents/?uuid=7b99b65e-6f38-46f1-ac9f-cd8e11b4e30e" ] } ], "mendeley" : { "formattedCitation" : "(Council of Australian Governments 2014a)", "plainTextFormattedCitation" : "(Council of Australian Governments 2014a)", "previouslyFormattedCitation" : "(Council of Australian Governments 2014a)" }, "properties" : { "noteIndex" : 0 }, "schema" : "https://github.com/citation-style-language/schema/raw/master/csl-citation.json" }</w:instrText>
      </w:r>
      <w:r w:rsidRPr="00DB5FB9">
        <w:rPr>
          <w:lang w:eastAsia="en-AU"/>
        </w:rPr>
        <w:fldChar w:fldCharType="separate"/>
      </w:r>
      <w:r w:rsidRPr="00DB5FB9">
        <w:rPr>
          <w:noProof/>
          <w:lang w:eastAsia="en-AU"/>
        </w:rPr>
        <w:t>(Council of Australian Governments 2014a)</w:t>
      </w:r>
      <w:r w:rsidRPr="00DB5FB9">
        <w:rPr>
          <w:lang w:eastAsia="en-AU"/>
        </w:rPr>
        <w:fldChar w:fldCharType="end"/>
      </w:r>
      <w:r w:rsidRPr="00DB5FB9">
        <w:rPr>
          <w:lang w:eastAsia="en-AU"/>
        </w:rPr>
        <w:t xml:space="preserve">, by October it confirmed that STCAs would retain responsibility for ICA processes </w:t>
      </w:r>
      <w:r w:rsidRPr="00DB5FB9">
        <w:rPr>
          <w:lang w:eastAsia="en-AU"/>
        </w:rPr>
        <w:fldChar w:fldCharType="begin" w:fldLock="1"/>
      </w:r>
      <w:r w:rsidRPr="00DB5FB9">
        <w:rPr>
          <w:lang w:eastAsia="en-AU"/>
        </w:rPr>
        <w:instrText>ADDIN CSL_CITATION { "citationItems" : [ { "id" : "ITEM-1", "itemData" : { "author" : [ { "dropping-particle" : "", "family" : "Council of Australian Governments", "given" : "", "non-dropping-particle" : "", "parse-names" : false, "suffix" : "" } ], "edition" : "October", "id" : "ITEM-1", "issued" : { "date-parts" : [ [ "2014" ] ] }, "publisher-place" : "Canberra", "title" : "COAG Communique", "type" : "book" }, "uris" : [ "http://www.mendeley.com/documents/?uuid=b2353f18-62bf-4cdb-bfe1-481f4d500054" ] } ], "mendeley" : { "formattedCitation" : "(Council of Australian Governments 2014b)", "plainTextFormattedCitation" : "(Council of Australian Governments 2014b)", "previouslyFormattedCitation" : "(Council of Australian Governments 2014b)" }, "properties" : { "noteIndex" : 0 }, "schema" : "https://github.com/citation-style-language/schema/raw/master/csl-citation.json" }</w:instrText>
      </w:r>
      <w:r w:rsidRPr="00DB5FB9">
        <w:rPr>
          <w:lang w:eastAsia="en-AU"/>
        </w:rPr>
        <w:fldChar w:fldCharType="separate"/>
      </w:r>
      <w:r w:rsidRPr="00DB5FB9">
        <w:rPr>
          <w:noProof/>
          <w:lang w:eastAsia="en-AU"/>
        </w:rPr>
        <w:t>(Council of Australian Governments 2014b)</w:t>
      </w:r>
      <w:r w:rsidRPr="00DB5FB9">
        <w:rPr>
          <w:lang w:eastAsia="en-AU"/>
        </w:rPr>
        <w:fldChar w:fldCharType="end"/>
      </w:r>
      <w:r w:rsidRPr="00DB5FB9">
        <w:rPr>
          <w:lang w:eastAsia="en-AU"/>
        </w:rPr>
        <w:t>.</w:t>
      </w:r>
    </w:p>
    <w:p w14:paraId="7A1BE937" w14:textId="77777777" w:rsidR="00DB5FB9" w:rsidRPr="00DB5FB9" w:rsidRDefault="00DB5FB9" w:rsidP="00283E1C">
      <w:pPr>
        <w:pStyle w:val="Heading3"/>
      </w:pPr>
      <w:bookmarkStart w:id="27" w:name="_Ref462818988"/>
      <w:r w:rsidRPr="00DB5FB9">
        <w:t>Australia’s current ICA reform</w:t>
      </w:r>
      <w:bookmarkEnd w:id="27"/>
    </w:p>
    <w:p w14:paraId="1BCEED13" w14:textId="175AF4CC" w:rsidR="00DB5FB9" w:rsidRPr="00DB5FB9" w:rsidRDefault="00DB5FB9" w:rsidP="00504E77">
      <w:pPr>
        <w:pStyle w:val="Paragraph"/>
      </w:pPr>
      <w:r w:rsidRPr="00DB5FB9">
        <w:t>The recommendations of the IDC r</w:t>
      </w:r>
      <w:r w:rsidR="008D750F">
        <w:t xml:space="preserve">esulted in the introduction of </w:t>
      </w:r>
      <w:r w:rsidRPr="00DB5FB9">
        <w:t xml:space="preserve">a range of measures designed to “reduce the barriers facing Australian families wanting to adopt from overseas” </w:t>
      </w:r>
      <w:r w:rsidRPr="00DB5FB9">
        <w:fldChar w:fldCharType="begin" w:fldLock="1"/>
      </w:r>
      <w:r w:rsidRPr="00DB5FB9">
        <w:instrText>ADDIN CSL_CITATION { "citationItems" : [ { "id" : "ITEM-1", "itemData" : { "URL" : "https://www.ag.gov.au/FamiliesAndMarriage/IntercountryAdoption/Pages/reforms.aspx", "accessed" : { "date-parts" : [ [ "2016", "7", "27" ] ] }, "author" : [ { "dropping-particle" : "", "family" : "Australian Government Attorney-General's Department", "given" : "", "non-dropping-particle" : "", "parse-names" : false, "suffix" : "" } ], "id" : "ITEM-1", "issued" : { "date-parts" : [ [ "0" ] ] }, "title" : "Intercountry adoption reforms", "type" : "webpage" }, "uris" : [ "http://www.mendeley.com/documents/?uuid=7830a214-9ce0-4933-b182-1958469d280e" ] } ], "mendeley" : { "formattedCitation" : "(Australian Government Attorney-General\u2019s Department n.d.)", "plainTextFormattedCitation" : "(Australian Government Attorney-General\u2019s Department n.d.)", "previouslyFormattedCitation" : "(Australian Government Attorney-General\u2019s Department n.d.)" }, "properties" : { "noteIndex" : 0 }, "schema" : "https://github.com/citation-style-language/schema/raw/master/csl-citation.json" }</w:instrText>
      </w:r>
      <w:r w:rsidRPr="00DB5FB9">
        <w:fldChar w:fldCharType="separate"/>
      </w:r>
      <w:r w:rsidRPr="00DB5FB9">
        <w:rPr>
          <w:noProof/>
        </w:rPr>
        <w:t>(Australian Government Attorney-General’s Department n.d.)</w:t>
      </w:r>
      <w:r w:rsidRPr="00DB5FB9">
        <w:fldChar w:fldCharType="end"/>
      </w:r>
      <w:r w:rsidRPr="00DB5FB9">
        <w:t xml:space="preserve">.  Three tranches of reform were identified, including governance arrangements, the establishment of a new support service (see </w:t>
      </w:r>
      <w:r w:rsidRPr="00DB5FB9">
        <w:rPr>
          <w:i/>
          <w:iCs/>
        </w:rPr>
        <w:t xml:space="preserve">Section </w:t>
      </w:r>
      <w:r w:rsidRPr="00DB5FB9">
        <w:fldChar w:fldCharType="begin"/>
      </w:r>
      <w:r w:rsidRPr="00DB5FB9">
        <w:instrText xml:space="preserve"> REF _Ref457987073 \r \h  \* MERGEFORMAT </w:instrText>
      </w:r>
      <w:r w:rsidRPr="00DB5FB9">
        <w:fldChar w:fldCharType="separate"/>
      </w:r>
      <w:r w:rsidR="00487073" w:rsidRPr="00487073">
        <w:rPr>
          <w:i/>
          <w:iCs/>
        </w:rPr>
        <w:t>2.4.3</w:t>
      </w:r>
      <w:r w:rsidRPr="00DB5FB9">
        <w:fldChar w:fldCharType="end"/>
      </w:r>
      <w:r w:rsidRPr="00DB5FB9">
        <w:t>), research to build the evidence base and improving existing programs (including enhancement of in-country support) and establishing new overseas programs</w:t>
      </w:r>
      <w:r w:rsidR="00F5093A">
        <w:t xml:space="preserve"> (</w:t>
      </w:r>
      <w:r w:rsidR="00F5093A">
        <w:rPr>
          <w:i/>
        </w:rPr>
        <w:t xml:space="preserve">Intercountry Adoption Reform: Implementation Plan </w:t>
      </w:r>
      <w:r w:rsidR="005263DE">
        <w:t>2015)</w:t>
      </w:r>
      <w:r w:rsidRPr="00DB5FB9">
        <w:t xml:space="preserve"> </w:t>
      </w:r>
    </w:p>
    <w:p w14:paraId="6C69C2BF" w14:textId="77777777" w:rsidR="00DB5FB9" w:rsidRPr="00DB5FB9" w:rsidRDefault="00DB5FB9" w:rsidP="00504E77">
      <w:pPr>
        <w:pStyle w:val="Paragraph"/>
      </w:pPr>
      <w:r w:rsidRPr="00DB5FB9">
        <w:t xml:space="preserve">As part of the reforms, legislative changes have recently been passed to simplify citizenship processes for children adopted through bilateral ICA arrangements (i.e. currently those from South Korea or Taiwan), to match processes already in place for Hague Convention ICAs.  These changes allow these children to attain citizenship and an Australian passport prior to entering Australia </w:t>
      </w:r>
      <w:r w:rsidRPr="00DB5FB9">
        <w:fldChar w:fldCharType="begin" w:fldLock="1"/>
      </w:r>
      <w:r w:rsidRPr="00DB5FB9">
        <w:instrText>ADDIN CSL_CITATION { "citationItems" : [ { "id" : "ITEM-1", "itemData" : { "URL" : "https://www.ag.gov.au/FamiliesAndMarriage/IntercountryAdoption/Pages/reforms.aspx", "accessed" : { "date-parts" : [ [ "2016", "7", "27" ] ] }, "author" : [ { "dropping-particle" : "", "family" : "Australian Government Attorney-General's Department", "given" : "", "non-dropping-particle" : "", "parse-names" : false, "suffix" : "" } ], "id" : "ITEM-1", "issued" : { "date-parts" : [ [ "0" ] ] }, "title" : "Intercountry adoption reforms", "type" : "webpage" }, "uris" : [ "http://www.mendeley.com/documents/?uuid=7830a214-9ce0-4933-b182-1958469d280e" ] } ], "mendeley" : { "formattedCitation" : "(Australian Government Attorney-General\u2019s Department n.d.)", "plainTextFormattedCitation" : "(Australian Government Attorney-General\u2019s Department n.d.)", "previouslyFormattedCitation" : "(Australian Government Attorney-General\u2019s Department n.d.)" }, "properties" : { "noteIndex" : 0 }, "schema" : "https://github.com/citation-style-language/schema/raw/master/csl-citation.json" }</w:instrText>
      </w:r>
      <w:r w:rsidRPr="00DB5FB9">
        <w:fldChar w:fldCharType="separate"/>
      </w:r>
      <w:r w:rsidRPr="00DB5FB9">
        <w:rPr>
          <w:noProof/>
        </w:rPr>
        <w:t>(Australian Government Attorney-General’s Department n.d.)</w:t>
      </w:r>
      <w:r w:rsidRPr="00DB5FB9">
        <w:fldChar w:fldCharType="end"/>
      </w:r>
      <w:r w:rsidRPr="00DB5FB9">
        <w:t>.</w:t>
      </w:r>
    </w:p>
    <w:p w14:paraId="30611937" w14:textId="3A8A7AB7" w:rsidR="00DB5FB9" w:rsidRPr="00DB5FB9" w:rsidRDefault="00DB5FB9" w:rsidP="00504E77">
      <w:pPr>
        <w:pStyle w:val="Paragraph"/>
      </w:pPr>
      <w:r w:rsidRPr="00DB5FB9">
        <w:t>In addition, new ICA programs have been opened with</w:t>
      </w:r>
      <w:r w:rsidR="002E6579">
        <w:t xml:space="preserve"> Bulgaria</w:t>
      </w:r>
      <w:r w:rsidR="00CA0BB3">
        <w:t xml:space="preserve"> (in May 2016)</w:t>
      </w:r>
      <w:r w:rsidR="002E6579">
        <w:t>, Poland and Latvia</w:t>
      </w:r>
      <w:r w:rsidR="00CA0BB3">
        <w:t xml:space="preserve"> (both in November 2015)</w:t>
      </w:r>
      <w:r w:rsidR="002E6579">
        <w:t>.</w:t>
      </w:r>
    </w:p>
    <w:p w14:paraId="18112854" w14:textId="31039838" w:rsidR="00DB5FB9" w:rsidRPr="00DB5FB9" w:rsidRDefault="00DB5FB9" w:rsidP="00283E1C">
      <w:pPr>
        <w:pStyle w:val="Heading3"/>
      </w:pPr>
      <w:bookmarkStart w:id="28" w:name="_Ref457987073"/>
      <w:r w:rsidRPr="00DB5FB9">
        <w:t>Intercountry Adoption Australia (IAA)</w:t>
      </w:r>
      <w:bookmarkEnd w:id="28"/>
    </w:p>
    <w:p w14:paraId="6544CDB8" w14:textId="0A477532" w:rsidR="00DB5FB9" w:rsidRPr="00DB5FB9" w:rsidRDefault="00DB5FB9" w:rsidP="00504E77">
      <w:pPr>
        <w:pStyle w:val="Paragraph"/>
      </w:pPr>
      <w:r w:rsidRPr="00DB5FB9">
        <w:t xml:space="preserve">In January 2015, in response to the 2014 IDC report, the establishment of a new service, Intercountry Adoption Australia (IAA) was announced.  Funding for family support services was also announced </w:t>
      </w:r>
      <w:r w:rsidR="007F31EA">
        <w:t xml:space="preserve">which resulted in the appointment of LifeWorks, </w:t>
      </w:r>
      <w:r w:rsidR="007F31EA" w:rsidRPr="007F31EA">
        <w:t>in partnership with I</w:t>
      </w:r>
      <w:r w:rsidR="007F31EA">
        <w:t>SS</w:t>
      </w:r>
      <w:r w:rsidR="007F31EA" w:rsidRPr="007F31EA">
        <w:t xml:space="preserve"> Australia, </w:t>
      </w:r>
      <w:r w:rsidR="007F31EA">
        <w:t>to</w:t>
      </w:r>
      <w:r w:rsidR="007F31EA" w:rsidRPr="007F31EA">
        <w:t xml:space="preserve"> deliver a broad range of counselling, education and support services nationally to help families engaged in intercountry </w:t>
      </w:r>
      <w:r w:rsidR="007F31EA" w:rsidRPr="007F31EA">
        <w:lastRenderedPageBreak/>
        <w:t>adoption, and children and families after the adoption is finalised</w:t>
      </w:r>
      <w:r w:rsidR="007F31EA">
        <w:t xml:space="preserve"> </w:t>
      </w:r>
      <w:r w:rsidRPr="00DB5FB9">
        <w:fldChar w:fldCharType="begin" w:fldLock="1"/>
      </w:r>
      <w:r w:rsidRPr="00DB5FB9">
        <w:instrText>ADDIN CSL_CITATION { "citationItems" : [ { "id" : "ITEM-1", "itemData" : { "URL" : "https://pmtranscripts.dpmc.gov.au/release/transcript-24143", "accessed" : { "date-parts" : [ [ "2016", "7", "27" ] ] }, "author" : [ { "dropping-particle" : "", "family" : "Australian Government Department of Prime Minister and Cabinet", "given" : "", "non-dropping-particle" : "", "parse-names" : false, "suffix" : "" } ], "id" : "ITEM-1", "issued" : { "date-parts" : [ [ "2015" ] ] }, "title" : "Intercountry adoption support service to help families", "type" : "webpage" }, "uris" : [ "http://www.mendeley.com/documents/?uuid=056ef7cd-f6b3-4d9b-b9c7-042b978c603e" ] } ], "mendeley" : { "formattedCitation" : "(Australian Government Department of Prime Minister and Cabinet 2015)", "plainTextFormattedCitation" : "(Australian Government Department of Prime Minister and Cabinet 2015)", "previouslyFormattedCitation" : "(Australian Government Department of Prime Minister and Cabinet 2015)" }, "properties" : { "noteIndex" : 0 }, "schema" : "https://github.com/citation-style-language/schema/raw/master/csl-citation.json" }</w:instrText>
      </w:r>
      <w:r w:rsidRPr="00DB5FB9">
        <w:fldChar w:fldCharType="separate"/>
      </w:r>
      <w:r w:rsidRPr="00DB5FB9">
        <w:rPr>
          <w:noProof/>
        </w:rPr>
        <w:t>(Australian Government Department of Prime Minister and Cabinet 2015)</w:t>
      </w:r>
      <w:r w:rsidRPr="00DB5FB9">
        <w:fldChar w:fldCharType="end"/>
      </w:r>
      <w:r w:rsidRPr="00DB5FB9">
        <w:t>.</w:t>
      </w:r>
    </w:p>
    <w:p w14:paraId="1B94F652" w14:textId="2BAD25AD" w:rsidR="00DB5FB9" w:rsidRPr="00DB5FB9" w:rsidRDefault="00DB5FB9" w:rsidP="00504E77">
      <w:pPr>
        <w:pStyle w:val="Paragraph"/>
      </w:pPr>
      <w:r w:rsidRPr="00DB5FB9">
        <w:t>IAA was launched in May 2015 with DSS as the lead agency.  Locating the IAA team within DSS represent</w:t>
      </w:r>
      <w:r w:rsidR="00801FC6">
        <w:t>ed</w:t>
      </w:r>
      <w:r w:rsidRPr="00DB5FB9">
        <w:t xml:space="preserve"> a new model of service delivery for the Department because</w:t>
      </w:r>
      <w:r w:rsidR="007661A1">
        <w:t xml:space="preserve"> </w:t>
      </w:r>
      <w:r w:rsidRPr="00DB5FB9">
        <w:t xml:space="preserve">DSS is not </w:t>
      </w:r>
      <w:r w:rsidR="0025106A">
        <w:t xml:space="preserve">usually </w:t>
      </w:r>
      <w:r w:rsidRPr="00DB5FB9">
        <w:t>involved in direct service delivery.</w:t>
      </w:r>
    </w:p>
    <w:p w14:paraId="3CBA5F89" w14:textId="77777777" w:rsidR="00DB5FB9" w:rsidRPr="00DB5FB9" w:rsidRDefault="00DB5FB9" w:rsidP="00504E77">
      <w:pPr>
        <w:pStyle w:val="ParagraphKeep"/>
      </w:pPr>
      <w:r w:rsidRPr="00DB5FB9">
        <w:t xml:space="preserve">IAA’s functions include: </w:t>
      </w:r>
    </w:p>
    <w:p w14:paraId="54EFEA01" w14:textId="7BC2AE6A" w:rsidR="00DB5FB9" w:rsidRPr="00DB5FB9" w:rsidRDefault="00DB5FB9" w:rsidP="00504E77">
      <w:pPr>
        <w:pStyle w:val="Bullet1"/>
      </w:pPr>
      <w:r w:rsidRPr="00DB5FB9">
        <w:t>A free 1800 information line operated by qualified social workers who provide general support</w:t>
      </w:r>
      <w:r w:rsidR="00801FC6">
        <w:t xml:space="preserve"> and information in relation to ICA </w:t>
      </w:r>
      <w:r w:rsidR="007661A1">
        <w:t>processes</w:t>
      </w:r>
      <w:r w:rsidR="007661A1" w:rsidRPr="00DB5FB9">
        <w:t xml:space="preserve"> immigration</w:t>
      </w:r>
      <w:r w:rsidRPr="00DB5FB9">
        <w:t xml:space="preserve">, citizenship and passport processes, and referrals to support services, Commonwealth, state and territory governments </w:t>
      </w:r>
    </w:p>
    <w:p w14:paraId="12F0FD09" w14:textId="566047B4" w:rsidR="00DB5FB9" w:rsidRPr="00DB5FB9" w:rsidRDefault="00DB5FB9" w:rsidP="00504E77">
      <w:pPr>
        <w:pStyle w:val="Bullet1"/>
      </w:pPr>
      <w:r w:rsidRPr="00DB5FB9">
        <w:t>A national website (</w:t>
      </w:r>
      <w:hyperlink r:id="rId19" w:history="1">
        <w:r w:rsidRPr="00DB5FB9">
          <w:rPr>
            <w:color w:val="0000FF"/>
            <w:u w:val="single"/>
          </w:rPr>
          <w:t>www.intercountryadoption.gov.au</w:t>
        </w:r>
      </w:hyperlink>
      <w:r w:rsidRPr="00DB5FB9">
        <w:t xml:space="preserve">) that provides an overview of the ICA process, partner countries, things to consider when adopting, access to state or territory government information, and links to support services. </w:t>
      </w:r>
    </w:p>
    <w:p w14:paraId="4227FF7C" w14:textId="14C398B5" w:rsidR="00DB5FB9" w:rsidRPr="00DB5FB9" w:rsidRDefault="00DB5FB9" w:rsidP="00504E77">
      <w:pPr>
        <w:pStyle w:val="ParagraphKeep"/>
      </w:pPr>
      <w:r w:rsidRPr="00DB5FB9">
        <w:t xml:space="preserve">Under the </w:t>
      </w:r>
      <w:r w:rsidR="008B0955">
        <w:t>Reform</w:t>
      </w:r>
      <w:r w:rsidR="008B0955" w:rsidRPr="00DB5FB9">
        <w:t xml:space="preserve"> </w:t>
      </w:r>
      <w:r w:rsidRPr="00DB5FB9">
        <w:t>Implementation Plan, the tranche of reforms relating to the new service included:</w:t>
      </w:r>
    </w:p>
    <w:p w14:paraId="16A58867" w14:textId="77777777" w:rsidR="00AC273B" w:rsidRDefault="00DB5FB9" w:rsidP="00504E77">
      <w:pPr>
        <w:pStyle w:val="Bullet1"/>
      </w:pPr>
      <w:r w:rsidRPr="00DB5FB9">
        <w:t>Establishing referral pathways and positive working relationships with relevant Commonwealth and state/territory government agencies (e.g. STCAs, DFAT, the Department of Immigration and Border Protection (DIBP) and AGD)</w:t>
      </w:r>
    </w:p>
    <w:p w14:paraId="13812140" w14:textId="6550738A" w:rsidR="00DB5FB9" w:rsidRPr="00F003D9" w:rsidRDefault="00DB5FB9" w:rsidP="00504E77">
      <w:pPr>
        <w:pStyle w:val="Bullet1"/>
      </w:pPr>
      <w:r w:rsidRPr="00F003D9">
        <w:t>Delivering tailored visa, citizenship and passport information and support</w:t>
      </w:r>
    </w:p>
    <w:p w14:paraId="5BE548A0" w14:textId="77777777" w:rsidR="00DB5FB9" w:rsidRPr="00DB5FB9" w:rsidRDefault="00DB5FB9" w:rsidP="00504E77">
      <w:pPr>
        <w:pStyle w:val="Bullet1"/>
      </w:pPr>
      <w:r w:rsidRPr="00DB5FB9">
        <w:t>Providing additional funding to family support service providers for the delivery of dedicated ICA support services.</w:t>
      </w:r>
    </w:p>
    <w:p w14:paraId="061FFAB2" w14:textId="77777777" w:rsidR="00DB5FB9" w:rsidRPr="00DB5FB9" w:rsidRDefault="00DB5FB9" w:rsidP="00504E77">
      <w:pPr>
        <w:pStyle w:val="Paragraph"/>
      </w:pPr>
      <w:r w:rsidRPr="00DB5FB9">
        <w:t xml:space="preserve">It is important to note however, that IAA has no formal mandate under the 2008 Commonwealth-state agreement (although this is currently being reconsidered by the relevant authorities) </w:t>
      </w:r>
      <w:r w:rsidRPr="00DB5FB9">
        <w:fldChar w:fldCharType="begin" w:fldLock="1"/>
      </w:r>
      <w:r w:rsidRPr="00DB5FB9">
        <w:instrText>ADDIN CSL_CITATION { "citationItems" : [ { "id" : "ITEM-1", "itemData" : { "URL" : "https://www.ag.gov.au/FamiliesAndMarriage/IntercountryAdoption/Documents/CentralAuthoritiesmeeting-22-23March2016.DOCX", "accessed" : { "date-parts" : [ [ "2016", "8", "3" ] ] }, "author" : [ { "dropping-particle" : "", "family" : "Intercountry Adoption Central Authorities", "given" : "", "non-dropping-particle" : "", "parse-names" : false, "suffix" : "" } ], "id" : "ITEM-1", "issued" : { "date-parts" : [ [ "2016" ] ] }, "title" : "Meeting communique", "type" : "webpage" }, "uris" : [ "http://www.mendeley.com/documents/?uuid=f18d8aac-5dc3-44e5-b724-eae178ec257b" ] } ], "mendeley" : { "formattedCitation" : "(Intercountry Adoption Central Authorities 2016)", "plainTextFormattedCitation" : "(Intercountry Adoption Central Authorities 2016)", "previouslyFormattedCitation" : "(Intercountry Adoption Central Authorities 2016)" }, "properties" : { "noteIndex" : 0 }, "schema" : "https://github.com/citation-style-language/schema/raw/master/csl-citation.json" }</w:instrText>
      </w:r>
      <w:r w:rsidRPr="00DB5FB9">
        <w:fldChar w:fldCharType="separate"/>
      </w:r>
      <w:r w:rsidRPr="00DB5FB9">
        <w:rPr>
          <w:noProof/>
        </w:rPr>
        <w:t>(Intercountry Adoption Central Authorities 2016)</w:t>
      </w:r>
      <w:r w:rsidRPr="00DB5FB9">
        <w:fldChar w:fldCharType="end"/>
      </w:r>
      <w:r w:rsidRPr="00DB5FB9">
        <w:t>.  Consequently, the requirement for IAA to establish or improve referral pathways and positive working relationships with STCAs in particular, occurred without formalised relationships in place.</w:t>
      </w:r>
    </w:p>
    <w:p w14:paraId="13E1269B" w14:textId="6E1CF75F" w:rsidR="00DB5FB9" w:rsidRPr="00DB5FB9" w:rsidRDefault="00DB5FB9" w:rsidP="00504E77">
      <w:pPr>
        <w:pStyle w:val="Paragraph"/>
      </w:pPr>
      <w:r w:rsidRPr="00DB5FB9">
        <w:t xml:space="preserve">The implementation of the IAA service coincided with improved support mechanisms from other relevant agencies, as outlined in </w:t>
      </w:r>
      <w:r w:rsidRPr="0025106A">
        <w:rPr>
          <w:rStyle w:val="Emphasis"/>
        </w:rPr>
        <w:t xml:space="preserve">Section </w:t>
      </w:r>
      <w:r w:rsidRPr="0025106A">
        <w:rPr>
          <w:rStyle w:val="Emphasis"/>
        </w:rPr>
        <w:fldChar w:fldCharType="begin"/>
      </w:r>
      <w:r w:rsidRPr="0025106A">
        <w:rPr>
          <w:rStyle w:val="Emphasis"/>
        </w:rPr>
        <w:instrText xml:space="preserve"> REF _Ref462818988 \r \h </w:instrText>
      </w:r>
      <w:r w:rsidR="0025106A">
        <w:rPr>
          <w:rStyle w:val="Emphasis"/>
        </w:rPr>
        <w:instrText xml:space="preserve"> \* MERGEFORMAT </w:instrText>
      </w:r>
      <w:r w:rsidRPr="0025106A">
        <w:rPr>
          <w:rStyle w:val="Emphasis"/>
        </w:rPr>
      </w:r>
      <w:r w:rsidRPr="0025106A">
        <w:rPr>
          <w:rStyle w:val="Emphasis"/>
        </w:rPr>
        <w:fldChar w:fldCharType="separate"/>
      </w:r>
      <w:r w:rsidR="00487073">
        <w:rPr>
          <w:rStyle w:val="Emphasis"/>
        </w:rPr>
        <w:t>2.4.2</w:t>
      </w:r>
      <w:r w:rsidRPr="0025106A">
        <w:rPr>
          <w:rStyle w:val="Emphasis"/>
        </w:rPr>
        <w:fldChar w:fldCharType="end"/>
      </w:r>
      <w:r w:rsidRPr="00DB5FB9">
        <w:t>, including the establishment of dedicated positions or teams within DIBP and DFAT to assist individuals referred by the new service and dedicated DFAT staff in key ICA posts overseas to improve communication with programme partners</w:t>
      </w:r>
      <w:r w:rsidR="00326D84">
        <w:t xml:space="preserve"> </w:t>
      </w:r>
      <w:r w:rsidR="00F5093A">
        <w:fldChar w:fldCharType="begin" w:fldLock="1"/>
      </w:r>
      <w:r w:rsidR="00F5093A">
        <w:instrText>ADDIN CSL_CITATION { "citationItems" : [ { "id" : "ITEM-1", "itemData" : { "author" : [ { "dropping-particle" : "", "family" : "Department", "given" : "Australian Government Department of Social Services and Attorney-General's", "non-dropping-particle" : "", "parse-names" : false, "suffix" : "" } ], "id" : "ITEM-1", "issued" : { "date-parts" : [ [ "2015" ] ] }, "publisher-place" : "Canberra", "title" : "Intercountry Adoption Reform: Implementation Plan", "type" : "report" }, "prefix" : "Intercountry Adoption Reform: Implementation Plan", "suppress-author" : 1, "uris" : [ "http://www.mendeley.com/documents/?uuid=c63de2ba-0b90-4802-a065-fb47ac7ca77f" ] } ], "mendeley" : { "formattedCitation" : "(Intercountry Adoption Reform: Implementation Plan 2015)", "plainTextFormattedCitation" : "(Intercountry Adoption Reform: Implementation Plan 2015)", "previouslyFormattedCitation" : "(Intercountry Adoption Reform: Implementation Plan 2015)" }, "properties" : { "noteIndex" : 0 }, "schema" : "https://github.com/citation-style-language/schema/raw/master/csl-citation.json" }</w:instrText>
      </w:r>
      <w:r w:rsidR="00F5093A">
        <w:fldChar w:fldCharType="separate"/>
      </w:r>
      <w:r w:rsidR="00F5093A" w:rsidRPr="006812F2">
        <w:rPr>
          <w:i/>
          <w:noProof/>
        </w:rPr>
        <w:t xml:space="preserve">(Intercountry Adoption Reform: Implementation Plan </w:t>
      </w:r>
      <w:r w:rsidR="00F5093A" w:rsidRPr="006812F2">
        <w:rPr>
          <w:noProof/>
        </w:rPr>
        <w:t>2015)</w:t>
      </w:r>
      <w:r w:rsidR="00F5093A">
        <w:fldChar w:fldCharType="end"/>
      </w:r>
      <w:r w:rsidR="00F5093A">
        <w:t>.</w:t>
      </w:r>
    </w:p>
    <w:p w14:paraId="3F92B4AB" w14:textId="1A22F1E0" w:rsidR="00DB5FB9" w:rsidRPr="00DB5FB9" w:rsidRDefault="00DB5FB9" w:rsidP="00504E77">
      <w:pPr>
        <w:pStyle w:val="Paragraph"/>
      </w:pPr>
      <w:r w:rsidRPr="00DB5FB9">
        <w:t>The establishment of IAA, along with oth</w:t>
      </w:r>
      <w:r w:rsidR="008B060F">
        <w:t>er ICA reforms, was guided by a</w:t>
      </w:r>
      <w:r w:rsidRPr="00DB5FB9">
        <w:t xml:space="preserve"> </w:t>
      </w:r>
      <w:r w:rsidR="008B0955">
        <w:t>Reform I</w:t>
      </w:r>
      <w:r w:rsidRPr="00DB5FB9">
        <w:t xml:space="preserve">mplementation </w:t>
      </w:r>
      <w:r w:rsidR="008B0955">
        <w:t>P</w:t>
      </w:r>
      <w:r w:rsidRPr="00DB5FB9">
        <w:t xml:space="preserve">lan developed by DSS and approved by </w:t>
      </w:r>
      <w:r w:rsidR="00801FC6">
        <w:t xml:space="preserve">all members of the Intercountry Adoption IDC, including </w:t>
      </w:r>
      <w:r w:rsidRPr="00DB5FB9">
        <w:t>both DSS and AGD.  The plan noted that “while DSS is the lead agency responsible for implementation of the programme, AGD, DFAT and DIBP have key roles and responsibilities to support successful implementation”.  The plan identified ten measures of success for the new service including indicators of service use, responsiveness, appropriate referral and user satisfaction.  Achievements related to these measures of success are presented in</w:t>
      </w:r>
      <w:r w:rsidR="00566EE5">
        <w:t xml:space="preserve"> </w:t>
      </w:r>
      <w:r w:rsidRPr="00DB5FB9">
        <w:rPr>
          <w:i/>
          <w:iCs/>
        </w:rPr>
        <w:t>Section</w:t>
      </w:r>
      <w:r w:rsidR="002E6579">
        <w:rPr>
          <w:i/>
          <w:iCs/>
        </w:rPr>
        <w:t xml:space="preserve"> </w:t>
      </w:r>
      <w:r w:rsidR="002E6579">
        <w:rPr>
          <w:i/>
          <w:iCs/>
        </w:rPr>
        <w:fldChar w:fldCharType="begin"/>
      </w:r>
      <w:r w:rsidR="002E6579">
        <w:rPr>
          <w:i/>
          <w:iCs/>
        </w:rPr>
        <w:instrText xml:space="preserve"> REF _Ref463031021 \r \h </w:instrText>
      </w:r>
      <w:r w:rsidR="002E6579">
        <w:rPr>
          <w:i/>
          <w:iCs/>
        </w:rPr>
      </w:r>
      <w:r w:rsidR="002E6579">
        <w:rPr>
          <w:i/>
          <w:iCs/>
        </w:rPr>
        <w:fldChar w:fldCharType="separate"/>
      </w:r>
      <w:r w:rsidR="00487073">
        <w:rPr>
          <w:i/>
          <w:iCs/>
        </w:rPr>
        <w:t>5</w:t>
      </w:r>
      <w:r w:rsidR="002E6579">
        <w:rPr>
          <w:i/>
          <w:iCs/>
        </w:rPr>
        <w:fldChar w:fldCharType="end"/>
      </w:r>
      <w:r w:rsidRPr="00DB5FB9">
        <w:rPr>
          <w:i/>
          <w:iCs/>
        </w:rPr>
        <w:t>.</w:t>
      </w:r>
    </w:p>
    <w:p w14:paraId="7A29CBF9" w14:textId="7AB53B40" w:rsidR="00DB5FB9" w:rsidRPr="00DB5FB9" w:rsidRDefault="00DB5FB9" w:rsidP="00504E77">
      <w:pPr>
        <w:pStyle w:val="Paragraph"/>
      </w:pPr>
      <w:r w:rsidRPr="00DB5FB9">
        <w:t xml:space="preserve">Further details on how ICA is operationalised in Australia and IAA’s role within ICA processes are outlined in </w:t>
      </w:r>
      <w:r w:rsidRPr="00DB5FB9">
        <w:rPr>
          <w:i/>
          <w:iCs/>
        </w:rPr>
        <w:t xml:space="preserve">Section </w:t>
      </w:r>
      <w:r w:rsidRPr="00DB5FB9">
        <w:fldChar w:fldCharType="begin"/>
      </w:r>
      <w:r w:rsidRPr="00DB5FB9">
        <w:instrText xml:space="preserve"> REF _Ref458173181 \r \h  \* MERGEFORMAT </w:instrText>
      </w:r>
      <w:r w:rsidRPr="00DB5FB9">
        <w:fldChar w:fldCharType="separate"/>
      </w:r>
      <w:r w:rsidR="00487073" w:rsidRPr="00487073">
        <w:rPr>
          <w:i/>
          <w:iCs/>
        </w:rPr>
        <w:t>3</w:t>
      </w:r>
      <w:r w:rsidRPr="00DB5FB9">
        <w:fldChar w:fldCharType="end"/>
      </w:r>
      <w:r w:rsidRPr="00DB5FB9">
        <w:rPr>
          <w:i/>
          <w:iCs/>
        </w:rPr>
        <w:t>.</w:t>
      </w:r>
    </w:p>
    <w:p w14:paraId="198D853C" w14:textId="77777777" w:rsidR="004942B7" w:rsidRDefault="004942B7">
      <w:r>
        <w:br w:type="page"/>
      </w:r>
    </w:p>
    <w:p w14:paraId="653D16CD" w14:textId="77777777" w:rsidR="00467146" w:rsidRDefault="00467146" w:rsidP="00467146"/>
    <w:bookmarkStart w:id="29" w:name="_Ref458173181"/>
    <w:bookmarkStart w:id="30" w:name="_Ref458173241"/>
    <w:bookmarkStart w:id="31" w:name="_Toc490481613"/>
    <w:p w14:paraId="73A0A5AA" w14:textId="77777777" w:rsidR="00467146" w:rsidRDefault="00B36A43" w:rsidP="00283E1C">
      <w:pPr>
        <w:pStyle w:val="Heading1"/>
      </w:pPr>
      <w:r w:rsidRPr="00283E1C">
        <w:rPr>
          <w:noProof/>
          <w:lang w:val="en-AU" w:eastAsia="en-AU"/>
        </w:rPr>
        <mc:AlternateContent>
          <mc:Choice Requires="wps">
            <w:drawing>
              <wp:anchor distT="0" distB="0" distL="114300" distR="114300" simplePos="0" relativeHeight="251659264" behindDoc="1" locked="0" layoutInCell="1" allowOverlap="1" wp14:anchorId="643DCA69" wp14:editId="7552BD45">
                <wp:simplePos x="0" y="0"/>
                <wp:positionH relativeFrom="page">
                  <wp:align>left</wp:align>
                </wp:positionH>
                <wp:positionV relativeFrom="page">
                  <wp:align>top</wp:align>
                </wp:positionV>
                <wp:extent cx="7632065" cy="10763885"/>
                <wp:effectExtent l="0" t="0" r="6985" b="0"/>
                <wp:wrapNone/>
                <wp:docPr id="694" name="Rectangle 10" title="&quot; &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2065" cy="107638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0A8B2" id="Rectangle 10" o:spid="_x0000_s1026" alt="Title: &quot; &quot;" style="position:absolute;margin-left:0;margin-top:0;width:600.95pt;height:847.55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zp8rgIAALgFAAAOAAAAZHJzL2Uyb0RvYy54bWysVN9P2zAQfp+0/8Hyw95Gkq4tkJGiCsQ0&#10;qQIETDwbx2miOT5ju03LX7+znYSOoT1M64Pr83333Y/c3dn5rpVkK4xtQBU0O0opEYpD2ah1QX88&#10;XH0+ocQ6pkomQYmC7oWl54uPH846nYsJ1CBLYQiSKJt3uqC1czpPEstr0TJ7BFooVFZgWuZQNOuk&#10;NKxD9lYmkzSdJx2YUhvgwlp8vYxKugj8VSW4u6kqKxyRBcXYXDhNOJ/8mSzOWL42TNcN78Ng/xBF&#10;yxqFTkeqS+YY2ZjmD6q24QYsVO6IQ5tAVTVchBwwmyx9k819zbQIuWBxrB7LZP8fLb/e3hrSlAWd&#10;n04pUazFj3SHZWNqLQXJfM0aJ/Hx0/MG3FcS/3zdOm1zNL/Xt8ZnbvUK+E+LiuQ3jRdsj9lVpvVY&#10;zJvswkfYjx9B7Bzh+Hg8/zJJ5zNKOOqyFMWTk5n3l7B8sNfGum8CWuIvBTUYb6g+266si9ABEkID&#10;2ZRXjZRB8K0lLqQhW4ZN4XaTntweoqTyWAXeKhL6l5BZTCak5fZSeJxUd6LCKmL4kxBI6N9XJ4xz&#10;oVwWVTUrRfQ9S/E3eB/CCokGQs9cof+RuycYkJFk4I5R9nhvKkL7j8bp3wKLxqNF8AzKjcZto8C8&#10;RyAxq95zxA9FiqXxVXqCco89ZiAOn9X8qsHPtmLW3TKD04Y9hhvE3eBRSegKCv2NkhrMy3vvHo9D&#10;gFpKOpzegtrnDTOCEvld4XicZtOpb90gTGfHExTMoebpUKM27QVgL2S4qzQPV493crhWBtpHXDRL&#10;7xVVTHH0XVDuzCBcuLhVcFVxsVwGGI64Zm6l7jX35L6qvi0fdo/M6L53Hfb9NQyTzvI3LRyx3lLB&#10;cuOgakJ/v9a1rzeuh9A4/Srz++dQDqjXhbv4BQAA//8DAFBLAwQUAAYACAAAACEAcIV8ZtwAAAAH&#10;AQAADwAAAGRycy9kb3ducmV2LnhtbEyPQW/CMAyF75P4D5GRdhtpmcZKaYoQUjlO0G3iahqvrdY4&#10;VROg+/cLu4yL9axnvfc5W4+mExcaXGtZQTyLQBBXVrdcK/h4L54SEM4ja+wsk4IfcrDOJw8Zptpe&#10;+UCX0tcihLBLUUHjfZ9K6aqGDLqZ7YmD92UHgz6sQy31gNcQbjo5j6KFNNhyaGiwp21D1Xd5NgqK&#10;4yslh3i/242fz/tEl2++QFLqcTpuViA8jf7/GG74AR3ywHSyZ9ZOdArCI/5v3rx5FC9BnIJaLF9i&#10;kHkm7/nzXwAAAP//AwBQSwECLQAUAAYACAAAACEAtoM4kv4AAADhAQAAEwAAAAAAAAAAAAAAAAAA&#10;AAAAW0NvbnRlbnRfVHlwZXNdLnhtbFBLAQItABQABgAIAAAAIQA4/SH/1gAAAJQBAAALAAAAAAAA&#10;AAAAAAAAAC8BAABfcmVscy8ucmVsc1BLAQItABQABgAIAAAAIQC7Mzp8rgIAALgFAAAOAAAAAAAA&#10;AAAAAAAAAC4CAABkcnMvZTJvRG9jLnhtbFBLAQItABQABgAIAAAAIQBwhXxm3AAAAAcBAAAPAAAA&#10;AAAAAAAAAAAAAAgFAABkcnMvZG93bnJldi54bWxQSwUGAAAAAAQABADzAAAAEQYAAAAA&#10;" fillcolor="#0079c1 [3215]" stroked="f" strokeweight="2pt">
                <v:path arrowok="t"/>
                <w10:wrap anchorx="page" anchory="page"/>
              </v:rect>
            </w:pict>
          </mc:Fallback>
        </mc:AlternateContent>
      </w:r>
      <w:r w:rsidR="00F73E02" w:rsidRPr="00283E1C">
        <w:t>Current</w:t>
      </w:r>
      <w:r w:rsidR="00F73E02">
        <w:t xml:space="preserve"> ICA </w:t>
      </w:r>
      <w:r w:rsidR="00A13B4A">
        <w:t>p</w:t>
      </w:r>
      <w:r w:rsidR="00F73E02">
        <w:t>rocesses in Australia</w:t>
      </w:r>
      <w:bookmarkEnd w:id="29"/>
      <w:bookmarkEnd w:id="30"/>
      <w:bookmarkEnd w:id="31"/>
    </w:p>
    <w:p w14:paraId="750059E0" w14:textId="77777777" w:rsidR="00467146" w:rsidRDefault="00467146" w:rsidP="00467146">
      <w:pPr>
        <w:rPr>
          <w:lang w:eastAsia="en-AU"/>
        </w:rPr>
      </w:pPr>
      <w:r>
        <w:rPr>
          <w:lang w:eastAsia="en-AU"/>
        </w:rPr>
        <w:br w:type="page"/>
      </w:r>
    </w:p>
    <w:p w14:paraId="2984CE9A" w14:textId="37160020" w:rsidR="00467146" w:rsidRDefault="00CC6594" w:rsidP="00283E1C">
      <w:pPr>
        <w:pStyle w:val="Heading2"/>
      </w:pPr>
      <w:bookmarkStart w:id="32" w:name="_Toc490481614"/>
      <w:r>
        <w:lastRenderedPageBreak/>
        <w:t>Overview</w:t>
      </w:r>
      <w:bookmarkEnd w:id="32"/>
      <w:r w:rsidR="00801FC6">
        <w:t xml:space="preserve"> </w:t>
      </w:r>
    </w:p>
    <w:p w14:paraId="3EAB646C" w14:textId="77777777" w:rsidR="00C00EFB" w:rsidRPr="00C00EFB" w:rsidRDefault="00C00EFB" w:rsidP="00504E77">
      <w:pPr>
        <w:pStyle w:val="Paragraph"/>
      </w:pPr>
      <w:r w:rsidRPr="00C00EFB">
        <w:t xml:space="preserve">This chapter provides an overview of ICA processes in Australia to contextualise both the operational environment in which IAA was established (and now delivers services), and the complexity of ICA processes for prospective ICA clients. </w:t>
      </w:r>
    </w:p>
    <w:p w14:paraId="50385714" w14:textId="75BA0BEB" w:rsidR="00C00EFB" w:rsidRPr="00C00EFB" w:rsidRDefault="00C00EFB" w:rsidP="00504E77">
      <w:pPr>
        <w:pStyle w:val="ParagraphKeep"/>
        <w:rPr>
          <w:lang w:eastAsia="en-AU"/>
        </w:rPr>
      </w:pPr>
      <w:r w:rsidRPr="00C00EFB">
        <w:rPr>
          <w:lang w:eastAsia="en-AU"/>
        </w:rPr>
        <w:t xml:space="preserve">In Australia, ICA processes involve a mix of overseas and local stakeholders (see </w:t>
      </w:r>
      <w:r w:rsidRPr="00C00EFB">
        <w:rPr>
          <w:i/>
          <w:iCs/>
        </w:rPr>
        <w:t xml:space="preserve">Section </w:t>
      </w:r>
      <w:r w:rsidRPr="00C00EFB">
        <w:fldChar w:fldCharType="begin"/>
      </w:r>
      <w:r w:rsidRPr="00C00EFB">
        <w:instrText xml:space="preserve"> REF _Ref458173392 \w \h  \* MERGEFORMAT </w:instrText>
      </w:r>
      <w:r w:rsidRPr="00C00EFB">
        <w:fldChar w:fldCharType="separate"/>
      </w:r>
      <w:r w:rsidR="00487073" w:rsidRPr="00487073">
        <w:rPr>
          <w:i/>
          <w:iCs/>
        </w:rPr>
        <w:t>3.3</w:t>
      </w:r>
      <w:r w:rsidRPr="00C00EFB">
        <w:fldChar w:fldCharType="end"/>
      </w:r>
      <w:r w:rsidRPr="00C00EFB">
        <w:rPr>
          <w:lang w:eastAsia="en-AU"/>
        </w:rPr>
        <w:t>):</w:t>
      </w:r>
    </w:p>
    <w:p w14:paraId="1C717DEC" w14:textId="77777777" w:rsidR="00C00EFB" w:rsidRPr="00C00EFB" w:rsidRDefault="00C00EFB" w:rsidP="00C809E2">
      <w:pPr>
        <w:pStyle w:val="Bullet1"/>
      </w:pPr>
      <w:r w:rsidRPr="00C00EFB">
        <w:t xml:space="preserve">Overseas stakeholders including country of origin central/responsible authorities </w:t>
      </w:r>
    </w:p>
    <w:p w14:paraId="48F8908A" w14:textId="71A35051" w:rsidR="00C00EFB" w:rsidRPr="00C00EFB" w:rsidRDefault="00C00EFB" w:rsidP="00C809E2">
      <w:pPr>
        <w:pStyle w:val="Bullet1"/>
      </w:pPr>
      <w:r w:rsidRPr="00C00EFB">
        <w:t xml:space="preserve">Local stakeholders include a mix of Commonwealth </w:t>
      </w:r>
      <w:r w:rsidR="003F0817">
        <w:t xml:space="preserve">and jurisdictional </w:t>
      </w:r>
      <w:r w:rsidRPr="00C00EFB">
        <w:t>agencies</w:t>
      </w:r>
      <w:r w:rsidR="003A22BC">
        <w:t>, including AGD</w:t>
      </w:r>
      <w:r w:rsidRPr="00C00EFB">
        <w:t>:</w:t>
      </w:r>
    </w:p>
    <w:p w14:paraId="02CDD4C1" w14:textId="77777777" w:rsidR="00C00EFB" w:rsidRPr="00C00EFB" w:rsidRDefault="00C00EFB" w:rsidP="00C809E2">
      <w:pPr>
        <w:pStyle w:val="Bullet2"/>
      </w:pPr>
      <w:r w:rsidRPr="00C00EFB">
        <w:t>STCAs are responsible for assessing prospective ICA parents, accepting applications and liaising with countries of origin</w:t>
      </w:r>
    </w:p>
    <w:p w14:paraId="2D67A2B1" w14:textId="6C46674D" w:rsidR="00C00EFB" w:rsidRPr="00C00EFB" w:rsidRDefault="00C00EFB" w:rsidP="00C809E2">
      <w:pPr>
        <w:pStyle w:val="Bullet2"/>
      </w:pPr>
      <w:r w:rsidRPr="00C00EFB">
        <w:t>Australian ICA clients must also liaise with DIBP and DFAT on matters related to visas, citizenship and passports</w:t>
      </w:r>
      <w:r w:rsidR="002E6579">
        <w:t>.</w:t>
      </w:r>
    </w:p>
    <w:p w14:paraId="555699BF" w14:textId="77777777" w:rsidR="00C00EFB" w:rsidRPr="00C00EFB" w:rsidRDefault="00C00EFB" w:rsidP="00C809E2">
      <w:pPr>
        <w:pStyle w:val="Paragraph"/>
      </w:pPr>
      <w:r w:rsidRPr="00C00EFB">
        <w:t xml:space="preserve">The roles and responsibilities of each of these stakeholders are described in the following sections. </w:t>
      </w:r>
    </w:p>
    <w:p w14:paraId="76551B69" w14:textId="58714F10" w:rsidR="00C00EFB" w:rsidRPr="00C00EFB" w:rsidRDefault="00C00EFB" w:rsidP="00C809E2">
      <w:pPr>
        <w:pStyle w:val="Paragraph"/>
        <w:rPr>
          <w:lang w:eastAsia="en-AU"/>
        </w:rPr>
      </w:pPr>
      <w:r w:rsidRPr="00C00EFB">
        <w:t xml:space="preserve">For prospective adoptive parents, </w:t>
      </w:r>
      <w:r w:rsidRPr="00C00EFB">
        <w:rPr>
          <w:lang w:eastAsia="en-AU"/>
        </w:rPr>
        <w:t xml:space="preserve">the process of ICA involves multiple phases, each of which involves engagement with a number of these stakeholders.  For many, this generates a complex system that can be difficult to navigate and this has been a source of frustration for adoptive parents (Department of the Prime Minister and Cabinet 2014).  Similar processes are in place for relative adoptions, known non-relative adoptions, subsequent sibling adoptions and ad hoc requests (for adoption of a child from a country with which Australia does not have an ICA programme), although they must still comply with the Hague Convention and are still considered by and facilitated through the relevant overseas agency and STCAs (Australian Government Attorney-General’s Department n.d.).  </w:t>
      </w:r>
    </w:p>
    <w:p w14:paraId="3A0981FB" w14:textId="44F1FF8F" w:rsidR="00C00EFB" w:rsidRPr="00C00EFB" w:rsidRDefault="00C00EFB" w:rsidP="00C809E2">
      <w:pPr>
        <w:pStyle w:val="Paragraph"/>
        <w:rPr>
          <w:lang w:val="en-AU" w:eastAsia="en-AU"/>
        </w:rPr>
      </w:pPr>
      <w:r w:rsidRPr="00C00EFB">
        <w:rPr>
          <w:lang w:val="en-AU" w:eastAsia="en-AU"/>
        </w:rPr>
        <w:t>It should be noted that expatriate adoptions—i.e. those arranged by an Australian citizen or permanent resident</w:t>
      </w:r>
      <w:r w:rsidR="003F0817">
        <w:rPr>
          <w:lang w:val="en-AU" w:eastAsia="en-AU"/>
        </w:rPr>
        <w:t>s</w:t>
      </w:r>
      <w:r w:rsidRPr="00C00EFB">
        <w:rPr>
          <w:lang w:val="en-AU" w:eastAsia="en-AU"/>
        </w:rPr>
        <w:t xml:space="preserve"> residing overseas—are facilitated through an overseas agency rather than an Australian STCA (although Australian legal requirements must be met for the adoption to be finalised and visas/citizenship arranged).  Adoptions arranged through private adoption agencies </w:t>
      </w:r>
      <w:r w:rsidR="00280075">
        <w:rPr>
          <w:lang w:val="en-AU" w:eastAsia="en-AU"/>
        </w:rPr>
        <w:t xml:space="preserve">occur outside of </w:t>
      </w:r>
      <w:r w:rsidRPr="00C00EFB">
        <w:rPr>
          <w:lang w:val="en-AU" w:eastAsia="en-AU"/>
        </w:rPr>
        <w:t>Australia’s ICA program.</w:t>
      </w:r>
    </w:p>
    <w:p w14:paraId="19CC5752" w14:textId="6549FD2A" w:rsidR="00C00EFB" w:rsidRPr="00C00EFB" w:rsidRDefault="00C00EFB" w:rsidP="00C809E2">
      <w:pPr>
        <w:pStyle w:val="Caption"/>
      </w:pPr>
      <w:bookmarkStart w:id="33" w:name="_Ref460424573"/>
      <w:bookmarkStart w:id="34" w:name="_Toc424033645"/>
      <w:bookmarkStart w:id="35" w:name="_Toc490481647"/>
      <w:bookmarkStart w:id="36" w:name="_Toc424033610"/>
      <w:r w:rsidRPr="00C00EFB">
        <w:lastRenderedPageBreak/>
        <w:t>Table </w:t>
      </w:r>
      <w:r w:rsidR="00644B63">
        <w:fldChar w:fldCharType="begin"/>
      </w:r>
      <w:r w:rsidR="00644B63">
        <w:instrText xml:space="preserve"> STYLEREF 1 \s </w:instrText>
      </w:r>
      <w:r w:rsidR="00644B63">
        <w:fldChar w:fldCharType="separate"/>
      </w:r>
      <w:r w:rsidR="00487073">
        <w:rPr>
          <w:noProof/>
        </w:rPr>
        <w:t>3</w:t>
      </w:r>
      <w:r w:rsidR="00644B63">
        <w:fldChar w:fldCharType="end"/>
      </w:r>
      <w:r w:rsidR="00644B63">
        <w:noBreakHyphen/>
      </w:r>
      <w:r w:rsidR="00644B63">
        <w:fldChar w:fldCharType="begin"/>
      </w:r>
      <w:r w:rsidR="00644B63">
        <w:instrText xml:space="preserve"> SEQ Table \* ARABIC \s 1 </w:instrText>
      </w:r>
      <w:r w:rsidR="00644B63">
        <w:fldChar w:fldCharType="separate"/>
      </w:r>
      <w:r w:rsidR="00487073">
        <w:rPr>
          <w:noProof/>
        </w:rPr>
        <w:t>1</w:t>
      </w:r>
      <w:r w:rsidR="00644B63">
        <w:fldChar w:fldCharType="end"/>
      </w:r>
      <w:bookmarkEnd w:id="33"/>
      <w:r w:rsidRPr="00C00EFB">
        <w:t>:</w:t>
      </w:r>
      <w:r w:rsidRPr="00C00EFB">
        <w:tab/>
      </w:r>
      <w:bookmarkEnd w:id="34"/>
      <w:r w:rsidRPr="00C00EFB">
        <w:t>General process for ICA in Australia</w:t>
      </w:r>
      <w:bookmarkEnd w:id="35"/>
    </w:p>
    <w:tbl>
      <w:tblPr>
        <w:tblStyle w:val="TableGrid"/>
        <w:tblW w:w="0" w:type="auto"/>
        <w:tblInd w:w="108"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Description w:val="Table 3 1: General process for ICA in Australia"/>
      </w:tblPr>
      <w:tblGrid>
        <w:gridCol w:w="1424"/>
        <w:gridCol w:w="5103"/>
        <w:gridCol w:w="2936"/>
      </w:tblGrid>
      <w:tr w:rsidR="00A21364" w:rsidRPr="00C00EFB" w14:paraId="1D5855D6" w14:textId="77777777" w:rsidTr="00402C12">
        <w:trPr>
          <w:tblHeader/>
        </w:trPr>
        <w:tc>
          <w:tcPr>
            <w:tcW w:w="1424" w:type="dxa"/>
            <w:tcBorders>
              <w:top w:val="single" w:sz="4" w:space="0" w:color="0079C1" w:themeColor="text2"/>
              <w:bottom w:val="single" w:sz="4" w:space="0" w:color="0079C1" w:themeColor="text2"/>
            </w:tcBorders>
            <w:shd w:val="clear" w:color="auto" w:fill="0079C1" w:themeFill="text2"/>
          </w:tcPr>
          <w:p w14:paraId="4F3EB629" w14:textId="77777777" w:rsidR="00C00EFB" w:rsidRPr="00C00EFB" w:rsidRDefault="00C00EFB" w:rsidP="00A21364">
            <w:pPr>
              <w:pStyle w:val="TableHeading1"/>
            </w:pPr>
            <w:r w:rsidRPr="00C00EFB">
              <w:t>Phase</w:t>
            </w:r>
          </w:p>
        </w:tc>
        <w:tc>
          <w:tcPr>
            <w:tcW w:w="5103" w:type="dxa"/>
            <w:tcBorders>
              <w:top w:val="single" w:sz="4" w:space="0" w:color="0079C1" w:themeColor="text2"/>
              <w:bottom w:val="single" w:sz="4" w:space="0" w:color="0079C1" w:themeColor="text2"/>
            </w:tcBorders>
            <w:shd w:val="clear" w:color="auto" w:fill="0079C1" w:themeFill="text2"/>
          </w:tcPr>
          <w:p w14:paraId="33DF26C6" w14:textId="77777777" w:rsidR="00C00EFB" w:rsidRPr="00C00EFB" w:rsidRDefault="00C00EFB" w:rsidP="00A21364">
            <w:pPr>
              <w:pStyle w:val="TableHeading1"/>
            </w:pPr>
            <w:r w:rsidRPr="00C00EFB">
              <w:t>Processed involved</w:t>
            </w:r>
          </w:p>
        </w:tc>
        <w:tc>
          <w:tcPr>
            <w:tcW w:w="2936" w:type="dxa"/>
            <w:tcBorders>
              <w:top w:val="single" w:sz="4" w:space="0" w:color="0079C1" w:themeColor="text2"/>
              <w:bottom w:val="single" w:sz="4" w:space="0" w:color="0079C1" w:themeColor="text2"/>
            </w:tcBorders>
            <w:shd w:val="clear" w:color="auto" w:fill="0079C1" w:themeFill="text2"/>
          </w:tcPr>
          <w:p w14:paraId="12DF58A4" w14:textId="77777777" w:rsidR="00C00EFB" w:rsidRPr="00C00EFB" w:rsidRDefault="00C00EFB" w:rsidP="00A21364">
            <w:pPr>
              <w:pStyle w:val="TableHeading1"/>
            </w:pPr>
            <w:r w:rsidRPr="00C00EFB">
              <w:t>Agencies involved</w:t>
            </w:r>
          </w:p>
        </w:tc>
      </w:tr>
      <w:tr w:rsidR="00A21364" w:rsidRPr="00C00EFB" w14:paraId="4F96BF91" w14:textId="77777777" w:rsidTr="00A21364">
        <w:tc>
          <w:tcPr>
            <w:tcW w:w="1424" w:type="dxa"/>
            <w:tcBorders>
              <w:top w:val="single" w:sz="4" w:space="0" w:color="0079C1" w:themeColor="text2"/>
            </w:tcBorders>
          </w:tcPr>
          <w:p w14:paraId="60E1A671" w14:textId="77777777" w:rsidR="00C00EFB" w:rsidRPr="00C00EFB" w:rsidRDefault="00C00EFB" w:rsidP="00A21364">
            <w:pPr>
              <w:pStyle w:val="TableHeading2"/>
            </w:pPr>
            <w:r w:rsidRPr="00C00EFB">
              <w:t>Initiation</w:t>
            </w:r>
          </w:p>
        </w:tc>
        <w:tc>
          <w:tcPr>
            <w:tcW w:w="5103" w:type="dxa"/>
            <w:tcBorders>
              <w:top w:val="single" w:sz="4" w:space="0" w:color="0079C1" w:themeColor="text2"/>
            </w:tcBorders>
          </w:tcPr>
          <w:p w14:paraId="4BBB23A1" w14:textId="77777777" w:rsidR="00C00EFB" w:rsidRPr="00C00EFB" w:rsidRDefault="00C00EFB" w:rsidP="00A21364">
            <w:pPr>
              <w:pStyle w:val="TableBullet1"/>
            </w:pPr>
            <w:r w:rsidRPr="00C00EFB">
              <w:t xml:space="preserve">Initial </w:t>
            </w:r>
            <w:r w:rsidRPr="00A21364">
              <w:t>enquiry</w:t>
            </w:r>
          </w:p>
          <w:p w14:paraId="6552A483" w14:textId="77777777" w:rsidR="00C00EFB" w:rsidRPr="00C00EFB" w:rsidRDefault="00C00EFB" w:rsidP="00A21364">
            <w:pPr>
              <w:pStyle w:val="TableBullet1"/>
            </w:pPr>
            <w:r w:rsidRPr="00C00EFB">
              <w:t>Education seminars</w:t>
            </w:r>
          </w:p>
          <w:p w14:paraId="2E7E2B4E" w14:textId="77777777" w:rsidR="00C00EFB" w:rsidRPr="00C00EFB" w:rsidRDefault="00C00EFB" w:rsidP="00A21364">
            <w:pPr>
              <w:pStyle w:val="TableBullet1"/>
            </w:pPr>
            <w:r w:rsidRPr="00C00EFB">
              <w:t>Formal applications</w:t>
            </w:r>
          </w:p>
        </w:tc>
        <w:tc>
          <w:tcPr>
            <w:tcW w:w="2936" w:type="dxa"/>
            <w:tcBorders>
              <w:top w:val="single" w:sz="4" w:space="0" w:color="0079C1" w:themeColor="text2"/>
            </w:tcBorders>
          </w:tcPr>
          <w:p w14:paraId="39501086" w14:textId="77777777" w:rsidR="00C00EFB" w:rsidRPr="00C00EFB" w:rsidRDefault="00C00EFB" w:rsidP="00A21364">
            <w:pPr>
              <w:pStyle w:val="TableBullet1"/>
            </w:pPr>
            <w:r w:rsidRPr="00C00EFB">
              <w:t>STCA</w:t>
            </w:r>
          </w:p>
        </w:tc>
      </w:tr>
      <w:tr w:rsidR="00A21364" w:rsidRPr="00C00EFB" w14:paraId="10744E51" w14:textId="77777777" w:rsidTr="00A21364">
        <w:tc>
          <w:tcPr>
            <w:tcW w:w="1424" w:type="dxa"/>
          </w:tcPr>
          <w:p w14:paraId="6540042D" w14:textId="77777777" w:rsidR="00C00EFB" w:rsidRPr="00C00EFB" w:rsidRDefault="00C00EFB" w:rsidP="00A21364">
            <w:pPr>
              <w:pStyle w:val="TableHeading2"/>
            </w:pPr>
            <w:r w:rsidRPr="00C00EFB">
              <w:t>Processing</w:t>
            </w:r>
          </w:p>
        </w:tc>
        <w:tc>
          <w:tcPr>
            <w:tcW w:w="5103" w:type="dxa"/>
          </w:tcPr>
          <w:p w14:paraId="63ED1EC4" w14:textId="357E6983" w:rsidR="00C00EFB" w:rsidRPr="00C00EFB" w:rsidRDefault="00C00EFB" w:rsidP="00A21364">
            <w:pPr>
              <w:pStyle w:val="TableBullet1"/>
            </w:pPr>
            <w:r w:rsidRPr="00C00EFB">
              <w:t>Suitability assessment and approval decision</w:t>
            </w:r>
            <w:r w:rsidR="00280075">
              <w:t xml:space="preserve"> by both the Australian STCA and the overseas country</w:t>
            </w:r>
          </w:p>
          <w:p w14:paraId="1AC23F0A" w14:textId="77777777" w:rsidR="00C00EFB" w:rsidRPr="00C00EFB" w:rsidRDefault="00C00EFB" w:rsidP="00A21364">
            <w:pPr>
              <w:pStyle w:val="TableBullet1"/>
            </w:pPr>
            <w:r w:rsidRPr="00C00EFB">
              <w:t>Sending of documents to country of child’s origin</w:t>
            </w:r>
          </w:p>
          <w:p w14:paraId="28F92373" w14:textId="77777777" w:rsidR="00C00EFB" w:rsidRPr="00C00EFB" w:rsidRDefault="00C00EFB" w:rsidP="00A21364">
            <w:pPr>
              <w:pStyle w:val="TableBullet1"/>
            </w:pPr>
            <w:r w:rsidRPr="00C00EFB">
              <w:t>Placement proposal</w:t>
            </w:r>
          </w:p>
        </w:tc>
        <w:tc>
          <w:tcPr>
            <w:tcW w:w="2936" w:type="dxa"/>
          </w:tcPr>
          <w:p w14:paraId="78D1AAD2" w14:textId="77777777" w:rsidR="00C00EFB" w:rsidRPr="00C00EFB" w:rsidRDefault="00C00EFB" w:rsidP="00A21364">
            <w:pPr>
              <w:pStyle w:val="TableBullet1"/>
            </w:pPr>
            <w:r w:rsidRPr="00C00EFB">
              <w:t>STCA</w:t>
            </w:r>
          </w:p>
          <w:p w14:paraId="1E933566" w14:textId="77777777" w:rsidR="00C00EFB" w:rsidRPr="00C00EFB" w:rsidRDefault="00C00EFB" w:rsidP="00A21364">
            <w:pPr>
              <w:pStyle w:val="TableBullet1"/>
            </w:pPr>
            <w:r w:rsidRPr="00C00EFB">
              <w:t>Country of origin CA/ responsible agency</w:t>
            </w:r>
          </w:p>
        </w:tc>
      </w:tr>
      <w:tr w:rsidR="00A21364" w:rsidRPr="00C00EFB" w14:paraId="48CCC3E6" w14:textId="77777777" w:rsidTr="00A21364">
        <w:tc>
          <w:tcPr>
            <w:tcW w:w="1424" w:type="dxa"/>
          </w:tcPr>
          <w:p w14:paraId="58ED3F1C" w14:textId="77777777" w:rsidR="00C00EFB" w:rsidRPr="00C00EFB" w:rsidRDefault="00C00EFB" w:rsidP="00A21364">
            <w:pPr>
              <w:pStyle w:val="TableHeading2"/>
            </w:pPr>
            <w:r w:rsidRPr="00C00EFB">
              <w:t>Finalisation</w:t>
            </w:r>
          </w:p>
        </w:tc>
        <w:tc>
          <w:tcPr>
            <w:tcW w:w="5103" w:type="dxa"/>
          </w:tcPr>
          <w:p w14:paraId="209AEC2A" w14:textId="77777777" w:rsidR="00C00EFB" w:rsidRPr="00C00EFB" w:rsidRDefault="00C00EFB" w:rsidP="00A21364">
            <w:pPr>
              <w:pStyle w:val="TableBullet1"/>
            </w:pPr>
            <w:r w:rsidRPr="00C00EFB">
              <w:t xml:space="preserve">Immigration application </w:t>
            </w:r>
          </w:p>
          <w:p w14:paraId="7262DCAC" w14:textId="77777777" w:rsidR="00C00EFB" w:rsidRPr="00C00EFB" w:rsidRDefault="00C00EFB" w:rsidP="00A21364">
            <w:pPr>
              <w:pStyle w:val="TableBullet1"/>
            </w:pPr>
            <w:r w:rsidRPr="00C00EFB">
              <w:t>Travel to meet child</w:t>
            </w:r>
          </w:p>
          <w:p w14:paraId="55B8B562" w14:textId="77777777" w:rsidR="00C00EFB" w:rsidRPr="00C00EFB" w:rsidRDefault="00C00EFB" w:rsidP="00A21364">
            <w:pPr>
              <w:pStyle w:val="TableBullet1"/>
            </w:pPr>
            <w:r w:rsidRPr="00C00EFB">
              <w:t>Beginning of post-placement support</w:t>
            </w:r>
          </w:p>
          <w:p w14:paraId="2A135708" w14:textId="77777777" w:rsidR="00C00EFB" w:rsidRPr="00C00EFB" w:rsidRDefault="00C00EFB" w:rsidP="00A21364">
            <w:pPr>
              <w:pStyle w:val="TableBullet1"/>
            </w:pPr>
            <w:r w:rsidRPr="00C00EFB">
              <w:t>Finalisation of adoption</w:t>
            </w:r>
          </w:p>
        </w:tc>
        <w:tc>
          <w:tcPr>
            <w:tcW w:w="2936" w:type="dxa"/>
          </w:tcPr>
          <w:p w14:paraId="42FE8CFF" w14:textId="77777777" w:rsidR="00C00EFB" w:rsidRPr="00C00EFB" w:rsidRDefault="00C00EFB" w:rsidP="00A21364">
            <w:pPr>
              <w:pStyle w:val="TableBullet1"/>
            </w:pPr>
            <w:r w:rsidRPr="00C00EFB">
              <w:t>DIBP</w:t>
            </w:r>
          </w:p>
          <w:p w14:paraId="3A73EA3B" w14:textId="77777777" w:rsidR="00C00EFB" w:rsidRPr="00C00EFB" w:rsidRDefault="00C00EFB" w:rsidP="00A21364">
            <w:pPr>
              <w:pStyle w:val="TableBullet1"/>
            </w:pPr>
            <w:r w:rsidRPr="00C00EFB">
              <w:t>DFAT</w:t>
            </w:r>
          </w:p>
          <w:p w14:paraId="0BED99E0" w14:textId="77777777" w:rsidR="00C00EFB" w:rsidRPr="00C00EFB" w:rsidRDefault="00C00EFB" w:rsidP="00A21364">
            <w:pPr>
              <w:pStyle w:val="TableBullet1"/>
            </w:pPr>
            <w:r w:rsidRPr="00C00EFB">
              <w:t>STCA</w:t>
            </w:r>
          </w:p>
          <w:p w14:paraId="3534E1F2" w14:textId="77777777" w:rsidR="00C00EFB" w:rsidRPr="00C00EFB" w:rsidRDefault="00C00EFB" w:rsidP="00A21364">
            <w:pPr>
              <w:pStyle w:val="TableBullet1"/>
            </w:pPr>
            <w:r w:rsidRPr="00C00EFB">
              <w:t>Post-adoption support services in Australia</w:t>
            </w:r>
          </w:p>
        </w:tc>
      </w:tr>
    </w:tbl>
    <w:bookmarkEnd w:id="36"/>
    <w:p w14:paraId="7284373A" w14:textId="77777777" w:rsidR="00C00EFB" w:rsidRPr="00C00EFB" w:rsidRDefault="00C00EFB" w:rsidP="00A21364">
      <w:pPr>
        <w:pStyle w:val="Note"/>
      </w:pPr>
      <w:r w:rsidRPr="00C00EFB">
        <w:t xml:space="preserve">Source:  </w:t>
      </w:r>
      <w:r w:rsidRPr="00C00EFB">
        <w:fldChar w:fldCharType="begin" w:fldLock="1"/>
      </w:r>
      <w:r w:rsidRPr="00C00EFB">
        <w:instrText>ADDIN CSL_CITATION { "citationItems" : [ { "id" : "ITEM-1", "itemData" : { "ISBN" : "9781742492681", "author" : [ { "dropping-particle" : "", "family" : "Australian Institute of Health and Welfare", "given" : "", "non-dropping-particle" : "", "parse-names" : false, "suffix" : "" } ], "id" : "ITEM-1", "issue" : "Child Welfare Series No. 62", "issued" : { "date-parts" : [ [ "2015" ] ] }, "title" : "Adoptions Australia 2014-15", "type" : "report" }, "uris" : [ "http://www.mendeley.com/documents/?uuid=a7d585c3-f515-438c-b0ba-d8f2bef78cf9" ] } ], "mendeley" : { "formattedCitation" : "(Australian Institute of Health and Welfare 2015)", "plainTextFormattedCitation" : "(Australian Institute of Health and Welfare 2015)", "previouslyFormattedCitation" : "(Australian Institute of Health and Welfare 2015)" }, "properties" : { "noteIndex" : 0 }, "schema" : "https://github.com/citation-style-language/schema/raw/master/csl-citation.json" }</w:instrText>
      </w:r>
      <w:r w:rsidRPr="00C00EFB">
        <w:fldChar w:fldCharType="separate"/>
      </w:r>
      <w:r w:rsidRPr="00C00EFB">
        <w:rPr>
          <w:noProof/>
        </w:rPr>
        <w:t>(Australian Institute of Health and Welfare 2015)</w:t>
      </w:r>
      <w:r w:rsidRPr="00C00EFB">
        <w:fldChar w:fldCharType="end"/>
      </w:r>
    </w:p>
    <w:p w14:paraId="5547A2C1" w14:textId="77777777" w:rsidR="00C00EFB" w:rsidRPr="00C00EFB" w:rsidRDefault="00C00EFB" w:rsidP="00C00EFB">
      <w:pPr>
        <w:keepLines/>
        <w:spacing w:before="40" w:after="120"/>
        <w:contextualSpacing/>
        <w:rPr>
          <w:rFonts w:eastAsia="Times New Roman"/>
          <w:sz w:val="20"/>
          <w:szCs w:val="20"/>
        </w:rPr>
        <w:sectPr w:rsidR="00C00EFB" w:rsidRPr="00C00EFB" w:rsidSect="001469F7">
          <w:headerReference w:type="even" r:id="rId20"/>
          <w:headerReference w:type="default" r:id="rId21"/>
          <w:pgSz w:w="11907" w:h="16840" w:code="9"/>
          <w:pgMar w:top="993" w:right="1134" w:bottom="993" w:left="1418" w:header="567" w:footer="567" w:gutter="0"/>
          <w:pgNumType w:start="1"/>
          <w:cols w:space="680"/>
        </w:sectPr>
      </w:pPr>
    </w:p>
    <w:p w14:paraId="0F572679" w14:textId="46B12002" w:rsidR="00E71DBD" w:rsidRDefault="00C00EFB" w:rsidP="00A21364">
      <w:pPr>
        <w:pStyle w:val="Caption"/>
      </w:pPr>
      <w:bookmarkStart w:id="37" w:name="_Toc490481675"/>
      <w:r w:rsidRPr="00C00EFB">
        <w:lastRenderedPageBreak/>
        <w:t>Figure </w:t>
      </w:r>
      <w:r w:rsidR="008B1AA3">
        <w:fldChar w:fldCharType="begin"/>
      </w:r>
      <w:r w:rsidR="008B1AA3">
        <w:instrText xml:space="preserve"> STYLEREF 1 \s </w:instrText>
      </w:r>
      <w:r w:rsidR="008B1AA3">
        <w:fldChar w:fldCharType="separate"/>
      </w:r>
      <w:r w:rsidR="00487073">
        <w:rPr>
          <w:noProof/>
        </w:rPr>
        <w:t>3</w:t>
      </w:r>
      <w:r w:rsidR="008B1AA3">
        <w:fldChar w:fldCharType="end"/>
      </w:r>
      <w:r w:rsidR="008B1AA3">
        <w:noBreakHyphen/>
      </w:r>
      <w:r w:rsidR="008B1AA3">
        <w:fldChar w:fldCharType="begin"/>
      </w:r>
      <w:r w:rsidR="008B1AA3">
        <w:instrText xml:space="preserve"> SEQ Figure \* ARABIC \s 1 </w:instrText>
      </w:r>
      <w:r w:rsidR="008B1AA3">
        <w:fldChar w:fldCharType="separate"/>
      </w:r>
      <w:r w:rsidR="00487073">
        <w:rPr>
          <w:noProof/>
        </w:rPr>
        <w:t>1</w:t>
      </w:r>
      <w:r w:rsidR="008B1AA3">
        <w:fldChar w:fldCharType="end"/>
      </w:r>
      <w:r w:rsidRPr="00C00EFB">
        <w:t>:</w:t>
      </w:r>
      <w:r w:rsidRPr="00C00EFB">
        <w:tab/>
        <w:t>Key administration stakeholders in ICA in Australia</w:t>
      </w:r>
      <w:bookmarkEnd w:id="37"/>
      <w:r w:rsidR="00E04DF9">
        <w:t xml:space="preserve"> </w:t>
      </w:r>
    </w:p>
    <w:p w14:paraId="6695F5B8" w14:textId="289651F2" w:rsidR="00C00EFB" w:rsidRPr="00C00EFB" w:rsidRDefault="00DD4958" w:rsidP="00E71DBD">
      <w:r>
        <w:rPr>
          <w:noProof/>
          <w:lang w:val="en-AU" w:eastAsia="en-AU"/>
        </w:rPr>
        <w:drawing>
          <wp:inline distT="0" distB="0" distL="0" distR="0" wp14:anchorId="6F8BF03A" wp14:editId="1B438A26">
            <wp:extent cx="9820275" cy="5372541"/>
            <wp:effectExtent l="0" t="0" r="0" b="0"/>
            <wp:docPr id="7" name="Picture 7" descr="http://www.intercountryadoption.gov.au/about/roles-responsibilities/" title="http://www.intercountryadoption.gov.au/about/roles-responsi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24677" cy="5374949"/>
                    </a:xfrm>
                    <a:prstGeom prst="rect">
                      <a:avLst/>
                    </a:prstGeom>
                    <a:noFill/>
                  </pic:spPr>
                </pic:pic>
              </a:graphicData>
            </a:graphic>
          </wp:inline>
        </w:drawing>
      </w:r>
    </w:p>
    <w:p w14:paraId="22007F38" w14:textId="522D1030" w:rsidR="00C00EFB" w:rsidRPr="00A21364" w:rsidRDefault="000B67DE" w:rsidP="00A21364">
      <w:pPr>
        <w:pStyle w:val="Note"/>
        <w:rPr>
          <w:sz w:val="22"/>
        </w:rPr>
      </w:pPr>
      <w:hyperlink r:id="rId23" w:history="1">
        <w:r w:rsidR="00C00EFB" w:rsidRPr="008E7495">
          <w:rPr>
            <w:rStyle w:val="Hyperlink"/>
            <w:noProof w:val="0"/>
            <w:szCs w:val="16"/>
          </w:rPr>
          <w:t xml:space="preserve">Source:  Attorney-General’s Department, </w:t>
        </w:r>
        <w:r w:rsidR="00C00EFB" w:rsidRPr="008E7495">
          <w:rPr>
            <w:rStyle w:val="Hyperlink"/>
            <w:i/>
            <w:iCs/>
            <w:noProof w:val="0"/>
            <w:szCs w:val="16"/>
          </w:rPr>
          <w:t>Roles and responsibilities of central authorities</w:t>
        </w:r>
        <w:r w:rsidR="00C00EFB" w:rsidRPr="008E7495">
          <w:rPr>
            <w:rStyle w:val="Hyperlink"/>
            <w:noProof w:val="0"/>
            <w:szCs w:val="16"/>
          </w:rPr>
          <w:t>,</w:t>
        </w:r>
      </w:hyperlink>
      <w:r w:rsidR="00C00EFB" w:rsidRPr="00A21364">
        <w:rPr>
          <w:szCs w:val="16"/>
        </w:rPr>
        <w:t xml:space="preserve"> </w:t>
      </w:r>
    </w:p>
    <w:p w14:paraId="081D45FD" w14:textId="77777777" w:rsidR="00C00EFB" w:rsidRPr="00A21364" w:rsidRDefault="00C00EFB" w:rsidP="00A21364">
      <w:pPr>
        <w:pStyle w:val="Note"/>
        <w:rPr>
          <w:rFonts w:eastAsia="Arial Unicode MS" w:cs="Calibri"/>
          <w:b/>
          <w:color w:val="0079C1" w:themeColor="text2"/>
          <w:sz w:val="36"/>
          <w:szCs w:val="88"/>
          <w:lang w:eastAsia="en-AU"/>
        </w:rPr>
        <w:sectPr w:rsidR="00C00EFB" w:rsidRPr="00A21364" w:rsidSect="00CC6594">
          <w:pgSz w:w="16840" w:h="11907" w:orient="landscape" w:code="9"/>
          <w:pgMar w:top="1134" w:right="1134" w:bottom="993" w:left="1134" w:header="567" w:footer="567" w:gutter="0"/>
          <w:cols w:space="680"/>
        </w:sectPr>
      </w:pPr>
    </w:p>
    <w:p w14:paraId="6612A8B0" w14:textId="541916DD" w:rsidR="00C00EFB" w:rsidRPr="00C00EFB" w:rsidRDefault="00C00EFB" w:rsidP="00283E1C">
      <w:pPr>
        <w:pStyle w:val="Heading2"/>
      </w:pPr>
      <w:bookmarkStart w:id="38" w:name="_Toc490481615"/>
      <w:r w:rsidRPr="00C00EFB">
        <w:lastRenderedPageBreak/>
        <w:t>Australia’s ICA program partners</w:t>
      </w:r>
      <w:bookmarkEnd w:id="38"/>
    </w:p>
    <w:p w14:paraId="74DE6776" w14:textId="288D7B35" w:rsidR="00C00EFB" w:rsidRDefault="00C00EFB" w:rsidP="00A21364">
      <w:pPr>
        <w:pStyle w:val="Paragraph"/>
      </w:pPr>
      <w:r w:rsidRPr="00C00EFB">
        <w:t xml:space="preserve">The vast majority of ICAs in Australia occur through programs established with </w:t>
      </w:r>
      <w:r w:rsidR="001B3433">
        <w:t>partner</w:t>
      </w:r>
      <w:r w:rsidR="001B3433" w:rsidRPr="00C00EFB">
        <w:t xml:space="preserve"> </w:t>
      </w:r>
      <w:r w:rsidRPr="00C00EFB">
        <w:t>countries that are signatories to the Hague Convention or through bilateral arrangements with non-Hague signatories.  In the case of the latter, however, compliance with the standards of the Hague Convention must still be ensured.</w:t>
      </w:r>
    </w:p>
    <w:p w14:paraId="0DA954FF" w14:textId="07F813B5" w:rsidR="005C04FF" w:rsidRPr="00C00EFB" w:rsidRDefault="005C04FF" w:rsidP="00A21364">
      <w:pPr>
        <w:pStyle w:val="Paragraph"/>
      </w:pPr>
      <w:r>
        <w:t>I</w:t>
      </w:r>
      <w:r w:rsidRPr="005C04FF">
        <w:t>n very rare cases</w:t>
      </w:r>
      <w:r>
        <w:t xml:space="preserve">, </w:t>
      </w:r>
      <w:r w:rsidRPr="005C04FF">
        <w:t>STCAs m</w:t>
      </w:r>
      <w:r>
        <w:t>ay</w:t>
      </w:r>
      <w:r w:rsidRPr="005C04FF">
        <w:t xml:space="preserve"> agree to facilitate</w:t>
      </w:r>
      <w:r w:rsidR="00AA082B">
        <w:t xml:space="preserve"> a</w:t>
      </w:r>
      <w:r w:rsidRPr="005C04FF">
        <w:t xml:space="preserve"> relative, known child or ad hoc adoption through a non-partner country</w:t>
      </w:r>
      <w:r>
        <w:t>.  In such cases, the</w:t>
      </w:r>
      <w:r w:rsidRPr="005C04FF">
        <w:t xml:space="preserve"> adoption </w:t>
      </w:r>
      <w:r>
        <w:t>must</w:t>
      </w:r>
      <w:r w:rsidRPr="005C04FF">
        <w:t xml:space="preserve"> be consistent with Hague principles</w:t>
      </w:r>
      <w:r>
        <w:t>.</w:t>
      </w:r>
    </w:p>
    <w:p w14:paraId="13341FEB" w14:textId="3481D975" w:rsidR="00C00EFB" w:rsidRPr="00C00EFB" w:rsidRDefault="00C00EFB" w:rsidP="00A21364">
      <w:pPr>
        <w:pStyle w:val="Paragraph"/>
      </w:pPr>
      <w:r w:rsidRPr="00C00EFB">
        <w:t xml:space="preserve">These arrangements determine the main overseas countries (program partners) from which prospective adoptive parents in Australia can adopt.  </w:t>
      </w:r>
    </w:p>
    <w:p w14:paraId="51B92C33" w14:textId="200EC862" w:rsidR="00C00EFB" w:rsidRPr="00C00EFB" w:rsidRDefault="00C00EFB" w:rsidP="00A21364">
      <w:pPr>
        <w:pStyle w:val="Paragraph"/>
      </w:pPr>
      <w:r w:rsidRPr="00C00EFB">
        <w:t xml:space="preserve">Australia’s ICA program partner arrangements are dynamic.  Some arrangements have been in place for a long period of time while others commenced more recently.  In addition, some program arrangements have been put on hold or closed while some former partner countries have imposed adoption bans or freezes.  With the opening of a new program with Bulgaria in May 2016, Australia currently has open ICA programs with 13 other countries (see </w:t>
      </w:r>
      <w:r w:rsidRPr="00D824BD">
        <w:rPr>
          <w:rStyle w:val="Emphasis"/>
        </w:rPr>
        <w:fldChar w:fldCharType="begin"/>
      </w:r>
      <w:r w:rsidRPr="00D824BD">
        <w:rPr>
          <w:rStyle w:val="Emphasis"/>
        </w:rPr>
        <w:instrText xml:space="preserve"> REF _Ref458174873 \h </w:instrText>
      </w:r>
      <w:r w:rsidR="005C04FF">
        <w:rPr>
          <w:rStyle w:val="Emphasis"/>
        </w:rPr>
        <w:instrText xml:space="preserve"> \* MERGEFORMAT </w:instrText>
      </w:r>
      <w:r w:rsidRPr="00D824BD">
        <w:rPr>
          <w:rStyle w:val="Emphasis"/>
        </w:rPr>
      </w:r>
      <w:r w:rsidRPr="00D824BD">
        <w:rPr>
          <w:rStyle w:val="Emphasis"/>
        </w:rPr>
        <w:fldChar w:fldCharType="separate"/>
      </w:r>
      <w:r w:rsidR="00487073" w:rsidRPr="00487073">
        <w:rPr>
          <w:rStyle w:val="Emphasis"/>
        </w:rPr>
        <w:t>Table 3</w:t>
      </w:r>
      <w:r w:rsidR="00487073" w:rsidRPr="00487073">
        <w:rPr>
          <w:rStyle w:val="Emphasis"/>
        </w:rPr>
        <w:noBreakHyphen/>
        <w:t>2</w:t>
      </w:r>
      <w:r w:rsidRPr="00D824BD">
        <w:rPr>
          <w:rStyle w:val="Emphasis"/>
        </w:rPr>
        <w:fldChar w:fldCharType="end"/>
      </w:r>
      <w:r w:rsidRPr="00C00EFB">
        <w:t>).</w:t>
      </w:r>
    </w:p>
    <w:p w14:paraId="47E17259" w14:textId="096D82EC" w:rsidR="00C00EFB" w:rsidRPr="00C00EFB" w:rsidRDefault="00C00EFB" w:rsidP="00A21364">
      <w:pPr>
        <w:pStyle w:val="Caption"/>
      </w:pPr>
      <w:bookmarkStart w:id="39" w:name="_Ref458174873"/>
      <w:bookmarkStart w:id="40" w:name="_Toc490481648"/>
      <w:bookmarkStart w:id="41" w:name="_Hlk490040620"/>
      <w:r w:rsidRPr="00C00EFB">
        <w:t>Table </w:t>
      </w:r>
      <w:r w:rsidR="00644B63">
        <w:fldChar w:fldCharType="begin"/>
      </w:r>
      <w:r w:rsidR="00644B63">
        <w:instrText xml:space="preserve"> STYLEREF 1 \s </w:instrText>
      </w:r>
      <w:r w:rsidR="00644B63">
        <w:fldChar w:fldCharType="separate"/>
      </w:r>
      <w:r w:rsidR="00487073">
        <w:rPr>
          <w:noProof/>
        </w:rPr>
        <w:t>3</w:t>
      </w:r>
      <w:r w:rsidR="00644B63">
        <w:fldChar w:fldCharType="end"/>
      </w:r>
      <w:r w:rsidR="00644B63">
        <w:noBreakHyphen/>
      </w:r>
      <w:r w:rsidR="00644B63">
        <w:fldChar w:fldCharType="begin"/>
      </w:r>
      <w:r w:rsidR="00644B63">
        <w:instrText xml:space="preserve"> SEQ Table \* ARABIC \s 1 </w:instrText>
      </w:r>
      <w:r w:rsidR="00644B63">
        <w:fldChar w:fldCharType="separate"/>
      </w:r>
      <w:r w:rsidR="00487073">
        <w:rPr>
          <w:noProof/>
        </w:rPr>
        <w:t>2</w:t>
      </w:r>
      <w:r w:rsidR="00644B63">
        <w:fldChar w:fldCharType="end"/>
      </w:r>
      <w:bookmarkEnd w:id="39"/>
      <w:r w:rsidRPr="00C00EFB">
        <w:t>:</w:t>
      </w:r>
      <w:r w:rsidRPr="00C00EFB">
        <w:tab/>
        <w:t xml:space="preserve">Australia's ICA program </w:t>
      </w:r>
      <w:r w:rsidRPr="006B540A">
        <w:t>status</w:t>
      </w:r>
      <w:r w:rsidR="00E04DF9" w:rsidRPr="006B540A">
        <w:t xml:space="preserve"> as at </w:t>
      </w:r>
      <w:r w:rsidR="006B540A" w:rsidRPr="006B540A">
        <w:t>31 August</w:t>
      </w:r>
      <w:r w:rsidR="00E04DF9" w:rsidRPr="006B540A">
        <w:t xml:space="preserve"> 2016</w:t>
      </w:r>
      <w:bookmarkEnd w:id="40"/>
    </w:p>
    <w:tbl>
      <w:tblPr>
        <w:tblStyle w:val="TableGrid"/>
        <w:tblW w:w="0" w:type="auto"/>
        <w:tblInd w:w="108"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Description w:val="Table 3 2: Australia's ICA program status as at 31 August 2016"/>
      </w:tblPr>
      <w:tblGrid>
        <w:gridCol w:w="2878"/>
        <w:gridCol w:w="2876"/>
        <w:gridCol w:w="3493"/>
      </w:tblGrid>
      <w:tr w:rsidR="00A21364" w:rsidRPr="008B060F" w14:paraId="47C289BD" w14:textId="77777777" w:rsidTr="00402C12">
        <w:trPr>
          <w:tblHeader/>
        </w:trPr>
        <w:tc>
          <w:tcPr>
            <w:tcW w:w="5818" w:type="dxa"/>
            <w:gridSpan w:val="2"/>
            <w:shd w:val="clear" w:color="auto" w:fill="0079C1" w:themeFill="text2"/>
            <w:vAlign w:val="center"/>
          </w:tcPr>
          <w:p w14:paraId="2EECA7A9" w14:textId="1B883A65" w:rsidR="00C00EFB" w:rsidRPr="008B060F" w:rsidRDefault="00C00EFB" w:rsidP="00A21364">
            <w:pPr>
              <w:pStyle w:val="TableHeading1"/>
              <w:rPr>
                <w:sz w:val="21"/>
                <w:szCs w:val="21"/>
              </w:rPr>
            </w:pPr>
            <w:r w:rsidRPr="008B060F">
              <w:rPr>
                <w:sz w:val="21"/>
                <w:szCs w:val="21"/>
              </w:rPr>
              <w:t>Open programs</w:t>
            </w:r>
          </w:p>
        </w:tc>
        <w:tc>
          <w:tcPr>
            <w:tcW w:w="3538" w:type="dxa"/>
            <w:shd w:val="clear" w:color="auto" w:fill="0079C1" w:themeFill="text2"/>
            <w:vAlign w:val="center"/>
          </w:tcPr>
          <w:p w14:paraId="47E8C461" w14:textId="0DDB015E" w:rsidR="00C00EFB" w:rsidRPr="008B060F" w:rsidRDefault="00C00EFB" w:rsidP="00A21364">
            <w:pPr>
              <w:pStyle w:val="TableHeading1"/>
              <w:rPr>
                <w:sz w:val="21"/>
                <w:szCs w:val="21"/>
              </w:rPr>
            </w:pPr>
            <w:r w:rsidRPr="008B060F">
              <w:rPr>
                <w:sz w:val="21"/>
                <w:szCs w:val="21"/>
              </w:rPr>
              <w:t>Possible new country program</w:t>
            </w:r>
            <w:r w:rsidRPr="008B060F">
              <w:rPr>
                <w:sz w:val="21"/>
                <w:szCs w:val="21"/>
              </w:rPr>
              <w:br/>
              <w:t>(under investigation)</w:t>
            </w:r>
          </w:p>
        </w:tc>
      </w:tr>
      <w:tr w:rsidR="00A21364" w:rsidRPr="008B060F" w14:paraId="287B9684" w14:textId="77777777" w:rsidTr="00AE03C6">
        <w:tc>
          <w:tcPr>
            <w:tcW w:w="2909" w:type="dxa"/>
          </w:tcPr>
          <w:p w14:paraId="0D2B02F6" w14:textId="77777777" w:rsidR="00C00EFB" w:rsidRPr="008B060F" w:rsidRDefault="00C00EFB" w:rsidP="00A21364">
            <w:pPr>
              <w:pStyle w:val="TableBullet1"/>
              <w:rPr>
                <w:sz w:val="21"/>
                <w:szCs w:val="21"/>
              </w:rPr>
            </w:pPr>
            <w:r w:rsidRPr="008B060F">
              <w:rPr>
                <w:sz w:val="21"/>
                <w:szCs w:val="21"/>
              </w:rPr>
              <w:t>Bulgaria</w:t>
            </w:r>
          </w:p>
          <w:p w14:paraId="461D4F0A" w14:textId="77777777" w:rsidR="00C00EFB" w:rsidRPr="008B060F" w:rsidRDefault="00C00EFB" w:rsidP="00A21364">
            <w:pPr>
              <w:pStyle w:val="TableBullet1"/>
              <w:rPr>
                <w:sz w:val="21"/>
                <w:szCs w:val="21"/>
              </w:rPr>
            </w:pPr>
            <w:r w:rsidRPr="008B060F">
              <w:rPr>
                <w:sz w:val="21"/>
                <w:szCs w:val="21"/>
              </w:rPr>
              <w:t>Chile</w:t>
            </w:r>
          </w:p>
          <w:p w14:paraId="6D6E0AE5" w14:textId="77777777" w:rsidR="00C00EFB" w:rsidRPr="008B060F" w:rsidRDefault="00C00EFB" w:rsidP="00A21364">
            <w:pPr>
              <w:pStyle w:val="TableBullet1"/>
              <w:rPr>
                <w:sz w:val="21"/>
                <w:szCs w:val="21"/>
              </w:rPr>
            </w:pPr>
            <w:r w:rsidRPr="008B060F">
              <w:rPr>
                <w:sz w:val="21"/>
                <w:szCs w:val="21"/>
              </w:rPr>
              <w:t>China</w:t>
            </w:r>
          </w:p>
          <w:p w14:paraId="31A4F259" w14:textId="77777777" w:rsidR="00C00EFB" w:rsidRPr="008B060F" w:rsidRDefault="00C00EFB" w:rsidP="00A21364">
            <w:pPr>
              <w:pStyle w:val="TableBullet1"/>
              <w:rPr>
                <w:sz w:val="21"/>
                <w:szCs w:val="21"/>
              </w:rPr>
            </w:pPr>
            <w:r w:rsidRPr="008B060F">
              <w:rPr>
                <w:sz w:val="21"/>
                <w:szCs w:val="21"/>
              </w:rPr>
              <w:t>Colombia</w:t>
            </w:r>
          </w:p>
          <w:p w14:paraId="1FF1FD40" w14:textId="77777777" w:rsidR="00C00EFB" w:rsidRPr="008B060F" w:rsidRDefault="00C00EFB" w:rsidP="00A21364">
            <w:pPr>
              <w:pStyle w:val="TableBullet1"/>
              <w:rPr>
                <w:sz w:val="21"/>
                <w:szCs w:val="21"/>
              </w:rPr>
            </w:pPr>
            <w:r w:rsidRPr="008B060F">
              <w:rPr>
                <w:sz w:val="21"/>
                <w:szCs w:val="21"/>
              </w:rPr>
              <w:t>Hong Kong</w:t>
            </w:r>
          </w:p>
          <w:p w14:paraId="218D4D94" w14:textId="77777777" w:rsidR="00C00EFB" w:rsidRPr="008B060F" w:rsidRDefault="00C00EFB" w:rsidP="00A21364">
            <w:pPr>
              <w:pStyle w:val="TableBullet1"/>
              <w:rPr>
                <w:sz w:val="21"/>
                <w:szCs w:val="21"/>
              </w:rPr>
            </w:pPr>
            <w:r w:rsidRPr="008B060F">
              <w:rPr>
                <w:sz w:val="21"/>
                <w:szCs w:val="21"/>
              </w:rPr>
              <w:t>Latvia</w:t>
            </w:r>
          </w:p>
          <w:p w14:paraId="44E5EBA0" w14:textId="77777777" w:rsidR="00C00EFB" w:rsidRPr="008B060F" w:rsidRDefault="00C00EFB" w:rsidP="00A21364">
            <w:pPr>
              <w:pStyle w:val="TableBullet1"/>
              <w:rPr>
                <w:sz w:val="21"/>
                <w:szCs w:val="21"/>
              </w:rPr>
            </w:pPr>
            <w:r w:rsidRPr="008B060F">
              <w:rPr>
                <w:sz w:val="21"/>
                <w:szCs w:val="21"/>
              </w:rPr>
              <w:t>Philippines</w:t>
            </w:r>
          </w:p>
        </w:tc>
        <w:tc>
          <w:tcPr>
            <w:tcW w:w="2909" w:type="dxa"/>
          </w:tcPr>
          <w:p w14:paraId="438D3031" w14:textId="77777777" w:rsidR="00C00EFB" w:rsidRPr="008B060F" w:rsidRDefault="00C00EFB" w:rsidP="00A21364">
            <w:pPr>
              <w:pStyle w:val="TableBullet1"/>
              <w:rPr>
                <w:sz w:val="21"/>
                <w:szCs w:val="21"/>
              </w:rPr>
            </w:pPr>
            <w:r w:rsidRPr="008B060F">
              <w:rPr>
                <w:sz w:val="21"/>
                <w:szCs w:val="21"/>
              </w:rPr>
              <w:t>Poland</w:t>
            </w:r>
          </w:p>
          <w:p w14:paraId="1A7EA431" w14:textId="77777777" w:rsidR="00C00EFB" w:rsidRPr="008B060F" w:rsidRDefault="00C00EFB" w:rsidP="00A21364">
            <w:pPr>
              <w:pStyle w:val="TableBullet1"/>
              <w:rPr>
                <w:sz w:val="21"/>
                <w:szCs w:val="21"/>
              </w:rPr>
            </w:pPr>
            <w:r w:rsidRPr="008B060F">
              <w:rPr>
                <w:sz w:val="21"/>
                <w:szCs w:val="21"/>
              </w:rPr>
              <w:t>South Africa</w:t>
            </w:r>
          </w:p>
          <w:p w14:paraId="076D9DDB" w14:textId="77777777" w:rsidR="00C00EFB" w:rsidRPr="008B060F" w:rsidRDefault="00C00EFB" w:rsidP="00A21364">
            <w:pPr>
              <w:pStyle w:val="TableBullet1"/>
              <w:rPr>
                <w:sz w:val="21"/>
                <w:szCs w:val="21"/>
              </w:rPr>
            </w:pPr>
            <w:r w:rsidRPr="008B060F">
              <w:rPr>
                <w:sz w:val="21"/>
                <w:szCs w:val="21"/>
              </w:rPr>
              <w:t>South Korea</w:t>
            </w:r>
          </w:p>
          <w:p w14:paraId="134D9AED" w14:textId="77777777" w:rsidR="00C00EFB" w:rsidRPr="008B060F" w:rsidRDefault="00C00EFB" w:rsidP="00A21364">
            <w:pPr>
              <w:pStyle w:val="TableBullet1"/>
              <w:rPr>
                <w:sz w:val="21"/>
                <w:szCs w:val="21"/>
              </w:rPr>
            </w:pPr>
            <w:r w:rsidRPr="008B060F">
              <w:rPr>
                <w:sz w:val="21"/>
                <w:szCs w:val="21"/>
              </w:rPr>
              <w:t>Sri Lanka</w:t>
            </w:r>
          </w:p>
          <w:p w14:paraId="233D2AB3" w14:textId="77777777" w:rsidR="00C00EFB" w:rsidRPr="008B060F" w:rsidRDefault="00C00EFB" w:rsidP="00A21364">
            <w:pPr>
              <w:pStyle w:val="TableBullet1"/>
              <w:rPr>
                <w:sz w:val="21"/>
                <w:szCs w:val="21"/>
              </w:rPr>
            </w:pPr>
            <w:r w:rsidRPr="008B060F">
              <w:rPr>
                <w:sz w:val="21"/>
                <w:szCs w:val="21"/>
              </w:rPr>
              <w:t>Taiwan</w:t>
            </w:r>
          </w:p>
          <w:p w14:paraId="7C9BDC22" w14:textId="77777777" w:rsidR="00C00EFB" w:rsidRPr="008B060F" w:rsidRDefault="00C00EFB" w:rsidP="00A21364">
            <w:pPr>
              <w:pStyle w:val="TableBullet1"/>
              <w:rPr>
                <w:sz w:val="21"/>
                <w:szCs w:val="21"/>
              </w:rPr>
            </w:pPr>
            <w:r w:rsidRPr="008B060F">
              <w:rPr>
                <w:sz w:val="21"/>
                <w:szCs w:val="21"/>
              </w:rPr>
              <w:t>Thailand</w:t>
            </w:r>
          </w:p>
        </w:tc>
        <w:tc>
          <w:tcPr>
            <w:tcW w:w="3538" w:type="dxa"/>
          </w:tcPr>
          <w:p w14:paraId="0258ECA8" w14:textId="77777777" w:rsidR="00C00EFB" w:rsidRPr="008B060F" w:rsidRDefault="00C00EFB" w:rsidP="00A21364">
            <w:pPr>
              <w:pStyle w:val="TableBullet1"/>
              <w:rPr>
                <w:sz w:val="21"/>
                <w:szCs w:val="21"/>
              </w:rPr>
            </w:pPr>
            <w:r w:rsidRPr="008B060F">
              <w:rPr>
                <w:sz w:val="21"/>
                <w:szCs w:val="21"/>
              </w:rPr>
              <w:t>Vietnam</w:t>
            </w:r>
          </w:p>
        </w:tc>
      </w:tr>
      <w:tr w:rsidR="00EB6BF0" w:rsidRPr="008B060F" w14:paraId="459C4237" w14:textId="77777777" w:rsidTr="00AE03C6">
        <w:trPr>
          <w:trHeight w:val="382"/>
        </w:trPr>
        <w:tc>
          <w:tcPr>
            <w:tcW w:w="5818" w:type="dxa"/>
            <w:gridSpan w:val="2"/>
            <w:shd w:val="clear" w:color="auto" w:fill="0079C1" w:themeFill="text2"/>
            <w:vAlign w:val="center"/>
          </w:tcPr>
          <w:p w14:paraId="284A0340" w14:textId="6E45F361" w:rsidR="00C00EFB" w:rsidRPr="008B060F" w:rsidRDefault="00C00EFB" w:rsidP="00A21364">
            <w:pPr>
              <w:pStyle w:val="TableHeading1"/>
              <w:rPr>
                <w:sz w:val="21"/>
                <w:szCs w:val="21"/>
              </w:rPr>
            </w:pPr>
            <w:r w:rsidRPr="008B060F">
              <w:rPr>
                <w:sz w:val="21"/>
                <w:szCs w:val="21"/>
              </w:rPr>
              <w:t>On hold or closed programs</w:t>
            </w:r>
          </w:p>
        </w:tc>
        <w:tc>
          <w:tcPr>
            <w:tcW w:w="3538" w:type="dxa"/>
            <w:shd w:val="clear" w:color="auto" w:fill="0079C1" w:themeFill="text2"/>
            <w:vAlign w:val="center"/>
          </w:tcPr>
          <w:p w14:paraId="3A6B68B2" w14:textId="77777777" w:rsidR="00C00EFB" w:rsidRPr="008B060F" w:rsidRDefault="00C00EFB" w:rsidP="00A21364">
            <w:pPr>
              <w:pStyle w:val="TableHeading1"/>
              <w:rPr>
                <w:sz w:val="21"/>
                <w:szCs w:val="21"/>
              </w:rPr>
            </w:pPr>
            <w:r w:rsidRPr="008B060F">
              <w:rPr>
                <w:sz w:val="21"/>
                <w:szCs w:val="21"/>
              </w:rPr>
              <w:t>Countries imposing adoption bans or freezes</w:t>
            </w:r>
          </w:p>
        </w:tc>
      </w:tr>
      <w:tr w:rsidR="00A21364" w:rsidRPr="008B060F" w14:paraId="693714E9" w14:textId="77777777" w:rsidTr="00AE03C6">
        <w:tc>
          <w:tcPr>
            <w:tcW w:w="2909" w:type="dxa"/>
          </w:tcPr>
          <w:p w14:paraId="16A511BF" w14:textId="77777777" w:rsidR="00C00EFB" w:rsidRPr="008B060F" w:rsidRDefault="00C00EFB" w:rsidP="00A21364">
            <w:pPr>
              <w:pStyle w:val="TableBullet1"/>
              <w:rPr>
                <w:sz w:val="21"/>
                <w:szCs w:val="21"/>
              </w:rPr>
            </w:pPr>
            <w:r w:rsidRPr="008B060F">
              <w:rPr>
                <w:sz w:val="21"/>
                <w:szCs w:val="21"/>
              </w:rPr>
              <w:t>Bolivia</w:t>
            </w:r>
          </w:p>
          <w:p w14:paraId="55A69717" w14:textId="77777777" w:rsidR="00C00EFB" w:rsidRPr="008B060F" w:rsidRDefault="00C00EFB" w:rsidP="00A21364">
            <w:pPr>
              <w:pStyle w:val="TableBullet1"/>
              <w:rPr>
                <w:sz w:val="21"/>
                <w:szCs w:val="21"/>
              </w:rPr>
            </w:pPr>
            <w:r w:rsidRPr="008B060F">
              <w:rPr>
                <w:sz w:val="21"/>
                <w:szCs w:val="21"/>
              </w:rPr>
              <w:t>Ethiopia</w:t>
            </w:r>
          </w:p>
          <w:p w14:paraId="72FF2ADD" w14:textId="77777777" w:rsidR="00C00EFB" w:rsidRPr="008B060F" w:rsidRDefault="00C00EFB" w:rsidP="00A21364">
            <w:pPr>
              <w:pStyle w:val="TableBullet1"/>
              <w:rPr>
                <w:sz w:val="21"/>
                <w:szCs w:val="21"/>
              </w:rPr>
            </w:pPr>
            <w:r w:rsidRPr="008B060F">
              <w:rPr>
                <w:sz w:val="21"/>
                <w:szCs w:val="21"/>
              </w:rPr>
              <w:t>Fiji</w:t>
            </w:r>
          </w:p>
        </w:tc>
        <w:tc>
          <w:tcPr>
            <w:tcW w:w="2909" w:type="dxa"/>
          </w:tcPr>
          <w:p w14:paraId="421C5480" w14:textId="77777777" w:rsidR="00C00EFB" w:rsidRPr="008B060F" w:rsidRDefault="00C00EFB" w:rsidP="00A21364">
            <w:pPr>
              <w:pStyle w:val="TableBullet1"/>
              <w:rPr>
                <w:sz w:val="21"/>
                <w:szCs w:val="21"/>
              </w:rPr>
            </w:pPr>
            <w:r w:rsidRPr="008B060F">
              <w:rPr>
                <w:sz w:val="21"/>
                <w:szCs w:val="21"/>
              </w:rPr>
              <w:t xml:space="preserve">India </w:t>
            </w:r>
          </w:p>
          <w:p w14:paraId="53E281D9" w14:textId="77777777" w:rsidR="00C00EFB" w:rsidRPr="008B060F" w:rsidRDefault="00C00EFB" w:rsidP="00A21364">
            <w:pPr>
              <w:pStyle w:val="TableBullet1"/>
              <w:rPr>
                <w:sz w:val="21"/>
                <w:szCs w:val="21"/>
              </w:rPr>
            </w:pPr>
            <w:r w:rsidRPr="008B060F">
              <w:rPr>
                <w:sz w:val="21"/>
                <w:szCs w:val="21"/>
              </w:rPr>
              <w:t>Lithuania</w:t>
            </w:r>
          </w:p>
        </w:tc>
        <w:tc>
          <w:tcPr>
            <w:tcW w:w="3538" w:type="dxa"/>
          </w:tcPr>
          <w:p w14:paraId="339C4962" w14:textId="77777777" w:rsidR="00C00EFB" w:rsidRPr="008B060F" w:rsidRDefault="00C00EFB" w:rsidP="00A21364">
            <w:pPr>
              <w:pStyle w:val="TableBullet1"/>
              <w:rPr>
                <w:sz w:val="21"/>
                <w:szCs w:val="21"/>
              </w:rPr>
            </w:pPr>
            <w:r w:rsidRPr="008B060F">
              <w:rPr>
                <w:sz w:val="21"/>
                <w:szCs w:val="21"/>
              </w:rPr>
              <w:t xml:space="preserve">Cambodia </w:t>
            </w:r>
          </w:p>
          <w:p w14:paraId="0DB80F7E" w14:textId="77777777" w:rsidR="00C00EFB" w:rsidRPr="008B060F" w:rsidRDefault="00C00EFB" w:rsidP="00A21364">
            <w:pPr>
              <w:pStyle w:val="TableBullet1"/>
              <w:rPr>
                <w:sz w:val="21"/>
                <w:szCs w:val="21"/>
              </w:rPr>
            </w:pPr>
            <w:r w:rsidRPr="008B060F">
              <w:rPr>
                <w:sz w:val="21"/>
                <w:szCs w:val="21"/>
              </w:rPr>
              <w:t>Kenya</w:t>
            </w:r>
          </w:p>
        </w:tc>
      </w:tr>
    </w:tbl>
    <w:bookmarkEnd w:id="41"/>
    <w:p w14:paraId="012A1B12" w14:textId="77777777" w:rsidR="00C00EFB" w:rsidRPr="00C00EFB" w:rsidRDefault="00C00EFB" w:rsidP="00A21364">
      <w:pPr>
        <w:pStyle w:val="Note"/>
        <w:rPr>
          <w:lang w:eastAsia="en-AU"/>
        </w:rPr>
      </w:pPr>
      <w:r w:rsidRPr="00C00EFB">
        <w:rPr>
          <w:lang w:eastAsia="en-AU"/>
        </w:rPr>
        <w:t xml:space="preserve">Source:  </w:t>
      </w:r>
      <w:r w:rsidRPr="00C00EFB">
        <w:rPr>
          <w:lang w:eastAsia="en-AU"/>
        </w:rPr>
        <w:fldChar w:fldCharType="begin" w:fldLock="1"/>
      </w:r>
      <w:r w:rsidRPr="00C00EFB">
        <w:rPr>
          <w:lang w:eastAsia="en-AU"/>
        </w:rPr>
        <w:instrText>ADDIN CSL_CITATION { "citationItems" : [ { "id" : "ITEM-1", "itemData" : { "URL" : "https://www.ag.gov.au/FamiliesAndMarriage/IntercountryAdoption/CountryProgrammes/Pages/default.aspx", "accessed" : { "date-parts" : [ [ "2016", "8", "3" ] ] }, "author" : [ { "dropping-particle" : "", "family" : "Australian Government Attorney-General's Department", "given" : "", "non-dropping-particle" : "", "parse-names" : false, "suffix" : "" } ], "id" : "ITEM-1", "issued" : { "date-parts" : [ [ "0" ] ] }, "title" : "Country programmes", "type" : "webpage" }, "uris" : [ "http://www.mendeley.com/documents/?uuid=d0b4e1a9-38fa-4273-a5b4-ee655b198812" ] } ], "mendeley" : { "formattedCitation" : "(Australian Government Attorney-General\u2019s Department n.d.)", "plainTextFormattedCitation" : "(Australian Government Attorney-General\u2019s Department n.d.)", "previouslyFormattedCitation" : "(Australian Government Attorney-General\u2019s Department n.d.)" }, "properties" : { "noteIndex" : 0 }, "schema" : "https://github.com/citation-style-language/schema/raw/master/csl-citation.json" }</w:instrText>
      </w:r>
      <w:r w:rsidRPr="00C00EFB">
        <w:rPr>
          <w:lang w:eastAsia="en-AU"/>
        </w:rPr>
        <w:fldChar w:fldCharType="separate"/>
      </w:r>
      <w:r w:rsidRPr="00C00EFB">
        <w:rPr>
          <w:noProof/>
          <w:lang w:eastAsia="en-AU"/>
        </w:rPr>
        <w:t>(Australian Government Attorney-General’s Department n.d.)</w:t>
      </w:r>
      <w:r w:rsidRPr="00C00EFB">
        <w:rPr>
          <w:lang w:eastAsia="en-AU"/>
        </w:rPr>
        <w:fldChar w:fldCharType="end"/>
      </w:r>
    </w:p>
    <w:p w14:paraId="475D2EA5" w14:textId="77777777" w:rsidR="00C00EFB" w:rsidRPr="00BA6CEE" w:rsidRDefault="00C00EFB" w:rsidP="00567987">
      <w:pPr>
        <w:pStyle w:val="Heading3"/>
      </w:pPr>
      <w:r w:rsidRPr="00BA6CEE">
        <w:t>Trends over time</w:t>
      </w:r>
    </w:p>
    <w:p w14:paraId="5CD3571E" w14:textId="26A024A6" w:rsidR="00C00EFB" w:rsidRPr="00C00EFB" w:rsidRDefault="00C00EFB" w:rsidP="00567987">
      <w:pPr>
        <w:pStyle w:val="Paragraph"/>
      </w:pPr>
      <w:r w:rsidRPr="00C00EFB">
        <w:t xml:space="preserve">The proportions for ICAs by countries of origin have changed considerably over time.  In 2005-06, most ICAs in Australia involved children from China (27.5%) and South Korea (24.5%).  ICA of children from these countries accounted for more than half of all ICAs in that period, but have been declining since, accounting for only 8% of ICAs in 2014-15 </w:t>
      </w:r>
      <w:r w:rsidRPr="00C00EFB">
        <w:fldChar w:fldCharType="begin" w:fldLock="1"/>
      </w:r>
      <w:r w:rsidR="0006400D">
        <w:instrText>ADDIN CSL_CITATION { "citationItems" : [ { "id" : "ITEM-1", "itemData" : { "ISBN" : "9781742492681", "author" : [ { "dropping-particle" : "", "family" : "Australian Institute of Health and Welfare", "given" : "", "non-dropping-particle" : "", "parse-names" : false, "suffix" : "" } ], "id" : "ITEM-1", "issue" : "Child Welfare Series No. 62", "issued" : { "date-parts" : [ [ "2015" ] ] }, "title" : "Adoptions Australia 2014-15", "type" : "report" }, "uris" : [ "http://www.mendeley.com/documents/?uuid=a7d585c3-f515-438c-b0ba-d8f2bef78cf9" ] } ], "mendeley" : { "formattedCitation" : "(Australian Institute of Health and Welfare 2015)", "plainTextFormattedCitation" : "(Australian Institute of Health and Welfare 2015)", "previouslyFormattedCitation" : "(Australian Institute of Health and Welfare 2015)" }, "properties" : { "noteIndex" : 0 }, "schema" : "https://github.com/citation-style-language/schema/raw/master/csl-citation.json" }</w:instrText>
      </w:r>
      <w:r w:rsidRPr="00C00EFB">
        <w:fldChar w:fldCharType="separate"/>
      </w:r>
      <w:r w:rsidRPr="00C00EFB">
        <w:rPr>
          <w:noProof/>
        </w:rPr>
        <w:t>(Australian Institute of Health and Welfare 2015)</w:t>
      </w:r>
      <w:r w:rsidRPr="00C00EFB">
        <w:fldChar w:fldCharType="end"/>
      </w:r>
      <w:r w:rsidRPr="00C00EFB">
        <w:t xml:space="preserve">.  </w:t>
      </w:r>
    </w:p>
    <w:p w14:paraId="32C203C6" w14:textId="02A2AA73" w:rsidR="00C00EFB" w:rsidRPr="00C00EFB" w:rsidRDefault="00C00EFB" w:rsidP="00567987">
      <w:pPr>
        <w:pStyle w:val="Paragraph"/>
      </w:pPr>
      <w:r w:rsidRPr="00C00EFB">
        <w:t>In 2014–15, the majority (94%) of Australia’s 83 finalised ICAs were children from Asian countries and the remainder (6%) were from South American countries.  The most common countries of origin in this period were Taiwan (36%), the Philippines (27%)  and Thailand (16% )</w:t>
      </w:r>
      <w:r w:rsidRPr="00C00EFB">
        <w:fldChar w:fldCharType="begin" w:fldLock="1"/>
      </w:r>
      <w:r w:rsidRPr="00C00EFB">
        <w:instrText>ADDIN CSL_CITATION { "citationItems" : [ { "id" : "ITEM-1", "itemData" : { "ISBN" : "9781742492681", "author" : [ { "dropping-particle" : "", "family" : "Australian Institute of Health and Welfare", "given" : "", "non-dropping-particle" : "", "parse-names" : false, "suffix" : "" } ], "id" : "ITEM-1", "issue" : "Child Welfare Series No. 62", "issued" : { "date-parts" : [ [ "2015" ] ] }, "title" : "Adoptions Australia 2014-15", "type" : "report" }, "uris" : [ "http://www.mendeley.com/documents/?uuid=99855821-a0a7-4736-95c3-64f21eeff017", "http://www.mendeley.com/documents/?uuid=a7d585c3-f515-438c-b0ba-d8f2bef78cf9" ] } ], "mendeley" : { "formattedCitation" : "(Australian Institute of Health and Welfare 2015)", "plainTextFormattedCitation" : "(Australian Institute of Health and Welfare 2015)", "previouslyFormattedCitation" : "(Australian Institute of Health and Welfare 2015)" }, "properties" : { "noteIndex" : 0 }, "schema" : "https://github.com/citation-style-language/schema/raw/master/csl-citation.json" }</w:instrText>
      </w:r>
      <w:r w:rsidRPr="00C00EFB">
        <w:fldChar w:fldCharType="separate"/>
      </w:r>
      <w:r w:rsidRPr="00C00EFB">
        <w:rPr>
          <w:noProof/>
        </w:rPr>
        <w:t>(Australian Institute of Health and Welfare 2015)</w:t>
      </w:r>
      <w:r w:rsidRPr="00C00EFB">
        <w:fldChar w:fldCharType="end"/>
      </w:r>
      <w:r w:rsidR="00567987">
        <w:t>.</w:t>
      </w:r>
    </w:p>
    <w:p w14:paraId="58178FA8" w14:textId="58AA951C" w:rsidR="00C00EFB" w:rsidRPr="00C00EFB" w:rsidRDefault="00C00EFB" w:rsidP="00283E1C">
      <w:pPr>
        <w:pStyle w:val="Heading2"/>
      </w:pPr>
      <w:bookmarkStart w:id="42" w:name="_Ref458173282"/>
      <w:bookmarkStart w:id="43" w:name="_Ref458173392"/>
      <w:bookmarkStart w:id="44" w:name="_Toc490481616"/>
      <w:r w:rsidRPr="00C00EFB">
        <w:lastRenderedPageBreak/>
        <w:t>How ICA is operationalised in Australia</w:t>
      </w:r>
      <w:bookmarkEnd w:id="42"/>
      <w:bookmarkEnd w:id="43"/>
      <w:bookmarkEnd w:id="44"/>
    </w:p>
    <w:p w14:paraId="1AEEF9DF" w14:textId="716AC41E" w:rsidR="00C00EFB" w:rsidRPr="00C00EFB" w:rsidRDefault="00C00EFB" w:rsidP="00567987">
      <w:pPr>
        <w:pStyle w:val="Heading3"/>
      </w:pPr>
      <w:r w:rsidRPr="00C00EFB">
        <w:t xml:space="preserve">Country of origin </w:t>
      </w:r>
      <w:r w:rsidR="00567987">
        <w:t>central/responsible authorities</w:t>
      </w:r>
    </w:p>
    <w:p w14:paraId="26DE9D49" w14:textId="77777777" w:rsidR="000A0AF0" w:rsidRDefault="00C00EFB" w:rsidP="00567987">
      <w:pPr>
        <w:pStyle w:val="Paragraph"/>
        <w:rPr>
          <w:lang w:val="en-AU" w:eastAsia="en-AU"/>
        </w:rPr>
      </w:pPr>
      <w:r w:rsidRPr="00C00EFB">
        <w:rPr>
          <w:lang w:val="en-AU" w:eastAsia="en-AU"/>
        </w:rPr>
        <w:t xml:space="preserve">ICA clients must not only meet </w:t>
      </w:r>
      <w:r w:rsidR="001B3433">
        <w:rPr>
          <w:lang w:val="en-AU" w:eastAsia="en-AU"/>
        </w:rPr>
        <w:t>the</w:t>
      </w:r>
      <w:r w:rsidR="001B3433" w:rsidRPr="00C00EFB">
        <w:rPr>
          <w:lang w:val="en-AU" w:eastAsia="en-AU"/>
        </w:rPr>
        <w:t xml:space="preserve"> </w:t>
      </w:r>
      <w:r w:rsidRPr="00C00EFB">
        <w:rPr>
          <w:lang w:val="en-AU" w:eastAsia="en-AU"/>
        </w:rPr>
        <w:t>Australian STCA requirements</w:t>
      </w:r>
      <w:r w:rsidR="001B3433">
        <w:rPr>
          <w:lang w:val="en-AU" w:eastAsia="en-AU"/>
        </w:rPr>
        <w:t xml:space="preserve"> in the state they live</w:t>
      </w:r>
      <w:r w:rsidRPr="00C00EFB">
        <w:rPr>
          <w:lang w:val="en-AU" w:eastAsia="en-AU"/>
        </w:rPr>
        <w:t xml:space="preserve"> but also those of the overseas country from which a child is adopted.  Each country has its own unique set of requirements and eligibility criteria that must be met by prospective ICA clients.  These include factors such as age, marital status and family situation, education, income and health </w:t>
      </w:r>
      <w:r w:rsidRPr="00C00EFB">
        <w:rPr>
          <w:lang w:val="en-AU" w:eastAsia="en-AU"/>
        </w:rPr>
        <w:fldChar w:fldCharType="begin" w:fldLock="1"/>
      </w:r>
      <w:r w:rsidRPr="00C00EFB">
        <w:rPr>
          <w:lang w:val="en-AU" w:eastAsia="en-AU"/>
        </w:rPr>
        <w:instrText>ADDIN CSL_CITATION { "citationItems" : [ { "id" : "ITEM-1", "itemData" : { "DOI" : "10.1017/CBO9781107415324.004", "ISBN" : "9788578110796", "ISSN" : "1098-6596", "PMID" : "25246403", "author" : [ { "dropping-particle" : "", "family" : "Australian Government Department of the Prime Minister and Cabinet", "given" : "", "non-dropping-particle" : "", "parse-names" : false, "suffix" : "" } ], "id" : "ITEM-1", "issued" : { "date-parts" : [ [ "2014" ] ] }, "publisher" : "Commonwealth of Australia", "publisher-place" : "Canberra", "title" : "Report of the Interdepartmental Committee on Intercountry Adoption", "type" : "book" }, "uris" : [ "http://www.mendeley.com/documents/?uuid=a802ef4a-a7d5-4ac6-ada4-e14f68dbdbb6" ] } ], "mendeley" : { "formattedCitation" : "(Australian Government Department of the Prime Minister and Cabinet 2014)", "plainTextFormattedCitation" : "(Australian Government Department of the Prime Minister and Cabinet 2014)", "previouslyFormattedCitation" : "(Australian Government Department of the Prime Minister and Cabinet 2014)" }, "properties" : { "noteIndex" : 0 }, "schema" : "https://github.com/citation-style-language/schema/raw/master/csl-citation.json" }</w:instrText>
      </w:r>
      <w:r w:rsidRPr="00C00EFB">
        <w:rPr>
          <w:lang w:val="en-AU" w:eastAsia="en-AU"/>
        </w:rPr>
        <w:fldChar w:fldCharType="separate"/>
      </w:r>
      <w:r w:rsidRPr="00C00EFB">
        <w:rPr>
          <w:noProof/>
          <w:lang w:val="en-AU" w:eastAsia="en-AU"/>
        </w:rPr>
        <w:t>(Australian Government Department of the Prime Minister and Cabinet 2014)</w:t>
      </w:r>
      <w:r w:rsidRPr="00C00EFB">
        <w:rPr>
          <w:lang w:val="en-AU" w:eastAsia="en-AU"/>
        </w:rPr>
        <w:fldChar w:fldCharType="end"/>
      </w:r>
      <w:r w:rsidRPr="00C00EFB">
        <w:rPr>
          <w:lang w:val="en-AU" w:eastAsia="en-AU"/>
        </w:rPr>
        <w:t xml:space="preserve">. </w:t>
      </w:r>
    </w:p>
    <w:p w14:paraId="5CF4B1AF" w14:textId="175EB1FB" w:rsidR="00C00EFB" w:rsidRPr="00C00EFB" w:rsidRDefault="000A0AF0" w:rsidP="00567987">
      <w:pPr>
        <w:pStyle w:val="Paragraph"/>
        <w:rPr>
          <w:lang w:val="en-AU" w:eastAsia="en-AU"/>
        </w:rPr>
      </w:pPr>
      <w:r w:rsidRPr="00C00EFB">
        <w:rPr>
          <w:noProof/>
          <w:lang w:val="en-AU" w:eastAsia="en-AU"/>
        </w:rPr>
        <mc:AlternateContent>
          <mc:Choice Requires="wps">
            <w:drawing>
              <wp:inline distT="0" distB="0" distL="0" distR="0" wp14:anchorId="19AA8681" wp14:editId="3DF6B0B9">
                <wp:extent cx="5695950" cy="1818000"/>
                <wp:effectExtent l="76200" t="57150" r="76200" b="104775"/>
                <wp:docPr id="69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5950" cy="1818000"/>
                        </a:xfrm>
                        <a:prstGeom prst="rect">
                          <a:avLst/>
                        </a:prstGeom>
                        <a:solidFill>
                          <a:srgbClr val="71C9FF">
                            <a:lumMod val="20000"/>
                            <a:lumOff val="80000"/>
                          </a:srgb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B9EB193" w14:textId="77777777" w:rsidR="000B67DE" w:rsidRPr="008F21C9" w:rsidRDefault="000B67DE" w:rsidP="000A0AF0">
                            <w:pPr>
                              <w:pStyle w:val="TextBox"/>
                            </w:pPr>
                            <w:r w:rsidRPr="008F21C9">
                              <w:t>Country of origin Central/responsible Authorities</w:t>
                            </w:r>
                            <w:r>
                              <w:t>,</w:t>
                            </w:r>
                            <w:r w:rsidRPr="008F21C9">
                              <w:t xml:space="preserve"> Australia’s ICA program partners</w:t>
                            </w:r>
                            <w:r>
                              <w:t>,</w:t>
                            </w:r>
                            <w:r w:rsidRPr="008F21C9">
                              <w:t xml:space="preserve"> process ICA applications overseas in which the child lives.</w:t>
                            </w:r>
                          </w:p>
                        </w:txbxContent>
                      </wps:txbx>
                      <wps:bodyPr rot="0" spcFirstLastPara="0" vertOverflow="overflow" horzOverflow="overflow" vert="horz" wrap="square" lIns="90000" tIns="45720" rIns="91440" bIns="45720" numCol="1" spcCol="0" rtlCol="0" fromWordArt="0" anchor="ctr" anchorCtr="0" forceAA="0" compatLnSpc="1">
                        <a:prstTxWarp prst="textNoShape">
                          <a:avLst/>
                        </a:prstTxWarp>
                        <a:spAutoFit/>
                      </wps:bodyPr>
                    </wps:wsp>
                  </a:graphicData>
                </a:graphic>
              </wp:inline>
            </w:drawing>
          </mc:Choice>
          <mc:Fallback>
            <w:pict>
              <v:rect w14:anchorId="19AA8681" id="_x0000_s1033" style="width:448.5pt;height:14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5S16wIAAPAFAAAOAAAAZHJzL2Uyb0RvYy54bWysVF1v2jAUfZ+0/2D5fQ0p0ELUUCEqpkms&#10;rUqnPhvHIdEc27MNgf36HTvAYN3TtDxEvh++vufcj7v7XSPJVlhXa5XT9KpHiVBcF7Va5/Tb6/zT&#10;iBLnmSqY1ErkdC8cvZ98/HDXmkxc60rLQliCIMplrclp5b3JksTxSjTMXWkjFIyltg3zEO06KSxr&#10;Eb2RyXWvd5O02hbGai6cg/ahM9JJjF+WgvunsnTCE5lT5Obj38b/KvyTyR3L1paZquaHNNg/ZNGw&#10;WuHRU6gH5hnZ2PpdqKbmVjtd+iuum0SXZc1FxAA0ae8PNMuKGRGxgBxnTjS5/xeWP26fLamLnN6M&#10;+5Qo1qBIL6CNqbUUJL0NDLXGZXBcmmcbMDqz0Py7gyG5sATBHXx2pW2CLxCSXaR7f6Jb7DzhUA5v&#10;xsPxEFXhsKWjdNTrxYIkLDteN9b5z0I3JBxyapFYpJltF86HBFh2dImZaVkX81rKKNj1aiYt2TLU&#10;/jadjefzeFdumq+66NRooe5NlkGNVunUIZNjKq4LE99y5/GlIm1O+6MUroQzNG8pmcexMaDTqTUl&#10;TK4xFdzb+PDFbbd3p+TQz4VuKZHMeShzOo9foB4AL64FtA/MVV2e0XRwkyqAFrHnQU4kf+OFXVZF&#10;S1ZyY18Y0hpEZKSoA50degh4chgtQGK1f6t9FXsvlOwdlSECIAc9k6ZiXSr9s+qdU6aPOUQsZ+nF&#10;3unaJTSO3612sQ/7x45b6WKP3kQ+sX+c4fMa6Bcg6ZlZTCmSxebxT/iVUqMW+nCipNL259/0wR/D&#10;AyslLaYedfqxYVaA+y8KYzWO0IiPwmB4ex0I6SzpYABhdW5Rm2am0Vwpdpzh8Rj8vTweS6ubNyyo&#10;aXgVJqY43u464iDMPGSYsOK4mE7jGavBML9QS8ND8MB0qPvr7o1ZcxgFjyl61McNgVJcTkTnG2tn&#10;phuv53Ucl8B0xyvKEQSslViYwwoMe+tcjl6/F/XkFwAAAP//AwBQSwMEFAAGAAgAAAAhAG4M7rLc&#10;AAAABQEAAA8AAABkcnMvZG93bnJldi54bWxMj0FLw0AQhe+C/2EZwYvY3VaoacymlEIPXoS2Fq/b&#10;7JiE7s6G7DaJ/97Ri14ePN7w3jfFevJODNjHNpCG+UyBQKqCbanW8H7cPWYgYjJkjQuEGr4wwrq8&#10;vSlMbsNIexwOqRZcQjE3GpqUulzKWDXoTZyFDomzz9B7k9j2tbS9GbncO7lQaim9aYkXGtPhtsHq&#10;crh6Da+b/bbNRnX5kPH0sHob5urkdlrf302bFxAJp/R3DD/4jA4lM53DlWwUTgM/kn6Vs2z1zPas&#10;YZEtn0CWhfxPX34DAAD//wMAUEsBAi0AFAAGAAgAAAAhALaDOJL+AAAA4QEAABMAAAAAAAAAAAAA&#10;AAAAAAAAAFtDb250ZW50X1R5cGVzXS54bWxQSwECLQAUAAYACAAAACEAOP0h/9YAAACUAQAACwAA&#10;AAAAAAAAAAAAAAAvAQAAX3JlbHMvLnJlbHNQSwECLQAUAAYACAAAACEANkOUtesCAADwBQAADgAA&#10;AAAAAAAAAAAAAAAuAgAAZHJzL2Uyb0RvYy54bWxQSwECLQAUAAYACAAAACEAbgzustwAAAAFAQAA&#10;DwAAAAAAAAAAAAAAAABFBQAAZHJzL2Rvd25yZXYueG1sUEsFBgAAAAAEAAQA8wAAAE4GAAAAAA==&#10;" fillcolor="#e3f4ff" strokecolor="window" strokeweight="3pt">
                <v:shadow on="t" color="black" opacity="24903f" origin=",.5" offset="0,.55556mm"/>
                <v:path arrowok="t"/>
                <v:textbox style="mso-fit-shape-to-text:t" inset="2.5mm">
                  <w:txbxContent>
                    <w:p w14:paraId="2B9EB193" w14:textId="77777777" w:rsidR="000B67DE" w:rsidRPr="008F21C9" w:rsidRDefault="000B67DE" w:rsidP="000A0AF0">
                      <w:pPr>
                        <w:pStyle w:val="TextBox"/>
                      </w:pPr>
                      <w:r w:rsidRPr="008F21C9">
                        <w:t>Country of origin Central/responsible Authorities</w:t>
                      </w:r>
                      <w:r>
                        <w:t>,</w:t>
                      </w:r>
                      <w:r w:rsidRPr="008F21C9">
                        <w:t xml:space="preserve"> Australia’s ICA program partners</w:t>
                      </w:r>
                      <w:r>
                        <w:t>,</w:t>
                      </w:r>
                      <w:r w:rsidRPr="008F21C9">
                        <w:t xml:space="preserve"> process ICA applications overseas in which the child lives.</w:t>
                      </w:r>
                    </w:p>
                  </w:txbxContent>
                </v:textbox>
                <w10:anchorlock/>
              </v:rect>
            </w:pict>
          </mc:Fallback>
        </mc:AlternateContent>
      </w:r>
    </w:p>
    <w:p w14:paraId="32515FF7" w14:textId="64CA5498" w:rsidR="00C00EFB" w:rsidRPr="00C00EFB" w:rsidRDefault="00C00EFB" w:rsidP="00567987">
      <w:pPr>
        <w:pStyle w:val="Heading3"/>
      </w:pPr>
      <w:r w:rsidRPr="00C00EFB">
        <w:t>The Australian Central Authority</w:t>
      </w:r>
    </w:p>
    <w:p w14:paraId="76DB54F4" w14:textId="471370BB" w:rsidR="00C00EFB" w:rsidRPr="00C00EFB" w:rsidRDefault="001B3433" w:rsidP="00567987">
      <w:pPr>
        <w:pStyle w:val="ParagraphKeep"/>
        <w:rPr>
          <w:lang w:eastAsia="en-AU"/>
        </w:rPr>
      </w:pPr>
      <w:r>
        <w:rPr>
          <w:lang w:eastAsia="en-AU"/>
        </w:rPr>
        <w:t>I</w:t>
      </w:r>
      <w:r w:rsidR="00C00EFB" w:rsidRPr="00C00EFB">
        <w:rPr>
          <w:lang w:eastAsia="en-AU"/>
        </w:rPr>
        <w:t xml:space="preserve">n Australia, the Australian Central Authority (ACA) for the purposes of the Hague Convention is located within the Family Law Branch of the Attorney-General’s Department (AGD).  In addition to ensuring Australia’s compliance with its responsibilities under the Hague Convention, the ACA’s role also includes: </w:t>
      </w:r>
    </w:p>
    <w:p w14:paraId="575706C1" w14:textId="77777777" w:rsidR="00C00EFB" w:rsidRPr="00C00EFB" w:rsidRDefault="00C00EFB" w:rsidP="008F21C9">
      <w:pPr>
        <w:pStyle w:val="Bullet1"/>
      </w:pPr>
      <w:r w:rsidRPr="00C00EFB">
        <w:t>Providing national policy leadership and coordination</w:t>
      </w:r>
    </w:p>
    <w:p w14:paraId="40AB0C87" w14:textId="47513E42" w:rsidR="00C00EFB" w:rsidRPr="00C00EFB" w:rsidRDefault="00C00EFB" w:rsidP="008F21C9">
      <w:pPr>
        <w:pStyle w:val="Bullet1"/>
      </w:pPr>
      <w:r w:rsidRPr="00C00EFB">
        <w:t>Managing and reviewing existing overseas adoption programs</w:t>
      </w:r>
    </w:p>
    <w:p w14:paraId="7D0C7EE4" w14:textId="12CE44DE" w:rsidR="00C00EFB" w:rsidRPr="00C00EFB" w:rsidRDefault="00C00EFB" w:rsidP="008F21C9">
      <w:pPr>
        <w:pStyle w:val="Bullet1"/>
      </w:pPr>
      <w:r w:rsidRPr="00C00EFB">
        <w:t xml:space="preserve">Establishing new overseas adoption programs where appropriate. </w:t>
      </w:r>
    </w:p>
    <w:p w14:paraId="636CE796" w14:textId="77777777" w:rsidR="00C00EFB" w:rsidRPr="00C00EFB" w:rsidRDefault="00C00EFB" w:rsidP="008F21C9">
      <w:pPr>
        <w:pStyle w:val="Paragraph"/>
      </w:pPr>
      <w:r w:rsidRPr="00C00EFB">
        <w:t>The AGD’s role as the ACA sits within a broader portfolio of legislation and policy on families and marriage.  The AGD is also responsible for a range of functions including civil and criminal justice and national security and emergency management.</w:t>
      </w:r>
    </w:p>
    <w:p w14:paraId="63FD61F2" w14:textId="77777777" w:rsidR="00C00EFB" w:rsidRPr="00C00EFB" w:rsidRDefault="00C00EFB" w:rsidP="008F21C9">
      <w:pPr>
        <w:pStyle w:val="Paragraph"/>
      </w:pPr>
      <w:r w:rsidRPr="00C00EFB">
        <w:rPr>
          <w:lang w:eastAsia="en-AU"/>
        </w:rPr>
        <w:t xml:space="preserve">The AGD also collects six-monthly data to inform a snapshot of national ICA statistics, containing de-identified data including </w:t>
      </w:r>
      <w:r w:rsidRPr="00C00EFB">
        <w:t xml:space="preserve">approved ICA applications, files sent overseas and placement proposals accepted </w:t>
      </w:r>
      <w:r w:rsidRPr="00C00EFB">
        <w:fldChar w:fldCharType="begin" w:fldLock="1"/>
      </w:r>
      <w:r w:rsidRPr="00C00EFB">
        <w:instrText>ADDIN CSL_CITATION { "citationItems" : [ { "id" : "ITEM-1", "itemData" : { "author" : [ { "dropping-particle" : "", "family" : "Australian Government Attorney-General's Department", "given" : "", "non-dropping-particle" : "", "parse-names" : false, "suffix" : "" } ], "id" : "ITEM-1", "issued" : { "date-parts" : [ [ "0" ] ] }, "title" : "Intercountry adoption statistics", "type" : "webpage" }, "uris" : [ "http://www.mendeley.com/documents/?uuid=abb96026-998e-4697-9446-7e19e5b2ad58", "http://www.mendeley.com/documents/?uuid=13aea678-a858-433c-81ee-5e0a4d46b0a5" ] } ], "mendeley" : { "formattedCitation" : "(Australian Government Attorney-General\u2019s Department n.d.)", "plainTextFormattedCitation" : "(Australian Government Attorney-General\u2019s Department n.d.)", "previouslyFormattedCitation" : "(Australian Government Attorney-General\u2019s Department n.d.)" }, "properties" : { "noteIndex" : 0 }, "schema" : "https://github.com/citation-style-language/schema/raw/master/csl-citation.json" }</w:instrText>
      </w:r>
      <w:r w:rsidRPr="00C00EFB">
        <w:fldChar w:fldCharType="separate"/>
      </w:r>
      <w:r w:rsidRPr="00C00EFB">
        <w:rPr>
          <w:noProof/>
        </w:rPr>
        <w:t>(Australian Government Attorney-General’s Department n.d.)</w:t>
      </w:r>
      <w:r w:rsidRPr="00C00EFB">
        <w:fldChar w:fldCharType="end"/>
      </w:r>
      <w:r w:rsidRPr="00C00EFB">
        <w:t>.</w:t>
      </w:r>
    </w:p>
    <w:p w14:paraId="08BEB5C0" w14:textId="77777777" w:rsidR="000A0AF0" w:rsidRDefault="00C00EFB" w:rsidP="00FF25B4">
      <w:pPr>
        <w:pStyle w:val="Paragraph"/>
        <w:rPr>
          <w:noProof/>
          <w:lang w:val="en-AU"/>
        </w:rPr>
      </w:pPr>
      <w:r w:rsidRPr="00C00EFB">
        <w:t xml:space="preserve">Prior to the establishment of the ACA within the Attorney-General’s Department in 2006, each state and territory in Australia had developed their own partnerships with overseas programs </w:t>
      </w:r>
      <w:r w:rsidRPr="00C00EFB">
        <w:fldChar w:fldCharType="begin" w:fldLock="1"/>
      </w:r>
      <w:r w:rsidRPr="00C00EFB">
        <w:instrText>ADDIN CSL_CITATION { "citationItems" : [ { "id" : "ITEM-1", "itemData" : { "URL" : "http://www.dhs.vic.gov.au/__data/assets/word_doc/0008/531836/ICAS-Information-Kit-September-2014.doc,", "accessed" : { "date-parts" : [ [ "2015", "12", "21" ] ] }, "author" : [ { "dropping-particle" : "", "family" : "Department of Human Services Victoria", "given" : "", "non-dropping-particle" : "", "parse-names" : false, "suffix" : "" } ], "id" : "ITEM-1", "issued" : { "date-parts" : [ [ "2015" ] ] }, "title" : "Intercountry Adoption Information Kit, 2014", "type" : "webpage" }, "uris" : [ "http://www.mendeley.com/documents/?uuid=b0a83c30-44c5-4d30-ab07-60cecadb6495" ] } ], "mendeley" : { "formattedCitation" : "(Department of Human Services Victoria 2015)", "plainTextFormattedCitation" : "(Department of Human Services Victoria 2015)", "previouslyFormattedCitation" : "(Department of Human Services Victoria 2015)" }, "properties" : { "noteIndex" : 0 }, "schema" : "https://github.com/citation-style-language/schema/raw/master/csl-citation.json" }</w:instrText>
      </w:r>
      <w:r w:rsidRPr="00C00EFB">
        <w:fldChar w:fldCharType="separate"/>
      </w:r>
      <w:r w:rsidRPr="00C00EFB">
        <w:rPr>
          <w:noProof/>
        </w:rPr>
        <w:t>(Department of Human Services Victoria 2015)</w:t>
      </w:r>
      <w:r w:rsidRPr="00C00EFB">
        <w:fldChar w:fldCharType="end"/>
      </w:r>
      <w:r w:rsidRPr="00C00EFB">
        <w:t xml:space="preserve">.  The state-territory agreement renegotiated in 2008 specified that the </w:t>
      </w:r>
      <w:r w:rsidR="00280075">
        <w:t>Australian Government</w:t>
      </w:r>
      <w:r w:rsidR="00280075" w:rsidRPr="00C00EFB">
        <w:t xml:space="preserve"> </w:t>
      </w:r>
      <w:r w:rsidRPr="00C00EFB">
        <w:t xml:space="preserve">would assume responsibility (from the states) for establishing and managing </w:t>
      </w:r>
      <w:r w:rsidRPr="00FF25B4">
        <w:t xml:space="preserve">international ICA arrangements within 12 months of the agreement being signed </w:t>
      </w:r>
      <w:r w:rsidRPr="00FF25B4">
        <w:fldChar w:fldCharType="begin" w:fldLock="1"/>
      </w:r>
      <w:r w:rsidR="0006400D">
        <w:instrText>ADDIN CSL_CITATION { "citationItems" : [ { "id" : "ITEM-1", "itemData" : { "URL" : "https://www.ag.gov.au/FamiliesAndMarriage/IntercountryAdoption/Documents/Program.pdf", "accessed" : { "date-parts" : [ [ "2016", "7", "27" ] ] }, "id" : "ITEM-1", "issued" : { "date-parts" : [ [ "2008" ] ] }, "title" : "Commonwealth-State Agreement for the Continued Operation of Australia's Intercountry Adoption Program", "type" : "webpage" }, "uris" : [ "http://www.mendeley.com/documents/?uuid=a35aaf4e-e1e6-425a-a69e-e20e7eb6e346" ] } ], "mendeley" : { "formattedCitation" : "(&lt;i&gt;Commonwealth-state agreement for the continued operation of australia\u2019s intercountry adoption program&lt;/i&gt; 2008)", "manualFormatting" : "(Commonwealth-state Agreement for the Continued Operation of Australia\u2019s intercountry Adoption Program 2008)", "plainTextFormattedCitation" : "(Commonwealth-state agreement for the continued operation of australia\u2019s intercountry adoption program 2008)", "previouslyFormattedCitation" : "(&lt;i&gt;Commonwealth-state agreement for the continued operation of australia\u2019s intercountry adoption program&lt;/i&gt; 2008)" }, "properties" : { "noteIndex" : 0 }, "schema" : "https://github.com/citation-style-language/schema/raw/master/csl-citation.json" }</w:instrText>
      </w:r>
      <w:r w:rsidRPr="00FF25B4">
        <w:fldChar w:fldCharType="separate"/>
      </w:r>
      <w:r w:rsidRPr="00FF25B4">
        <w:rPr>
          <w:noProof/>
        </w:rPr>
        <w:t>(</w:t>
      </w:r>
      <w:r w:rsidR="00FF25B4" w:rsidRPr="00FF25B4">
        <w:rPr>
          <w:noProof/>
        </w:rPr>
        <w:t>Commonwealth-state A</w:t>
      </w:r>
      <w:r w:rsidRPr="00FF25B4">
        <w:rPr>
          <w:noProof/>
        </w:rPr>
        <w:t>greement fo</w:t>
      </w:r>
      <w:r w:rsidR="00FF25B4" w:rsidRPr="00FF25B4">
        <w:rPr>
          <w:noProof/>
        </w:rPr>
        <w:t>r the Continued Operation of Australia’s intercountry A</w:t>
      </w:r>
      <w:r w:rsidRPr="00FF25B4">
        <w:rPr>
          <w:noProof/>
        </w:rPr>
        <w:t xml:space="preserve">doption </w:t>
      </w:r>
      <w:r w:rsidR="00FF25B4" w:rsidRPr="00FF25B4">
        <w:rPr>
          <w:noProof/>
        </w:rPr>
        <w:t>P</w:t>
      </w:r>
      <w:r w:rsidRPr="00FF25B4">
        <w:rPr>
          <w:noProof/>
        </w:rPr>
        <w:t>rogram 2008)</w:t>
      </w:r>
      <w:r w:rsidRPr="00FF25B4">
        <w:fldChar w:fldCharType="end"/>
      </w:r>
      <w:r w:rsidRPr="00FF25B4">
        <w:t>.</w:t>
      </w:r>
      <w:r w:rsidR="000A0AF0" w:rsidRPr="000A0AF0">
        <w:rPr>
          <w:noProof/>
          <w:lang w:val="en-AU"/>
        </w:rPr>
        <w:t xml:space="preserve"> </w:t>
      </w:r>
    </w:p>
    <w:p w14:paraId="0AA375CE" w14:textId="1B1B7E08" w:rsidR="0006400D" w:rsidRDefault="000A0AF0" w:rsidP="00FF25B4">
      <w:pPr>
        <w:pStyle w:val="Paragraph"/>
      </w:pPr>
      <w:r w:rsidRPr="00C00EFB">
        <w:rPr>
          <w:noProof/>
          <w:lang w:val="en-AU" w:eastAsia="en-AU"/>
        </w:rPr>
        <mc:AlternateContent>
          <mc:Choice Requires="wps">
            <w:drawing>
              <wp:inline distT="0" distB="0" distL="0" distR="0" wp14:anchorId="750A5CE9" wp14:editId="299B51D4">
                <wp:extent cx="5791200" cy="1818005"/>
                <wp:effectExtent l="76200" t="57150" r="76200" b="104775"/>
                <wp:docPr id="69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0" cy="1818005"/>
                        </a:xfrm>
                        <a:prstGeom prst="rect">
                          <a:avLst/>
                        </a:prstGeom>
                        <a:solidFill>
                          <a:srgbClr val="71C9FF">
                            <a:lumMod val="20000"/>
                            <a:lumOff val="80000"/>
                          </a:srgb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5752D5F" w14:textId="77777777" w:rsidR="000B67DE" w:rsidRPr="00D020F9" w:rsidRDefault="000B67DE" w:rsidP="000A0AF0">
                            <w:pPr>
                              <w:pStyle w:val="TextBox"/>
                            </w:pPr>
                            <w:r>
                              <w:t>The ACA ensures Australia’s compliance under the Hague Convention and is responsible for managing/ establishing overseas ICA programs.</w:t>
                            </w:r>
                          </w:p>
                        </w:txbxContent>
                      </wps:txbx>
                      <wps:bodyPr rot="0" spcFirstLastPara="0" vertOverflow="overflow" horzOverflow="overflow" vert="horz" wrap="square" lIns="90000" tIns="45720" rIns="91440" bIns="45720" numCol="1" spcCol="0" rtlCol="0" fromWordArt="0" anchor="ctr" anchorCtr="0" forceAA="0" compatLnSpc="1">
                        <a:prstTxWarp prst="textNoShape">
                          <a:avLst/>
                        </a:prstTxWarp>
                        <a:spAutoFit/>
                      </wps:bodyPr>
                    </wps:wsp>
                  </a:graphicData>
                </a:graphic>
              </wp:inline>
            </w:drawing>
          </mc:Choice>
          <mc:Fallback>
            <w:pict>
              <v:rect w14:anchorId="750A5CE9" id="Rectangle 18" o:spid="_x0000_s1034" style="width:456pt;height:14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IfU6AIAAPAFAAAOAAAAZHJzL2Uyb0RvYy54bWysVF1v2jAUfZ+0/2D5fQ2h0AJqqBAV0yS2&#10;VqVTn43jkGiO7dmGwH79jp1AYd3TtDxEvh++Pvfcj7v7fS3JTlhXaZXR9KpHiVBc55XaZPT7y+LT&#10;iBLnmcqZ1Epk9CAcvZ9+/HDXmIno61LLXFiCIMpNGpPR0nszSRLHS1Ezd6WNUDAW2tbMQ7SbJLes&#10;QfRaJv1e7yZptM2N1Vw4B+1Da6TTGL8oBPePReGEJzKjwObj38b/OvyT6R2bbCwzZcU7GOwfUNSs&#10;Unj0FOqBeUa2tnoXqq641U4X/orrOtFFUXERc0A2ae+PbFYlMyLmAnKcOdHk/l9Y/m33ZEmVZ/Rm&#10;3KdEsRpFegZtTG2kIOkoMNQYN4HjyjzZkKMzS81/OBiSC0sQXOezL2wdfJEh2Ue6Dye6xd4TDuXw&#10;dpyihpRw2NJROur1huG5hE2O1411/rPQNQmHjFoAizSz3dL51vXoEpFpWeWLSsoo2M16Li3ZMdT+&#10;Np2PF4t4V27rrzpv1XgeABCITaBGq7RqIGnVgOLaMBGWO48vFWkyej1KYwoMzVtI5pFNbUCnUxtK&#10;mNxgKri38eGL2+7gTuDQz7luKJHMeSgzuohfx8XFtZDtA3NlizOaOjepQhYi9jzICYLeemFXZd6Q&#10;tdzaZwZYg5gZyatAZ5s9BDw5jBYUw2r/Wvky9l4o2TsqQwSkHPRMmpK1UK4DZ0fEZ5SdMEQCz+DF&#10;3mnbJTSO36/3sQ8HIUjQrHV+QG8CT+wfZ/iiQvZLkPTELKYUYLF5/CN+hdSohe5OlJTa/vqbPvhj&#10;eGClpMHUo04/t8wKcP9FYazGMTXiozAY3vYDIa0lHQwgrM8talvPNZorxY4zPB6Dv5fHY2F1/YoF&#10;NQuvwsQUx9ttR3TC3EOGCSuOi9ksnrEaDPNLtTI8BA9Mh7q/7F+ZNd0oeEzRN33cECjF5US0vrF2&#10;Zrb1elHFcXnjtRterJVYmG4Fhr11Lkevt0U9/Q0AAP//AwBQSwMEFAAGAAgAAAAhAEtBFrDcAAAA&#10;BQEAAA8AAABkcnMvZG93bnJldi54bWxMj8FqwzAQRO+F/oPYQC+lkexCcFzLIQRy6KWQtKFXxdrY&#10;JtbKWIrt/n23vbSXgWGWmbfFZnadGHEIrScNyVKBQKq8banW8PG+f8pAhGjIms4TavjCAJvy/q4w&#10;ufUTHXA8xlpwCYXcaGhi7HMpQ9WgM2HpeyTOLn5wJrIdamkHM3G562Sq1Eo60xIvNKbHXYPV9Xhz&#10;Gl63h12bTer6KcPpcf02JurU7bV+WMzbFxAR5/h3DD/4jA4lM539jWwQnQZ+JP4qZ+skZXvWkGar&#10;Z5BlIf/Tl98AAAD//wMAUEsBAi0AFAAGAAgAAAAhALaDOJL+AAAA4QEAABMAAAAAAAAAAAAAAAAA&#10;AAAAAFtDb250ZW50X1R5cGVzXS54bWxQSwECLQAUAAYACAAAACEAOP0h/9YAAACUAQAACwAAAAAA&#10;AAAAAAAAAAAvAQAAX3JlbHMvLnJlbHNQSwECLQAUAAYACAAAACEAd2iH1OgCAADwBQAADgAAAAAA&#10;AAAAAAAAAAAuAgAAZHJzL2Uyb0RvYy54bWxQSwECLQAUAAYACAAAACEAS0EWsNwAAAAFAQAADwAA&#10;AAAAAAAAAAAAAABCBQAAZHJzL2Rvd25yZXYueG1sUEsFBgAAAAAEAAQA8wAAAEsGAAAAAA==&#10;" fillcolor="#e3f4ff" strokecolor="window" strokeweight="3pt">
                <v:shadow on="t" color="black" opacity="24903f" origin=",.5" offset="0,.55556mm"/>
                <v:path arrowok="t"/>
                <v:textbox style="mso-fit-shape-to-text:t" inset="2.5mm">
                  <w:txbxContent>
                    <w:p w14:paraId="25752D5F" w14:textId="77777777" w:rsidR="000B67DE" w:rsidRPr="00D020F9" w:rsidRDefault="000B67DE" w:rsidP="000A0AF0">
                      <w:pPr>
                        <w:pStyle w:val="TextBox"/>
                      </w:pPr>
                      <w:r>
                        <w:t>The ACA ensures Australia’s compliance under the Hague Convention and is responsible for managing/ establishing overseas ICA programs.</w:t>
                      </w:r>
                    </w:p>
                  </w:txbxContent>
                </v:textbox>
                <w10:anchorlock/>
              </v:rect>
            </w:pict>
          </mc:Fallback>
        </mc:AlternateContent>
      </w:r>
    </w:p>
    <w:p w14:paraId="5A6108BE" w14:textId="68CCFB14" w:rsidR="0006400D" w:rsidRDefault="0006400D">
      <w:r>
        <w:br w:type="page"/>
      </w:r>
    </w:p>
    <w:p w14:paraId="3BEB2119" w14:textId="1B523940" w:rsidR="00C00EFB" w:rsidRPr="008F21C9" w:rsidRDefault="00C00EFB" w:rsidP="00F504A3">
      <w:pPr>
        <w:pStyle w:val="Heading3"/>
      </w:pPr>
      <w:bookmarkStart w:id="45" w:name="_Ref463004488"/>
      <w:r w:rsidRPr="008F21C9">
        <w:lastRenderedPageBreak/>
        <w:t>State/territory central authorities</w:t>
      </w:r>
      <w:bookmarkEnd w:id="45"/>
    </w:p>
    <w:p w14:paraId="46619DF0" w14:textId="11C2A4D1" w:rsidR="00C00EFB" w:rsidRPr="002E59B3" w:rsidRDefault="00C00EFB" w:rsidP="00F504A3">
      <w:pPr>
        <w:pStyle w:val="Heading4"/>
      </w:pPr>
      <w:r w:rsidRPr="002E59B3">
        <w:t>Jurisdict</w:t>
      </w:r>
      <w:r w:rsidR="008F21C9" w:rsidRPr="002E59B3">
        <w:t>ional/Commonwealth arrangements</w:t>
      </w:r>
    </w:p>
    <w:p w14:paraId="29F4E292" w14:textId="788BF34B" w:rsidR="00C00EFB" w:rsidRPr="00C00EFB" w:rsidRDefault="00C00EFB" w:rsidP="00555633">
      <w:pPr>
        <w:pStyle w:val="Paragraph"/>
      </w:pPr>
      <w:r w:rsidRPr="00C00EFB">
        <w:rPr>
          <w:lang w:eastAsia="en-AU"/>
        </w:rPr>
        <w:t xml:space="preserve">The 2008 </w:t>
      </w:r>
      <w:r w:rsidRPr="00C00EFB">
        <w:rPr>
          <w:i/>
          <w:lang w:eastAsia="en-AU"/>
        </w:rPr>
        <w:t>Commonwealth-State Agreement for the Continued Operation of Australia’s ICA</w:t>
      </w:r>
      <w:r w:rsidRPr="00C00EFB">
        <w:rPr>
          <w:i/>
          <w:iCs/>
        </w:rPr>
        <w:t xml:space="preserve"> Program</w:t>
      </w:r>
      <w:r w:rsidRPr="00C00EFB">
        <w:t xml:space="preserve"> outlines the agreed roles and responsibilities of the Australian and state/territory governments with respect to ICA </w:t>
      </w:r>
      <w:r w:rsidRPr="002E6579">
        <w:fldChar w:fldCharType="begin" w:fldLock="1"/>
      </w:r>
      <w:r w:rsidR="0006400D">
        <w:instrText>ADDIN CSL_CITATION { "citationItems" : [ { "id" : "ITEM-1", "itemData" : { "URL" : "https://www.ag.gov.au/FamiliesAndMarriage/IntercountryAdoption/Documents/Program.pdf", "accessed" : { "date-parts" : [ [ "2016", "7", "27" ] ] }, "id" : "ITEM-1", "issued" : { "date-parts" : [ [ "2008" ] ] }, "title" : "Commonwealth-State Agreement for the Continued Operation of Australia's Intercountry Adoption Program", "type" : "webpage" }, "uris" : [ "http://www.mendeley.com/documents/?uuid=a35aaf4e-e1e6-425a-a69e-e20e7eb6e346" ] } ], "mendeley" : { "formattedCitation" : "(&lt;i&gt;Commonwealth-state agreement for the continued operation of australia\u2019s intercountry adoption program&lt;/i&gt; 2008)", "plainTextFormattedCitation" : "(Commonwealth-state agreement for the continued operation of australia\u2019s intercountry adoption program 2008)", "previouslyFormattedCitation" : "(&lt;i&gt;Commonwealth-state agreement for the continued operation of australia\u2019s intercountry adoption program&lt;/i&gt; 2008)" }, "properties" : { "noteIndex" : 0 }, "schema" : "https://github.com/citation-style-language/schema/raw/master/csl-citation.json" }</w:instrText>
      </w:r>
      <w:r w:rsidRPr="002E6579">
        <w:fldChar w:fldCharType="separate"/>
      </w:r>
      <w:r w:rsidRPr="002E6579">
        <w:rPr>
          <w:noProof/>
        </w:rPr>
        <w:t>(</w:t>
      </w:r>
      <w:r w:rsidRPr="002E6579">
        <w:rPr>
          <w:i/>
          <w:noProof/>
        </w:rPr>
        <w:t>Commonwealth-state agreement for the continued operation of australia’s intercountry adoption program</w:t>
      </w:r>
      <w:r w:rsidRPr="002E6579">
        <w:rPr>
          <w:noProof/>
        </w:rPr>
        <w:t xml:space="preserve"> 2008)</w:t>
      </w:r>
      <w:r w:rsidRPr="002E6579">
        <w:fldChar w:fldCharType="end"/>
      </w:r>
      <w:r w:rsidRPr="002E6579">
        <w:t>.  Under this Arrangement, state and territory central auth</w:t>
      </w:r>
      <w:r w:rsidRPr="00C00EFB">
        <w:t xml:space="preserve">orities (STCAs) support the ACA and are responsible for processing ICA applications made in their jurisdiction.  </w:t>
      </w:r>
      <w:r w:rsidR="000A0AF0" w:rsidRPr="008F21C9">
        <w:rPr>
          <w:noProof/>
          <w:lang w:val="en-AU" w:eastAsia="en-AU"/>
        </w:rPr>
        <mc:AlternateContent>
          <mc:Choice Requires="wps">
            <w:drawing>
              <wp:inline distT="0" distB="0" distL="0" distR="0" wp14:anchorId="2C01758A" wp14:editId="2DD17618">
                <wp:extent cx="5772150" cy="1630045"/>
                <wp:effectExtent l="76200" t="57150" r="76200" b="104775"/>
                <wp:docPr id="69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150" cy="1630045"/>
                        </a:xfrm>
                        <a:prstGeom prst="rect">
                          <a:avLst/>
                        </a:prstGeom>
                        <a:solidFill>
                          <a:srgbClr val="71C9FF">
                            <a:lumMod val="20000"/>
                            <a:lumOff val="80000"/>
                          </a:srgb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4F6A8BA" w14:textId="77777777" w:rsidR="000B67DE" w:rsidRPr="00B773E8" w:rsidRDefault="000B67DE" w:rsidP="000A0AF0">
                            <w:pPr>
                              <w:pStyle w:val="TextBox"/>
                            </w:pPr>
                            <w:r w:rsidRPr="00B773E8">
                              <w:t>Processing of ICAs is the responsibility of each STCA.</w:t>
                            </w:r>
                          </w:p>
                          <w:p w14:paraId="25B3A9F5" w14:textId="77777777" w:rsidR="000B67DE" w:rsidRPr="00D020F9" w:rsidRDefault="000B67DE" w:rsidP="000A0AF0">
                            <w:pPr>
                              <w:pStyle w:val="TextBox"/>
                            </w:pPr>
                            <w:r w:rsidRPr="00B773E8">
                              <w:t>Each Australian state and territory has its own legislation and processes governing ICA.</w:t>
                            </w:r>
                            <w:r w:rsidRPr="00D020F9">
                              <w:t xml:space="preserve"> </w:t>
                            </w:r>
                          </w:p>
                        </w:txbxContent>
                      </wps:txbx>
                      <wps:bodyPr rot="0" spcFirstLastPara="0" vertOverflow="overflow" horzOverflow="overflow" vert="horz" wrap="square" lIns="90000" tIns="45720" rIns="91440" bIns="45720" numCol="1" spcCol="0" rtlCol="0" fromWordArt="0" anchor="ctr" anchorCtr="0" forceAA="0" compatLnSpc="1">
                        <a:prstTxWarp prst="textNoShape">
                          <a:avLst/>
                        </a:prstTxWarp>
                        <a:spAutoFit/>
                      </wps:bodyPr>
                    </wps:wsp>
                  </a:graphicData>
                </a:graphic>
              </wp:inline>
            </w:drawing>
          </mc:Choice>
          <mc:Fallback>
            <w:pict>
              <v:rect w14:anchorId="2C01758A" id="Rectangle 19" o:spid="_x0000_s1035" style="width:454.5pt;height:1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JI15wIAAPAFAAAOAAAAZHJzL2Uyb0RvYy54bWysVF1v2jAUfZ+0/2D5fQ2hUApqqBAV0yS2&#10;VqVTn43jkGiO7dmGwH79jp1AYd3TtDxEvh++Pvfcj7v7fS3JTlhXaZXR9KpHiVBc55XaZPT7y+LT&#10;LSXOM5UzqZXI6EE4ej/9+OGuMRPR16WWubAEQZSbNCajpfdmkiSOl6Jm7koboWAstK2Zh2g3SW5Z&#10;g+i1TPq93k3SaJsbq7lwDtqH1kinMX5RCO4fi8IJT2RGgc3Hv43/dfgn0zs22Vhmyop3MNg/oKhZ&#10;pfDoKdQD84xsbfUuVF1xq50u/BXXdaKLouIi5oBs0t4f2axKZkTMBeQ4c6LJ/b+w/NvuyZIqz+jN&#10;OKVEsRpFegZtTG2kIOk4MNQYN4HjyjzZkKMzS81/OBiSC0sQXOezL2wdfJEh2Ue6Dye6xd4TDuVw&#10;NOqnQ1SFw5beXPd6g2F4LmGT43Vjnf8sdE3CIaMWwCLNbLd0vnU9ukRkWlb5opIyCnaznktLdgy1&#10;H6Xz8WIR78pt/VXnrRot1OuaAGq0Squ+PaoBxbVhIix3Hl8q0mT0+jZFBMIZmreQzONYG9Dp1IYS&#10;JjeYCu5tfPjitju4Ezj0c64bSiRzHsqMLuLXcXFxLWT7wFzZ4oymzk2qkLSIPQ9yIvlbL+yqzBuy&#10;llv7zABrEDMjeRXobLOHgCeH0YJMrPavlS9j74WSvaMyREDKQc+kKVkL5TpwdkR8Rpk+YogEnsGL&#10;vdO2S2gcv1/vYx/GFgiatc4P6E3gif3jDF9UyH4Jkp6YxZQCLDaPf8SvkBq10N2JklLbX3/TB38M&#10;D6yUNJh61OnnllkB7r8ojNU4pkZ8FAbDUT8Q0lrSwQDC+tyitvVco7kwOEAXj8Hfy+OxsLp+xYKa&#10;hVdhYorj7bYjOmHuIcOEFcfFbBbPWA2G+aVaGR6CB6ZD3V/2r8yabhQ8puibPm4IlOJyIlrfWDsz&#10;23q9qOK4vPHaDS/WSixMtwLD3jqXo9fbop7+BgAA//8DAFBLAwQUAAYACAAAACEAPI8bxtwAAAAF&#10;AQAADwAAAGRycy9kb3ducmV2LnhtbEyPQUvDQBCF74L/YRnBi9jdFqxNzKaUQg9ehLYWr9vsmITu&#10;zobsNon/3tGLXh483vDeN8V68k4M2Mc2kIb5TIFAqoJtqdbwftw9rkDEZMgaFwg1fGGEdXl7U5jc&#10;hpH2OBxSLbiEYm40NCl1uZSxatCbOAsdEmefofcmse1raXszcrl3cqHUUnrTEi80psNtg9XlcPUa&#10;Xjf7bbsa1eVDxtND9jbM1cnttL6/mzYvIBJO6e8YfvAZHUpmOocr2SicBn4k/SpnmcrYnjUsnpbP&#10;IMtC/qcvvwEAAP//AwBQSwECLQAUAAYACAAAACEAtoM4kv4AAADhAQAAEwAAAAAAAAAAAAAAAAAA&#10;AAAAW0NvbnRlbnRfVHlwZXNdLnhtbFBLAQItABQABgAIAAAAIQA4/SH/1gAAAJQBAAALAAAAAAAA&#10;AAAAAAAAAC8BAABfcmVscy8ucmVsc1BLAQItABQABgAIAAAAIQA1DJI15wIAAPAFAAAOAAAAAAAA&#10;AAAAAAAAAC4CAABkcnMvZTJvRG9jLnhtbFBLAQItABQABgAIAAAAIQA8jxvG3AAAAAUBAAAPAAAA&#10;AAAAAAAAAAAAAEEFAABkcnMvZG93bnJldi54bWxQSwUGAAAAAAQABADzAAAASgYAAAAA&#10;" fillcolor="#e3f4ff" strokecolor="window" strokeweight="3pt">
                <v:shadow on="t" color="black" opacity="24903f" origin=",.5" offset="0,.55556mm"/>
                <v:path arrowok="t"/>
                <v:textbox style="mso-fit-shape-to-text:t" inset="2.5mm">
                  <w:txbxContent>
                    <w:p w14:paraId="24F6A8BA" w14:textId="77777777" w:rsidR="000B67DE" w:rsidRPr="00B773E8" w:rsidRDefault="000B67DE" w:rsidP="000A0AF0">
                      <w:pPr>
                        <w:pStyle w:val="TextBox"/>
                      </w:pPr>
                      <w:r w:rsidRPr="00B773E8">
                        <w:t>Processing of ICAs is the responsibility of each STCA.</w:t>
                      </w:r>
                    </w:p>
                    <w:p w14:paraId="25B3A9F5" w14:textId="77777777" w:rsidR="000B67DE" w:rsidRPr="00D020F9" w:rsidRDefault="000B67DE" w:rsidP="000A0AF0">
                      <w:pPr>
                        <w:pStyle w:val="TextBox"/>
                      </w:pPr>
                      <w:r w:rsidRPr="00B773E8">
                        <w:t>Each Australian state and territory has its own legislation and processes governing ICA.</w:t>
                      </w:r>
                      <w:r w:rsidRPr="00D020F9">
                        <w:t xml:space="preserve"> </w:t>
                      </w:r>
                    </w:p>
                  </w:txbxContent>
                </v:textbox>
                <w10:anchorlock/>
              </v:rect>
            </w:pict>
          </mc:Fallback>
        </mc:AlternateContent>
      </w:r>
    </w:p>
    <w:p w14:paraId="32A4C179" w14:textId="77777777" w:rsidR="00C00EFB" w:rsidRPr="00C00EFB" w:rsidRDefault="00C00EFB" w:rsidP="00F504A3">
      <w:pPr>
        <w:pStyle w:val="Heading4"/>
      </w:pPr>
      <w:r w:rsidRPr="00C00EFB">
        <w:t>STCA-specific functions</w:t>
      </w:r>
    </w:p>
    <w:p w14:paraId="759F0EE7" w14:textId="77777777" w:rsidR="00C00EFB" w:rsidRPr="00C00EFB" w:rsidRDefault="00C00EFB" w:rsidP="00F504A3">
      <w:pPr>
        <w:pStyle w:val="ParagraphKeep"/>
        <w:rPr>
          <w:lang w:eastAsia="en-AU"/>
        </w:rPr>
      </w:pPr>
      <w:r w:rsidRPr="00C00EFB">
        <w:rPr>
          <w:lang w:eastAsia="en-AU"/>
        </w:rPr>
        <w:t>The functions of the STCAs include:</w:t>
      </w:r>
    </w:p>
    <w:p w14:paraId="720BACD9" w14:textId="77777777" w:rsidR="00C00EFB" w:rsidRPr="00C00EFB" w:rsidRDefault="00C00EFB" w:rsidP="00F504A3">
      <w:pPr>
        <w:pStyle w:val="Bullet1"/>
      </w:pPr>
      <w:r w:rsidRPr="00C00EFB">
        <w:t xml:space="preserve">Operating as state and territory central authorities under the Hague Convention  </w:t>
      </w:r>
    </w:p>
    <w:p w14:paraId="44F307A1" w14:textId="5284A99A" w:rsidR="00C00EFB" w:rsidRPr="00C00EFB" w:rsidRDefault="00C00EFB" w:rsidP="00F504A3">
      <w:pPr>
        <w:pStyle w:val="Bullet1"/>
      </w:pPr>
      <w:r w:rsidRPr="00C00EFB">
        <w:t xml:space="preserve">Providing education and information for prospective ICA clients (see </w:t>
      </w:r>
      <w:r w:rsidRPr="00C00EFB">
        <w:rPr>
          <w:i/>
          <w:iCs/>
        </w:rPr>
        <w:t xml:space="preserve">Section </w:t>
      </w:r>
      <w:r w:rsidRPr="00C00EFB">
        <w:fldChar w:fldCharType="begin"/>
      </w:r>
      <w:r w:rsidRPr="00C00EFB">
        <w:instrText xml:space="preserve"> REF _Ref457979516 \r \h  \* MERGEFORMAT </w:instrText>
      </w:r>
      <w:r w:rsidRPr="00C00EFB">
        <w:fldChar w:fldCharType="separate"/>
      </w:r>
      <w:r w:rsidR="00487073" w:rsidRPr="00487073">
        <w:rPr>
          <w:i/>
          <w:iCs/>
        </w:rPr>
        <w:t>3.3.4</w:t>
      </w:r>
      <w:r w:rsidRPr="00C00EFB">
        <w:fldChar w:fldCharType="end"/>
      </w:r>
      <w:r w:rsidRPr="00C00EFB">
        <w:t>)</w:t>
      </w:r>
    </w:p>
    <w:p w14:paraId="3A787CA3" w14:textId="77777777" w:rsidR="00C00EFB" w:rsidRPr="00C00EFB" w:rsidRDefault="00C00EFB" w:rsidP="00F504A3">
      <w:pPr>
        <w:pStyle w:val="Bullet1"/>
      </w:pPr>
      <w:r w:rsidRPr="00C00EFB">
        <w:t>Preparing and supporting prospective adoptive parents for ICA</w:t>
      </w:r>
    </w:p>
    <w:p w14:paraId="3B524831" w14:textId="77777777" w:rsidR="00C00EFB" w:rsidRPr="00C00EFB" w:rsidRDefault="00C00EFB" w:rsidP="00F504A3">
      <w:pPr>
        <w:pStyle w:val="Bullet1"/>
      </w:pPr>
      <w:r w:rsidRPr="00C00EFB">
        <w:t>Assessing adoption applications</w:t>
      </w:r>
    </w:p>
    <w:p w14:paraId="5EA84482" w14:textId="626F408E" w:rsidR="00C00EFB" w:rsidRPr="00C00EFB" w:rsidRDefault="00017A9B" w:rsidP="00F504A3">
      <w:pPr>
        <w:pStyle w:val="Bullet1"/>
      </w:pPr>
      <w:r w:rsidRPr="00C00EFB">
        <w:t>Providing:</w:t>
      </w:r>
    </w:p>
    <w:p w14:paraId="78591EB7" w14:textId="3F2663A0" w:rsidR="00C00EFB" w:rsidRPr="00C00EFB" w:rsidRDefault="00C00EFB" w:rsidP="00F504A3">
      <w:pPr>
        <w:pStyle w:val="Bullet2"/>
      </w:pPr>
      <w:r w:rsidRPr="00C00EFB">
        <w:t>Advice and assistance about procedural aspects of programs</w:t>
      </w:r>
    </w:p>
    <w:p w14:paraId="0DFC5D7A" w14:textId="77777777" w:rsidR="00C00EFB" w:rsidRPr="00C00EFB" w:rsidRDefault="00C00EFB" w:rsidP="00F504A3">
      <w:pPr>
        <w:pStyle w:val="Bullet2"/>
      </w:pPr>
      <w:r w:rsidRPr="00C00EFB">
        <w:t>Post-placement supervision and support</w:t>
      </w:r>
    </w:p>
    <w:p w14:paraId="259AC2B3" w14:textId="77777777" w:rsidR="00C00EFB" w:rsidRPr="00C00EFB" w:rsidRDefault="00C00EFB" w:rsidP="00F504A3">
      <w:pPr>
        <w:pStyle w:val="Bullet2"/>
      </w:pPr>
      <w:r w:rsidRPr="00C00EFB">
        <w:t>Support for both parents and adoptees</w:t>
      </w:r>
    </w:p>
    <w:p w14:paraId="3D2C1B67" w14:textId="397DE7A0" w:rsidR="00C00EFB" w:rsidRPr="00C00EFB" w:rsidRDefault="00C00EFB" w:rsidP="00F504A3">
      <w:pPr>
        <w:pStyle w:val="Bullet1"/>
        <w:rPr>
          <w:lang w:val="en-AU"/>
        </w:rPr>
      </w:pPr>
      <w:r w:rsidRPr="00C00EFB">
        <w:t xml:space="preserve">Considering </w:t>
      </w:r>
      <w:r w:rsidRPr="00C00EFB">
        <w:rPr>
          <w:lang w:val="en-AU"/>
        </w:rPr>
        <w:t>requests to adopt children from countries with which Australia does not have an existing ICA program (including ad hoc</w:t>
      </w:r>
      <w:r w:rsidR="005C04FF">
        <w:rPr>
          <w:lang w:val="en-AU"/>
        </w:rPr>
        <w:t xml:space="preserve">, </w:t>
      </w:r>
      <w:r w:rsidRPr="00C00EFB">
        <w:rPr>
          <w:lang w:val="en-AU"/>
        </w:rPr>
        <w:t xml:space="preserve">relative </w:t>
      </w:r>
      <w:r w:rsidR="005C04FF">
        <w:rPr>
          <w:lang w:val="en-AU"/>
        </w:rPr>
        <w:t>and kno</w:t>
      </w:r>
      <w:r w:rsidR="003F0817">
        <w:rPr>
          <w:lang w:val="en-AU"/>
        </w:rPr>
        <w:t>w</w:t>
      </w:r>
      <w:r w:rsidR="007D0F48">
        <w:rPr>
          <w:lang w:val="en-AU"/>
        </w:rPr>
        <w:t>n</w:t>
      </w:r>
      <w:r w:rsidR="003F0817">
        <w:rPr>
          <w:lang w:val="en-AU"/>
        </w:rPr>
        <w:t>-</w:t>
      </w:r>
      <w:r w:rsidR="005C04FF">
        <w:rPr>
          <w:lang w:val="en-AU"/>
        </w:rPr>
        <w:t xml:space="preserve">child </w:t>
      </w:r>
      <w:r w:rsidRPr="00C00EFB">
        <w:rPr>
          <w:lang w:val="en-AU"/>
        </w:rPr>
        <w:t>adoptions).</w:t>
      </w:r>
    </w:p>
    <w:p w14:paraId="6024181B" w14:textId="75EFE872" w:rsidR="00C00EFB" w:rsidRPr="00C00EFB" w:rsidRDefault="003F0817" w:rsidP="00F504A3">
      <w:pPr>
        <w:pStyle w:val="Paragraph"/>
      </w:pPr>
      <w:r>
        <w:t>As e</w:t>
      </w:r>
      <w:r w:rsidR="00C00EFB" w:rsidRPr="00C00EFB">
        <w:t>ach Australian state and territory has its own legislation and processes governing ICA</w:t>
      </w:r>
      <w:r>
        <w:t xml:space="preserve">, </w:t>
      </w:r>
      <w:r w:rsidR="00C00EFB" w:rsidRPr="00C00EFB">
        <w:t xml:space="preserve">there are significant discrepancies between procedures, participation in country programmes, eligibility criteria and fees </w:t>
      </w:r>
      <w:r w:rsidR="00C00EFB" w:rsidRPr="00C00EFB">
        <w:fldChar w:fldCharType="begin" w:fldLock="1"/>
      </w:r>
      <w:r w:rsidR="00C00EFB" w:rsidRPr="00C00EFB">
        <w:instrText>ADDIN CSL_CITATION { "citationItems" : [ { "id" : "ITEM-1", "itemData" : { "author" : [ { "dropping-particle" : "", "family" : "Department of the Prime Minister and Cabinet", "given" : "", "non-dropping-particle" : "", "parse-names" : false, "suffix" : "" } ], "id" : "ITEM-1", "issued" : { "date-parts" : [ [ "2014" ] ] }, "title" : "Report of the Interdepartmental Committee on Intercountry Adoption", "type" : "report" }, "uris" : [ "http://www.mendeley.com/documents/?uuid=4c4bcbce-ce75-4fea-8aa7-c079507828c7" ] } ], "mendeley" : { "formattedCitation" : "(Department of the Prime Minister and Cabinet 2014)", "manualFormatting" : "(Department of the Prime Minister and Cabinet 2014, p. 4)", "plainTextFormattedCitation" : "(Department of the Prime Minister and Cabinet 2014)", "previouslyFormattedCitation" : "(Department of the Prime Minister and Cabinet 2014)" }, "properties" : { "noteIndex" : 0 }, "schema" : "https://github.com/citation-style-language/schema/raw/master/csl-citation.json" }</w:instrText>
      </w:r>
      <w:r w:rsidR="00C00EFB" w:rsidRPr="00C00EFB">
        <w:fldChar w:fldCharType="separate"/>
      </w:r>
      <w:r w:rsidR="00C00EFB" w:rsidRPr="00C00EFB">
        <w:rPr>
          <w:noProof/>
        </w:rPr>
        <w:t>(Department of the Prime Minister and Cabinet 2014, p. 4)</w:t>
      </w:r>
      <w:r w:rsidR="00C00EFB" w:rsidRPr="00C00EFB">
        <w:fldChar w:fldCharType="end"/>
      </w:r>
      <w:r w:rsidR="00C00EFB" w:rsidRPr="00C00EFB">
        <w:t>.</w:t>
      </w:r>
    </w:p>
    <w:p w14:paraId="63BDADE8" w14:textId="77777777" w:rsidR="00C00EFB" w:rsidRPr="00C00EFB" w:rsidRDefault="00C00EFB" w:rsidP="00F504A3">
      <w:pPr>
        <w:pStyle w:val="Heading4"/>
        <w:rPr>
          <w:lang w:val="en-AU"/>
        </w:rPr>
      </w:pPr>
      <w:r w:rsidRPr="00C00EFB">
        <w:rPr>
          <w:lang w:val="en-AU"/>
        </w:rPr>
        <w:t>Other relevant authorities</w:t>
      </w:r>
    </w:p>
    <w:p w14:paraId="7EC57EE9" w14:textId="77777777" w:rsidR="00C00EFB" w:rsidRPr="00C00EFB" w:rsidRDefault="00C00EFB" w:rsidP="00F504A3">
      <w:pPr>
        <w:pStyle w:val="ParagraphKeep"/>
        <w:rPr>
          <w:lang w:val="en-AU" w:eastAsia="en-AU"/>
        </w:rPr>
      </w:pPr>
      <w:r w:rsidRPr="00C00EFB">
        <w:rPr>
          <w:lang w:val="en-AU" w:eastAsia="en-AU"/>
        </w:rPr>
        <w:t>In addition to the authorities above, Australian adoptive families must also liaise with the following agencies:</w:t>
      </w:r>
    </w:p>
    <w:p w14:paraId="79A2A47B" w14:textId="38FB1980" w:rsidR="00C00EFB" w:rsidRPr="00C00EFB" w:rsidRDefault="00C00EFB" w:rsidP="00F504A3">
      <w:pPr>
        <w:pStyle w:val="Bullet1"/>
        <w:rPr>
          <w:lang w:val="en-AU"/>
        </w:rPr>
      </w:pPr>
      <w:r w:rsidRPr="00C00EFB">
        <w:rPr>
          <w:lang w:val="en-AU"/>
        </w:rPr>
        <w:t>DIBP — to asses</w:t>
      </w:r>
      <w:r w:rsidR="003F0817">
        <w:rPr>
          <w:lang w:val="en-AU"/>
        </w:rPr>
        <w:t>s</w:t>
      </w:r>
      <w:r w:rsidRPr="00C00EFB">
        <w:rPr>
          <w:lang w:val="en-AU"/>
        </w:rPr>
        <w:t xml:space="preserve"> and process visa and citizenship applications for adopted children</w:t>
      </w:r>
    </w:p>
    <w:p w14:paraId="6F8CFBFD" w14:textId="7CB66234" w:rsidR="00C00EFB" w:rsidRPr="00C00EFB" w:rsidRDefault="00C00EFB" w:rsidP="00F504A3">
      <w:pPr>
        <w:pStyle w:val="Bullet1"/>
        <w:rPr>
          <w:lang w:val="en-AU"/>
        </w:rPr>
      </w:pPr>
      <w:r w:rsidRPr="00C00EFB">
        <w:rPr>
          <w:lang w:val="en-AU"/>
        </w:rPr>
        <w:t xml:space="preserve">DFAT — passport </w:t>
      </w:r>
      <w:r w:rsidR="003F0817">
        <w:rPr>
          <w:lang w:val="en-AU"/>
        </w:rPr>
        <w:t xml:space="preserve">and other </w:t>
      </w:r>
      <w:r w:rsidRPr="00C00EFB">
        <w:rPr>
          <w:lang w:val="en-AU"/>
        </w:rPr>
        <w:t xml:space="preserve">assistance for adoptive families.  DFAT, in partnership with other relevant government agencies, is also responsible for  developing, maintaining and enhancing Australia’s ICA programs </w:t>
      </w:r>
      <w:r w:rsidRPr="00C00EFB">
        <w:rPr>
          <w:lang w:val="en-AU"/>
        </w:rPr>
        <w:fldChar w:fldCharType="begin" w:fldLock="1"/>
      </w:r>
      <w:r w:rsidRPr="00C00EFB">
        <w:rPr>
          <w:lang w:val="en-AU"/>
        </w:rPr>
        <w:instrText>ADDIN CSL_CITATION { "citationItems" : [ { "id" : "ITEM-1", "itemData" : { "URL" : "http://www.intercountryadoption.gov.au/about/roles-responsibilities/", "accessed" : { "date-parts" : [ [ "2016", "7", "27" ] ] }, "author" : [ { "dropping-particle" : "", "family" : "Intercountry Adoption Australia", "given" : "", "non-dropping-particle" : "", "parse-names" : false, "suffix" : "" } ], "id" : "ITEM-1", "issued" : { "date-parts" : [ [ "0" ] ] }, "title" : "Roles and responsibilities", "type" : "webpage" }, "uris" : [ "http://www.mendeley.com/documents/?uuid=5a08ce16-038a-40a2-a4c2-4c4a5a3383d1" ] } ], "mendeley" : { "formattedCitation" : "(Intercountry Adoption Australia n.d.)", "plainTextFormattedCitation" : "(Intercountry Adoption Australia n.d.)", "previouslyFormattedCitation" : "(Intercountry Adoption Australia n.d.)" }, "properties" : { "noteIndex" : 0 }, "schema" : "https://github.com/citation-style-language/schema/raw/master/csl-citation.json" }</w:instrText>
      </w:r>
      <w:r w:rsidRPr="00C00EFB">
        <w:rPr>
          <w:lang w:val="en-AU"/>
        </w:rPr>
        <w:fldChar w:fldCharType="separate"/>
      </w:r>
      <w:r w:rsidRPr="00C00EFB">
        <w:rPr>
          <w:noProof/>
          <w:lang w:val="en-AU"/>
        </w:rPr>
        <w:t>(Intercountry Adoption Australia n.d.)</w:t>
      </w:r>
      <w:r w:rsidRPr="00C00EFB">
        <w:rPr>
          <w:lang w:val="en-AU"/>
        </w:rPr>
        <w:fldChar w:fldCharType="end"/>
      </w:r>
      <w:r w:rsidRPr="00C00EFB">
        <w:rPr>
          <w:lang w:val="en-AU"/>
        </w:rPr>
        <w:t>.</w:t>
      </w:r>
    </w:p>
    <w:p w14:paraId="0EAC1C1D" w14:textId="77777777" w:rsidR="00C00EFB" w:rsidRPr="00C00EFB" w:rsidRDefault="00C00EFB" w:rsidP="00F504A3">
      <w:pPr>
        <w:pStyle w:val="Heading3"/>
      </w:pPr>
      <w:bookmarkStart w:id="46" w:name="_Ref457979516"/>
      <w:r w:rsidRPr="00C00EFB">
        <w:lastRenderedPageBreak/>
        <w:t>Information and support services</w:t>
      </w:r>
      <w:bookmarkEnd w:id="46"/>
    </w:p>
    <w:p w14:paraId="7BBF3A1B" w14:textId="77777777" w:rsidR="00C00EFB" w:rsidRPr="00C00EFB" w:rsidRDefault="00C00EFB" w:rsidP="00F504A3">
      <w:pPr>
        <w:pStyle w:val="Heading4"/>
      </w:pPr>
      <w:r w:rsidRPr="00C00EFB">
        <w:t>IAA</w:t>
      </w:r>
    </w:p>
    <w:p w14:paraId="13C40251" w14:textId="1CC14CCD" w:rsidR="006F2AFB" w:rsidRDefault="00C00EFB" w:rsidP="00F504A3">
      <w:pPr>
        <w:pStyle w:val="Paragraph"/>
        <w:rPr>
          <w:lang w:eastAsia="en-AU"/>
        </w:rPr>
      </w:pPr>
      <w:r w:rsidRPr="00C00EFB">
        <w:rPr>
          <w:lang w:eastAsia="en-AU"/>
        </w:rPr>
        <w:t>The IAA support service was established in 2015 as a central point of contact and ‘one-stop shop’ for Australians seeking information about ICA (</w:t>
      </w:r>
      <w:r w:rsidRPr="00C00EFB">
        <w:rPr>
          <w:i/>
          <w:iCs/>
        </w:rPr>
        <w:t>Section</w:t>
      </w:r>
      <w:r w:rsidR="005542D1">
        <w:rPr>
          <w:i/>
          <w:iCs/>
        </w:rPr>
        <w:t xml:space="preserve"> </w:t>
      </w:r>
      <w:r w:rsidRPr="00C00EFB">
        <w:fldChar w:fldCharType="begin"/>
      </w:r>
      <w:r w:rsidRPr="00C00EFB">
        <w:instrText xml:space="preserve"> REF _Ref460415835 \r \h  \* MERGEFORMAT </w:instrText>
      </w:r>
      <w:r w:rsidRPr="00C00EFB">
        <w:fldChar w:fldCharType="separate"/>
      </w:r>
      <w:r w:rsidR="00487073" w:rsidRPr="00487073">
        <w:rPr>
          <w:i/>
          <w:iCs/>
        </w:rPr>
        <w:t>2.4</w:t>
      </w:r>
      <w:r w:rsidRPr="00C00EFB">
        <w:fldChar w:fldCharType="end"/>
      </w:r>
      <w:r w:rsidRPr="00C00EFB">
        <w:rPr>
          <w:lang w:eastAsia="en-AU"/>
        </w:rPr>
        <w:t>).  Its website provides information about ICA, the process, details about Australia’s ICA programs and links to STCAs and other relevant resources.  Its national phone information line and online contact form are designed to</w:t>
      </w:r>
      <w:r w:rsidR="006F2AFB">
        <w:rPr>
          <w:lang w:eastAsia="en-AU"/>
        </w:rPr>
        <w:t>:</w:t>
      </w:r>
    </w:p>
    <w:p w14:paraId="297D16E1" w14:textId="5C67B61A" w:rsidR="006F2AFB" w:rsidRDefault="006F2AFB" w:rsidP="00555633">
      <w:pPr>
        <w:pStyle w:val="Bullet1"/>
      </w:pPr>
      <w:r>
        <w:t>F</w:t>
      </w:r>
      <w:r w:rsidR="00C00EFB" w:rsidRPr="00C00EFB">
        <w:t>acilitate the dissemination of information and referrals to relevant agencies</w:t>
      </w:r>
    </w:p>
    <w:p w14:paraId="30A23A81" w14:textId="77777777" w:rsidR="006F2AFB" w:rsidRDefault="006F2AFB" w:rsidP="00CD2CFC">
      <w:pPr>
        <w:pStyle w:val="Bullet1"/>
      </w:pPr>
      <w:r>
        <w:t>H</w:t>
      </w:r>
      <w:r w:rsidRPr="006F2AFB">
        <w:t xml:space="preserve">elp people navigate the complexities </w:t>
      </w:r>
      <w:r>
        <w:t xml:space="preserve">of ICA, </w:t>
      </w:r>
      <w:r w:rsidRPr="006F2AFB">
        <w:t xml:space="preserve">particularly </w:t>
      </w:r>
      <w:r>
        <w:t>for non-standard cases, s</w:t>
      </w:r>
      <w:r w:rsidRPr="006F2AFB">
        <w:t>uch as relative adoption</w:t>
      </w:r>
    </w:p>
    <w:p w14:paraId="72251923" w14:textId="36508CA2" w:rsidR="00C00EFB" w:rsidRPr="00C00EFB" w:rsidRDefault="006F2AFB" w:rsidP="00CD2CFC">
      <w:pPr>
        <w:pStyle w:val="Bullet1"/>
      </w:pPr>
      <w:r>
        <w:t>Provide</w:t>
      </w:r>
      <w:r w:rsidR="00BC5D6C">
        <w:t>s</w:t>
      </w:r>
      <w:r w:rsidRPr="006F2AFB">
        <w:t xml:space="preserve"> info</w:t>
      </w:r>
      <w:r>
        <w:t>rmation</w:t>
      </w:r>
      <w:r w:rsidRPr="006F2AFB">
        <w:t xml:space="preserve"> and support </w:t>
      </w:r>
      <w:r>
        <w:t>on</w:t>
      </w:r>
      <w:r w:rsidRPr="006F2AFB">
        <w:t xml:space="preserve"> infertility issues, grief and loss, alternate family formation issues, post adoption and adult adoptee supports</w:t>
      </w:r>
      <w:r w:rsidR="00C00EFB" w:rsidRPr="00C00EFB">
        <w:t xml:space="preserve">.  </w:t>
      </w:r>
    </w:p>
    <w:p w14:paraId="14425352" w14:textId="77777777" w:rsidR="00C00EFB" w:rsidRPr="00C00EFB" w:rsidRDefault="00C00EFB" w:rsidP="00F504A3">
      <w:pPr>
        <w:pStyle w:val="Heading4"/>
      </w:pPr>
      <w:r w:rsidRPr="00C00EFB">
        <w:t>STCAs</w:t>
      </w:r>
    </w:p>
    <w:p w14:paraId="4F833127" w14:textId="13DC4644" w:rsidR="00C00EFB" w:rsidRPr="00C00EFB" w:rsidRDefault="00C00EFB" w:rsidP="00C67978">
      <w:pPr>
        <w:pStyle w:val="Paragraph"/>
      </w:pPr>
      <w:r w:rsidRPr="00C00EFB">
        <w:t xml:space="preserve">As noted above, STCAs are responsible for providing education and information for prospective ICA clients and providing advice and assistance around procedural aspects of ICA.  However, how these functions are achieved, and the level of information available to prospective ICA clients through STCA websites varies from jurisdiction to jurisdiction.  A summary of the information and linkages available through STCA websites is provided in </w:t>
      </w:r>
      <w:r w:rsidRPr="00C00EFB">
        <w:fldChar w:fldCharType="begin"/>
      </w:r>
      <w:r w:rsidRPr="00C00EFB">
        <w:instrText xml:space="preserve"> REF _Ref460415986 \h  \* MERGEFORMAT </w:instrText>
      </w:r>
      <w:r w:rsidRPr="00C00EFB">
        <w:fldChar w:fldCharType="separate"/>
      </w:r>
      <w:r w:rsidR="00487073" w:rsidRPr="00487073">
        <w:rPr>
          <w:i/>
          <w:iCs/>
        </w:rPr>
        <w:t>Table 3</w:t>
      </w:r>
      <w:r w:rsidR="00487073" w:rsidRPr="00487073">
        <w:rPr>
          <w:i/>
          <w:iCs/>
        </w:rPr>
        <w:noBreakHyphen/>
        <w:t>3</w:t>
      </w:r>
      <w:r w:rsidRPr="00C00EFB">
        <w:fldChar w:fldCharType="end"/>
      </w:r>
      <w:r w:rsidRPr="00C00EFB">
        <w:t xml:space="preserve">. </w:t>
      </w:r>
    </w:p>
    <w:p w14:paraId="0F9D5F76" w14:textId="36E459D0" w:rsidR="00C00EFB" w:rsidRPr="00C00EFB" w:rsidRDefault="00C00EFB" w:rsidP="00C67978">
      <w:pPr>
        <w:pStyle w:val="Paragraph"/>
      </w:pPr>
      <w:r w:rsidRPr="00C00EFB">
        <w:t xml:space="preserve">Further insight into jurisdictional differences in the delivery of introductory information sessions to prospective </w:t>
      </w:r>
      <w:r w:rsidR="001672CF">
        <w:t>adoptive parents</w:t>
      </w:r>
      <w:r w:rsidRPr="00C00EFB">
        <w:t xml:space="preserve"> were identified during discussions with STCA representatives.  For example, as noted in </w:t>
      </w:r>
      <w:r w:rsidRPr="00C00EFB">
        <w:fldChar w:fldCharType="begin"/>
      </w:r>
      <w:r w:rsidRPr="00C00EFB">
        <w:instrText xml:space="preserve"> REF _Ref460415986 \h  \* MERGEFORMAT </w:instrText>
      </w:r>
      <w:r w:rsidRPr="00C00EFB">
        <w:fldChar w:fldCharType="separate"/>
      </w:r>
      <w:r w:rsidR="00487073" w:rsidRPr="00487073">
        <w:rPr>
          <w:i/>
          <w:iCs/>
        </w:rPr>
        <w:t>Table 3</w:t>
      </w:r>
      <w:r w:rsidR="00487073" w:rsidRPr="00487073">
        <w:rPr>
          <w:i/>
          <w:iCs/>
        </w:rPr>
        <w:noBreakHyphen/>
        <w:t>3</w:t>
      </w:r>
      <w:r w:rsidRPr="00C00EFB">
        <w:fldChar w:fldCharType="end"/>
      </w:r>
      <w:r w:rsidRPr="00C00EFB">
        <w:t>, attendance at information sessions is mandatory in some jurisdictions before applications can be accepted (with this requirement noted on STCA websites in the ACT, NSW and SA).  Frequency of information sessions differs, ranging from twice-yearly in NSW and the ACT, to quarterly in Queensland, Tasmania and WA.  In the NT</w:t>
      </w:r>
      <w:r w:rsidR="00BC5D6C">
        <w:t>,</w:t>
      </w:r>
      <w:r w:rsidRPr="00C00EFB">
        <w:t xml:space="preserve"> information sessions are replaced by a personal interview (of 1.5–2 hours duration) with each prospective </w:t>
      </w:r>
      <w:r w:rsidR="001672CF">
        <w:t>adoptive parent</w:t>
      </w:r>
      <w:r w:rsidR="00BC5D6C">
        <w:t>,</w:t>
      </w:r>
      <w:r w:rsidRPr="00C00EFB">
        <w:t xml:space="preserve"> during which relevant information is co</w:t>
      </w:r>
      <w:r w:rsidR="00BC5D6C">
        <w:t>nveyed</w:t>
      </w:r>
      <w:r w:rsidRPr="00C00EFB">
        <w:t>.  Similarly, in Victoria, information sessions have recently been replaced by personal interviews</w:t>
      </w:r>
      <w:r w:rsidR="00C67978">
        <w:t>.</w:t>
      </w:r>
    </w:p>
    <w:p w14:paraId="2363F3E2" w14:textId="77777777" w:rsidR="00C00EFB" w:rsidRPr="00C00EFB" w:rsidRDefault="00C00EFB" w:rsidP="00C00EFB">
      <w:pPr>
        <w:spacing w:before="240" w:after="240" w:line="264" w:lineRule="auto"/>
        <w:sectPr w:rsidR="00C00EFB" w:rsidRPr="00C00EFB" w:rsidSect="008B060F">
          <w:pgSz w:w="11907" w:h="16840" w:code="9"/>
          <w:pgMar w:top="1134" w:right="1134" w:bottom="993" w:left="1418" w:header="567" w:footer="567" w:gutter="0"/>
          <w:cols w:space="680"/>
        </w:sectPr>
      </w:pPr>
      <w:bookmarkStart w:id="47" w:name="_Ref439755457"/>
      <w:bookmarkStart w:id="48" w:name="_Toc439774897"/>
    </w:p>
    <w:p w14:paraId="4C8FD98D" w14:textId="624CF223" w:rsidR="00C00EFB" w:rsidRPr="00C00EFB" w:rsidRDefault="00C00EFB" w:rsidP="00407E6B">
      <w:pPr>
        <w:pStyle w:val="Caption"/>
      </w:pPr>
      <w:bookmarkStart w:id="49" w:name="_Ref462645321"/>
      <w:bookmarkStart w:id="50" w:name="_Ref460415986"/>
      <w:bookmarkStart w:id="51" w:name="_Toc490481649"/>
      <w:bookmarkStart w:id="52" w:name="_Ref458157139"/>
      <w:r w:rsidRPr="00C00EFB">
        <w:lastRenderedPageBreak/>
        <w:t>Table </w:t>
      </w:r>
      <w:r w:rsidR="00644B63">
        <w:fldChar w:fldCharType="begin"/>
      </w:r>
      <w:r w:rsidR="00644B63">
        <w:instrText xml:space="preserve"> STYLEREF 1 \s </w:instrText>
      </w:r>
      <w:r w:rsidR="00644B63">
        <w:fldChar w:fldCharType="separate"/>
      </w:r>
      <w:r w:rsidR="00487073">
        <w:rPr>
          <w:noProof/>
        </w:rPr>
        <w:t>3</w:t>
      </w:r>
      <w:r w:rsidR="00644B63">
        <w:fldChar w:fldCharType="end"/>
      </w:r>
      <w:r w:rsidR="00644B63">
        <w:noBreakHyphen/>
      </w:r>
      <w:r w:rsidR="00644B63">
        <w:fldChar w:fldCharType="begin"/>
      </w:r>
      <w:r w:rsidR="00644B63">
        <w:instrText xml:space="preserve"> SEQ Table \* ARABIC \s 1 </w:instrText>
      </w:r>
      <w:r w:rsidR="00644B63">
        <w:fldChar w:fldCharType="separate"/>
      </w:r>
      <w:r w:rsidR="00487073">
        <w:rPr>
          <w:noProof/>
        </w:rPr>
        <w:t>3</w:t>
      </w:r>
      <w:r w:rsidR="00644B63">
        <w:fldChar w:fldCharType="end"/>
      </w:r>
      <w:bookmarkEnd w:id="49"/>
      <w:bookmarkEnd w:id="50"/>
      <w:r w:rsidRPr="00C00EFB">
        <w:t>:</w:t>
      </w:r>
      <w:r w:rsidRPr="00C00EFB">
        <w:tab/>
        <w:t>State/territory central authorities—information sources available to people interested/</w:t>
      </w:r>
      <w:r w:rsidRPr="006B540A">
        <w:t>involved in ICA</w:t>
      </w:r>
      <w:r w:rsidR="00280075" w:rsidRPr="006B540A">
        <w:t xml:space="preserve"> (current as at </w:t>
      </w:r>
      <w:r w:rsidR="006B540A" w:rsidRPr="006B540A">
        <w:t>31 August</w:t>
      </w:r>
      <w:r w:rsidR="00280075" w:rsidRPr="006B540A">
        <w:t xml:space="preserve"> 2016)</w:t>
      </w:r>
      <w:bookmarkEnd w:id="51"/>
    </w:p>
    <w:tbl>
      <w:tblPr>
        <w:tblStyle w:val="TableGrid"/>
        <w:tblW w:w="0" w:type="auto"/>
        <w:tblInd w:w="108"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Description w:val="Table 3 3: State/territory central authorities—information sources available to people interested/involved in ICA (current as at 31 August 2016)"/>
      </w:tblPr>
      <w:tblGrid>
        <w:gridCol w:w="709"/>
        <w:gridCol w:w="2410"/>
        <w:gridCol w:w="1276"/>
        <w:gridCol w:w="1559"/>
        <w:gridCol w:w="2459"/>
        <w:gridCol w:w="546"/>
        <w:gridCol w:w="630"/>
        <w:gridCol w:w="700"/>
        <w:gridCol w:w="658"/>
        <w:gridCol w:w="3654"/>
      </w:tblGrid>
      <w:tr w:rsidR="00C00EFB" w:rsidRPr="00C00EFB" w14:paraId="676A84DF" w14:textId="77777777" w:rsidTr="00555633">
        <w:trPr>
          <w:tblHeader/>
        </w:trPr>
        <w:tc>
          <w:tcPr>
            <w:tcW w:w="709" w:type="dxa"/>
            <w:vMerge w:val="restart"/>
            <w:shd w:val="clear" w:color="auto" w:fill="0079C1" w:themeFill="text2"/>
            <w:vAlign w:val="center"/>
          </w:tcPr>
          <w:p w14:paraId="4599D5C2" w14:textId="77777777" w:rsidR="00C00EFB" w:rsidRPr="00555633" w:rsidRDefault="00C00EFB" w:rsidP="008979AD">
            <w:pPr>
              <w:pStyle w:val="TableHeading1"/>
              <w:rPr>
                <w:sz w:val="20"/>
              </w:rPr>
            </w:pPr>
            <w:r w:rsidRPr="00555633">
              <w:rPr>
                <w:sz w:val="20"/>
              </w:rPr>
              <w:t>STCA</w:t>
            </w:r>
          </w:p>
        </w:tc>
        <w:tc>
          <w:tcPr>
            <w:tcW w:w="2410" w:type="dxa"/>
            <w:vMerge w:val="restart"/>
            <w:shd w:val="clear" w:color="auto" w:fill="0079C1" w:themeFill="text2"/>
            <w:vAlign w:val="center"/>
          </w:tcPr>
          <w:p w14:paraId="39AA3DA8" w14:textId="77777777" w:rsidR="00C00EFB" w:rsidRPr="00555633" w:rsidRDefault="00C00EFB" w:rsidP="008979AD">
            <w:pPr>
              <w:pStyle w:val="TableHeading1"/>
              <w:rPr>
                <w:sz w:val="20"/>
              </w:rPr>
            </w:pPr>
            <w:r w:rsidRPr="00555633">
              <w:rPr>
                <w:sz w:val="20"/>
              </w:rPr>
              <w:t>Departmental location</w:t>
            </w:r>
          </w:p>
        </w:tc>
        <w:tc>
          <w:tcPr>
            <w:tcW w:w="1276" w:type="dxa"/>
            <w:vMerge w:val="restart"/>
            <w:shd w:val="clear" w:color="auto" w:fill="0079C1" w:themeFill="text2"/>
            <w:vAlign w:val="center"/>
          </w:tcPr>
          <w:p w14:paraId="530C2920" w14:textId="77777777" w:rsidR="00C00EFB" w:rsidRPr="00555633" w:rsidRDefault="00C00EFB" w:rsidP="008979AD">
            <w:pPr>
              <w:pStyle w:val="TableHeading1Centred"/>
              <w:rPr>
                <w:sz w:val="20"/>
              </w:rPr>
            </w:pPr>
            <w:r w:rsidRPr="00555633">
              <w:rPr>
                <w:sz w:val="20"/>
              </w:rPr>
              <w:t>Dedicated webpage/s</w:t>
            </w:r>
          </w:p>
        </w:tc>
        <w:tc>
          <w:tcPr>
            <w:tcW w:w="1559" w:type="dxa"/>
            <w:vMerge w:val="restart"/>
            <w:shd w:val="clear" w:color="auto" w:fill="0079C1" w:themeFill="text2"/>
            <w:vAlign w:val="center"/>
          </w:tcPr>
          <w:p w14:paraId="14929B53" w14:textId="77777777" w:rsidR="00C00EFB" w:rsidRPr="00555633" w:rsidRDefault="00C00EFB" w:rsidP="008979AD">
            <w:pPr>
              <w:pStyle w:val="TableHeading1Centred"/>
              <w:rPr>
                <w:sz w:val="20"/>
              </w:rPr>
            </w:pPr>
            <w:r w:rsidRPr="00555633">
              <w:rPr>
                <w:sz w:val="20"/>
              </w:rPr>
              <w:t>Downloadable information</w:t>
            </w:r>
          </w:p>
        </w:tc>
        <w:tc>
          <w:tcPr>
            <w:tcW w:w="2459" w:type="dxa"/>
            <w:vMerge w:val="restart"/>
            <w:shd w:val="clear" w:color="auto" w:fill="0079C1" w:themeFill="text2"/>
            <w:vAlign w:val="center"/>
          </w:tcPr>
          <w:p w14:paraId="575D8BCE" w14:textId="77777777" w:rsidR="00C00EFB" w:rsidRPr="00555633" w:rsidRDefault="00C00EFB" w:rsidP="008979AD">
            <w:pPr>
              <w:pStyle w:val="TableHeading1"/>
              <w:rPr>
                <w:sz w:val="20"/>
              </w:rPr>
            </w:pPr>
            <w:r w:rsidRPr="00555633">
              <w:rPr>
                <w:sz w:val="20"/>
              </w:rPr>
              <w:t>Information sessions (mentioned on website or downloads)</w:t>
            </w:r>
          </w:p>
        </w:tc>
        <w:tc>
          <w:tcPr>
            <w:tcW w:w="2534" w:type="dxa"/>
            <w:gridSpan w:val="4"/>
            <w:shd w:val="clear" w:color="auto" w:fill="0079C1" w:themeFill="text2"/>
            <w:vAlign w:val="center"/>
          </w:tcPr>
          <w:p w14:paraId="3AC930B5" w14:textId="77777777" w:rsidR="00C00EFB" w:rsidRPr="00555633" w:rsidRDefault="00C00EFB" w:rsidP="008979AD">
            <w:pPr>
              <w:pStyle w:val="TableHeading1Centred"/>
              <w:rPr>
                <w:sz w:val="20"/>
              </w:rPr>
            </w:pPr>
            <w:r w:rsidRPr="00555633">
              <w:rPr>
                <w:sz w:val="20"/>
              </w:rPr>
              <w:t>Links to</w:t>
            </w:r>
          </w:p>
        </w:tc>
        <w:tc>
          <w:tcPr>
            <w:tcW w:w="3654" w:type="dxa"/>
            <w:vMerge w:val="restart"/>
            <w:shd w:val="clear" w:color="auto" w:fill="0079C1" w:themeFill="text2"/>
            <w:vAlign w:val="center"/>
          </w:tcPr>
          <w:p w14:paraId="535E658C" w14:textId="77777777" w:rsidR="00C00EFB" w:rsidRPr="00555633" w:rsidRDefault="00C00EFB" w:rsidP="008979AD">
            <w:pPr>
              <w:pStyle w:val="TableHeading1"/>
              <w:rPr>
                <w:sz w:val="20"/>
              </w:rPr>
            </w:pPr>
            <w:r w:rsidRPr="00555633">
              <w:rPr>
                <w:sz w:val="20"/>
              </w:rPr>
              <w:t>Notes / other resources</w:t>
            </w:r>
          </w:p>
        </w:tc>
      </w:tr>
      <w:tr w:rsidR="00C00EFB" w:rsidRPr="00C00EFB" w14:paraId="7587CEF9" w14:textId="77777777" w:rsidTr="00555633">
        <w:trPr>
          <w:tblHeader/>
        </w:trPr>
        <w:tc>
          <w:tcPr>
            <w:tcW w:w="709" w:type="dxa"/>
            <w:vMerge/>
            <w:shd w:val="clear" w:color="auto" w:fill="0079C1" w:themeFill="text2"/>
            <w:vAlign w:val="center"/>
          </w:tcPr>
          <w:p w14:paraId="7C78571E" w14:textId="77777777" w:rsidR="00C00EFB" w:rsidRPr="00555633" w:rsidRDefault="00C00EFB" w:rsidP="008979AD">
            <w:pPr>
              <w:pStyle w:val="TableHeading1"/>
              <w:rPr>
                <w:sz w:val="20"/>
              </w:rPr>
            </w:pPr>
          </w:p>
        </w:tc>
        <w:tc>
          <w:tcPr>
            <w:tcW w:w="2410" w:type="dxa"/>
            <w:vMerge/>
            <w:shd w:val="clear" w:color="auto" w:fill="0079C1" w:themeFill="text2"/>
            <w:vAlign w:val="center"/>
          </w:tcPr>
          <w:p w14:paraId="2FB3209F" w14:textId="77777777" w:rsidR="00C00EFB" w:rsidRPr="00555633" w:rsidRDefault="00C00EFB" w:rsidP="008979AD">
            <w:pPr>
              <w:pStyle w:val="TableHeading1"/>
              <w:rPr>
                <w:sz w:val="20"/>
              </w:rPr>
            </w:pPr>
          </w:p>
        </w:tc>
        <w:tc>
          <w:tcPr>
            <w:tcW w:w="1276" w:type="dxa"/>
            <w:vMerge/>
            <w:shd w:val="clear" w:color="auto" w:fill="0079C1" w:themeFill="text2"/>
            <w:vAlign w:val="center"/>
          </w:tcPr>
          <w:p w14:paraId="05F73E05" w14:textId="77777777" w:rsidR="00C00EFB" w:rsidRPr="00555633" w:rsidRDefault="00C00EFB" w:rsidP="008979AD">
            <w:pPr>
              <w:pStyle w:val="TableHeading1"/>
              <w:rPr>
                <w:sz w:val="20"/>
              </w:rPr>
            </w:pPr>
          </w:p>
        </w:tc>
        <w:tc>
          <w:tcPr>
            <w:tcW w:w="1559" w:type="dxa"/>
            <w:vMerge/>
            <w:shd w:val="clear" w:color="auto" w:fill="0079C1" w:themeFill="text2"/>
            <w:vAlign w:val="center"/>
          </w:tcPr>
          <w:p w14:paraId="7912F984" w14:textId="77777777" w:rsidR="00C00EFB" w:rsidRPr="00555633" w:rsidRDefault="00C00EFB" w:rsidP="008979AD">
            <w:pPr>
              <w:pStyle w:val="TableHeading1"/>
              <w:rPr>
                <w:sz w:val="20"/>
              </w:rPr>
            </w:pPr>
          </w:p>
        </w:tc>
        <w:tc>
          <w:tcPr>
            <w:tcW w:w="2459" w:type="dxa"/>
            <w:vMerge/>
            <w:shd w:val="clear" w:color="auto" w:fill="0079C1" w:themeFill="text2"/>
            <w:vAlign w:val="center"/>
          </w:tcPr>
          <w:p w14:paraId="67FB2387" w14:textId="77777777" w:rsidR="00C00EFB" w:rsidRPr="00555633" w:rsidRDefault="00C00EFB" w:rsidP="008979AD">
            <w:pPr>
              <w:pStyle w:val="TableHeading1"/>
              <w:rPr>
                <w:sz w:val="20"/>
              </w:rPr>
            </w:pPr>
          </w:p>
        </w:tc>
        <w:tc>
          <w:tcPr>
            <w:tcW w:w="546" w:type="dxa"/>
            <w:shd w:val="clear" w:color="auto" w:fill="0079C1" w:themeFill="text2"/>
            <w:vAlign w:val="center"/>
          </w:tcPr>
          <w:p w14:paraId="288EE582" w14:textId="77777777" w:rsidR="00C00EFB" w:rsidRPr="00555633" w:rsidRDefault="00C00EFB" w:rsidP="008979AD">
            <w:pPr>
              <w:pStyle w:val="TableHeading1Centred"/>
              <w:rPr>
                <w:sz w:val="20"/>
              </w:rPr>
            </w:pPr>
            <w:r w:rsidRPr="00555633">
              <w:rPr>
                <w:sz w:val="20"/>
              </w:rPr>
              <w:t>IAA</w:t>
            </w:r>
          </w:p>
        </w:tc>
        <w:tc>
          <w:tcPr>
            <w:tcW w:w="630" w:type="dxa"/>
            <w:shd w:val="clear" w:color="auto" w:fill="0079C1" w:themeFill="text2"/>
            <w:vAlign w:val="center"/>
          </w:tcPr>
          <w:p w14:paraId="0D07828C" w14:textId="77777777" w:rsidR="00C00EFB" w:rsidRPr="00555633" w:rsidRDefault="00C00EFB" w:rsidP="008979AD">
            <w:pPr>
              <w:pStyle w:val="TableHeading1Centred"/>
              <w:rPr>
                <w:sz w:val="20"/>
              </w:rPr>
            </w:pPr>
            <w:r w:rsidRPr="00555633">
              <w:rPr>
                <w:sz w:val="20"/>
              </w:rPr>
              <w:t>AGD</w:t>
            </w:r>
          </w:p>
        </w:tc>
        <w:tc>
          <w:tcPr>
            <w:tcW w:w="700" w:type="dxa"/>
            <w:shd w:val="clear" w:color="auto" w:fill="0079C1" w:themeFill="text2"/>
            <w:vAlign w:val="center"/>
          </w:tcPr>
          <w:p w14:paraId="7427F1EC" w14:textId="77777777" w:rsidR="00C00EFB" w:rsidRPr="00555633" w:rsidRDefault="00C00EFB" w:rsidP="008979AD">
            <w:pPr>
              <w:pStyle w:val="TableHeading1Centred"/>
              <w:rPr>
                <w:sz w:val="20"/>
              </w:rPr>
            </w:pPr>
            <w:r w:rsidRPr="00555633">
              <w:rPr>
                <w:sz w:val="20"/>
              </w:rPr>
              <w:t>DFAT</w:t>
            </w:r>
          </w:p>
        </w:tc>
        <w:tc>
          <w:tcPr>
            <w:tcW w:w="658" w:type="dxa"/>
            <w:shd w:val="clear" w:color="auto" w:fill="0079C1" w:themeFill="text2"/>
            <w:vAlign w:val="center"/>
          </w:tcPr>
          <w:p w14:paraId="3B78EC5C" w14:textId="77777777" w:rsidR="00C00EFB" w:rsidRPr="00555633" w:rsidRDefault="00C00EFB" w:rsidP="008979AD">
            <w:pPr>
              <w:pStyle w:val="TableHeading1Centred"/>
              <w:rPr>
                <w:sz w:val="20"/>
              </w:rPr>
            </w:pPr>
            <w:r w:rsidRPr="00555633">
              <w:rPr>
                <w:sz w:val="20"/>
              </w:rPr>
              <w:t>DIBP</w:t>
            </w:r>
          </w:p>
        </w:tc>
        <w:tc>
          <w:tcPr>
            <w:tcW w:w="3654" w:type="dxa"/>
            <w:vMerge/>
            <w:shd w:val="clear" w:color="auto" w:fill="0079C1" w:themeFill="text2"/>
            <w:vAlign w:val="center"/>
          </w:tcPr>
          <w:p w14:paraId="2910688E" w14:textId="77777777" w:rsidR="00C00EFB" w:rsidRPr="00555633" w:rsidRDefault="00C00EFB" w:rsidP="008979AD">
            <w:pPr>
              <w:pStyle w:val="TableHeading1"/>
              <w:rPr>
                <w:sz w:val="20"/>
              </w:rPr>
            </w:pPr>
          </w:p>
        </w:tc>
      </w:tr>
      <w:tr w:rsidR="00C00EFB" w:rsidRPr="00C00EFB" w14:paraId="4E3B9036" w14:textId="77777777" w:rsidTr="00555633">
        <w:tc>
          <w:tcPr>
            <w:tcW w:w="709" w:type="dxa"/>
            <w:shd w:val="clear" w:color="auto" w:fill="E2F4FF" w:themeFill="accent1" w:themeFillTint="33"/>
          </w:tcPr>
          <w:p w14:paraId="761C19EB" w14:textId="7A5269DA" w:rsidR="00C00EFB" w:rsidRPr="000A0AF0" w:rsidRDefault="00555633" w:rsidP="00EB6BF0">
            <w:pPr>
              <w:pStyle w:val="TableHeading2Row"/>
              <w:rPr>
                <w:color w:val="auto"/>
                <w:sz w:val="20"/>
                <w:szCs w:val="20"/>
              </w:rPr>
            </w:pPr>
            <w:r w:rsidRPr="000A0AF0">
              <w:rPr>
                <w:color w:val="auto"/>
                <w:sz w:val="20"/>
                <w:szCs w:val="20"/>
              </w:rPr>
              <w:t>ACT</w:t>
            </w:r>
          </w:p>
        </w:tc>
        <w:tc>
          <w:tcPr>
            <w:tcW w:w="2410" w:type="dxa"/>
          </w:tcPr>
          <w:p w14:paraId="2F1B4921" w14:textId="77777777" w:rsidR="00C00EFB" w:rsidRPr="00555633" w:rsidRDefault="00C00EFB" w:rsidP="00EB6BF0">
            <w:pPr>
              <w:pStyle w:val="TableText"/>
              <w:rPr>
                <w:sz w:val="20"/>
                <w:szCs w:val="20"/>
              </w:rPr>
            </w:pPr>
            <w:r w:rsidRPr="00555633">
              <w:rPr>
                <w:sz w:val="20"/>
                <w:szCs w:val="20"/>
              </w:rPr>
              <w:t>Adoptions and Permanent Care Unit,</w:t>
            </w:r>
          </w:p>
          <w:p w14:paraId="44D13B19" w14:textId="77777777" w:rsidR="00C00EFB" w:rsidRPr="00555633" w:rsidRDefault="00C00EFB" w:rsidP="00EB6BF0">
            <w:pPr>
              <w:pStyle w:val="TableText"/>
              <w:rPr>
                <w:sz w:val="20"/>
                <w:szCs w:val="20"/>
              </w:rPr>
            </w:pPr>
            <w:r w:rsidRPr="00555633">
              <w:rPr>
                <w:sz w:val="20"/>
                <w:szCs w:val="20"/>
              </w:rPr>
              <w:t>ACT Community Services</w:t>
            </w:r>
          </w:p>
        </w:tc>
        <w:tc>
          <w:tcPr>
            <w:tcW w:w="1276" w:type="dxa"/>
          </w:tcPr>
          <w:p w14:paraId="29D50C32" w14:textId="77777777" w:rsidR="00C00EFB" w:rsidRPr="00555633" w:rsidRDefault="00C00EFB" w:rsidP="00EB6BF0">
            <w:pPr>
              <w:pStyle w:val="TableTextCentred"/>
              <w:rPr>
                <w:sz w:val="20"/>
                <w:szCs w:val="20"/>
              </w:rPr>
            </w:pPr>
            <w:r w:rsidRPr="00555633">
              <w:rPr>
                <w:sz w:val="20"/>
                <w:szCs w:val="20"/>
              </w:rPr>
              <w:sym w:font="Wingdings" w:char="F0FC"/>
            </w:r>
          </w:p>
        </w:tc>
        <w:tc>
          <w:tcPr>
            <w:tcW w:w="1559" w:type="dxa"/>
          </w:tcPr>
          <w:p w14:paraId="6D419308" w14:textId="77777777" w:rsidR="00C00EFB" w:rsidRPr="00555633" w:rsidRDefault="00C00EFB" w:rsidP="00EB6BF0">
            <w:pPr>
              <w:pStyle w:val="TableTextCentred"/>
              <w:rPr>
                <w:sz w:val="20"/>
                <w:szCs w:val="20"/>
              </w:rPr>
            </w:pPr>
            <w:r w:rsidRPr="00555633">
              <w:rPr>
                <w:sz w:val="20"/>
                <w:szCs w:val="20"/>
              </w:rPr>
              <w:sym w:font="Wingdings" w:char="F0FC"/>
            </w:r>
          </w:p>
        </w:tc>
        <w:tc>
          <w:tcPr>
            <w:tcW w:w="2459" w:type="dxa"/>
          </w:tcPr>
          <w:p w14:paraId="07B294F1" w14:textId="77777777" w:rsidR="00C00EFB" w:rsidRPr="00555633" w:rsidRDefault="00C00EFB" w:rsidP="00EB6BF0">
            <w:pPr>
              <w:pStyle w:val="TableText"/>
              <w:rPr>
                <w:sz w:val="20"/>
                <w:szCs w:val="20"/>
              </w:rPr>
            </w:pPr>
            <w:r w:rsidRPr="00555633">
              <w:rPr>
                <w:sz w:val="20"/>
                <w:szCs w:val="20"/>
              </w:rPr>
              <w:t>An ‘information seminar program’ must be attended before applications for assessment/approval can be accepted</w:t>
            </w:r>
          </w:p>
        </w:tc>
        <w:tc>
          <w:tcPr>
            <w:tcW w:w="546" w:type="dxa"/>
          </w:tcPr>
          <w:p w14:paraId="69089EEA" w14:textId="77777777" w:rsidR="00C00EFB" w:rsidRPr="00555633" w:rsidRDefault="00C00EFB" w:rsidP="00EB6BF0">
            <w:pPr>
              <w:pStyle w:val="TableTextCentred"/>
              <w:rPr>
                <w:sz w:val="20"/>
                <w:szCs w:val="20"/>
              </w:rPr>
            </w:pPr>
          </w:p>
        </w:tc>
        <w:tc>
          <w:tcPr>
            <w:tcW w:w="630" w:type="dxa"/>
          </w:tcPr>
          <w:p w14:paraId="0AC56E26" w14:textId="77777777" w:rsidR="00C00EFB" w:rsidRPr="00555633" w:rsidRDefault="00C00EFB" w:rsidP="00EB6BF0">
            <w:pPr>
              <w:pStyle w:val="TableTextCentred"/>
              <w:rPr>
                <w:sz w:val="20"/>
                <w:szCs w:val="20"/>
              </w:rPr>
            </w:pPr>
            <w:r w:rsidRPr="00555633">
              <w:rPr>
                <w:rFonts w:asciiTheme="minorHAnsi" w:hAnsiTheme="minorHAnsi"/>
                <w:sz w:val="20"/>
                <w:szCs w:val="20"/>
              </w:rPr>
              <w:sym w:font="Wingdings" w:char="F0FC"/>
            </w:r>
          </w:p>
        </w:tc>
        <w:tc>
          <w:tcPr>
            <w:tcW w:w="700" w:type="dxa"/>
          </w:tcPr>
          <w:p w14:paraId="531F53F0" w14:textId="77777777" w:rsidR="00C00EFB" w:rsidRPr="00555633" w:rsidRDefault="00C00EFB" w:rsidP="00EB6BF0">
            <w:pPr>
              <w:pStyle w:val="TableTextCentred"/>
              <w:rPr>
                <w:sz w:val="20"/>
                <w:szCs w:val="20"/>
              </w:rPr>
            </w:pPr>
          </w:p>
        </w:tc>
        <w:tc>
          <w:tcPr>
            <w:tcW w:w="658" w:type="dxa"/>
          </w:tcPr>
          <w:p w14:paraId="73E3F780" w14:textId="77777777" w:rsidR="00C00EFB" w:rsidRPr="00555633" w:rsidRDefault="00C00EFB" w:rsidP="00EB6BF0">
            <w:pPr>
              <w:pStyle w:val="TableTextCentred"/>
              <w:rPr>
                <w:sz w:val="20"/>
                <w:szCs w:val="20"/>
              </w:rPr>
            </w:pPr>
          </w:p>
        </w:tc>
        <w:tc>
          <w:tcPr>
            <w:tcW w:w="3654" w:type="dxa"/>
          </w:tcPr>
          <w:p w14:paraId="0B9AD720" w14:textId="77777777" w:rsidR="00C00EFB" w:rsidRPr="00555633" w:rsidRDefault="00C00EFB" w:rsidP="00EB6BF0">
            <w:pPr>
              <w:pStyle w:val="TableText"/>
              <w:rPr>
                <w:sz w:val="20"/>
                <w:szCs w:val="20"/>
              </w:rPr>
            </w:pPr>
          </w:p>
        </w:tc>
      </w:tr>
      <w:tr w:rsidR="00C00EFB" w:rsidRPr="00C00EFB" w14:paraId="23119AB3" w14:textId="77777777" w:rsidTr="00555633">
        <w:tc>
          <w:tcPr>
            <w:tcW w:w="709" w:type="dxa"/>
            <w:shd w:val="clear" w:color="auto" w:fill="E2F4FF" w:themeFill="accent1" w:themeFillTint="33"/>
          </w:tcPr>
          <w:p w14:paraId="5E183A30" w14:textId="7D3AB077" w:rsidR="00C00EFB" w:rsidRPr="000A0AF0" w:rsidRDefault="00555633" w:rsidP="00EB6BF0">
            <w:pPr>
              <w:pStyle w:val="TableHeading2Row"/>
              <w:rPr>
                <w:color w:val="auto"/>
                <w:sz w:val="20"/>
                <w:szCs w:val="20"/>
              </w:rPr>
            </w:pPr>
            <w:r w:rsidRPr="000A0AF0">
              <w:rPr>
                <w:color w:val="auto"/>
                <w:sz w:val="20"/>
                <w:szCs w:val="20"/>
              </w:rPr>
              <w:t>NSW</w:t>
            </w:r>
          </w:p>
        </w:tc>
        <w:tc>
          <w:tcPr>
            <w:tcW w:w="2410" w:type="dxa"/>
          </w:tcPr>
          <w:p w14:paraId="627D23B8" w14:textId="1861B6C8" w:rsidR="00C00EFB" w:rsidRPr="00555633" w:rsidRDefault="009C3B22" w:rsidP="00EB6BF0">
            <w:pPr>
              <w:pStyle w:val="TableText"/>
              <w:rPr>
                <w:sz w:val="20"/>
                <w:szCs w:val="20"/>
              </w:rPr>
            </w:pPr>
            <w:r w:rsidRPr="00555633">
              <w:rPr>
                <w:sz w:val="20"/>
                <w:szCs w:val="20"/>
              </w:rPr>
              <w:t>Intercountry Adoption Program, Adoption Services (Pre-adoption),</w:t>
            </w:r>
          </w:p>
          <w:p w14:paraId="75D03357" w14:textId="77777777" w:rsidR="00C00EFB" w:rsidRPr="00555633" w:rsidRDefault="00C00EFB" w:rsidP="00EB6BF0">
            <w:pPr>
              <w:pStyle w:val="TableText"/>
              <w:rPr>
                <w:sz w:val="20"/>
                <w:szCs w:val="20"/>
              </w:rPr>
            </w:pPr>
            <w:r w:rsidRPr="00555633">
              <w:rPr>
                <w:sz w:val="20"/>
                <w:szCs w:val="20"/>
              </w:rPr>
              <w:t>Department of Family and Community Services; Adoption Information Unit (post-adoption), Department of Family and Community Services</w:t>
            </w:r>
          </w:p>
        </w:tc>
        <w:tc>
          <w:tcPr>
            <w:tcW w:w="1276" w:type="dxa"/>
          </w:tcPr>
          <w:p w14:paraId="4F4E8737" w14:textId="77777777" w:rsidR="00C00EFB" w:rsidRPr="00555633" w:rsidRDefault="00C00EFB" w:rsidP="00EB6BF0">
            <w:pPr>
              <w:pStyle w:val="TableTextCentred"/>
              <w:rPr>
                <w:sz w:val="20"/>
                <w:szCs w:val="20"/>
              </w:rPr>
            </w:pPr>
            <w:r w:rsidRPr="00555633">
              <w:rPr>
                <w:sz w:val="20"/>
                <w:szCs w:val="20"/>
              </w:rPr>
              <w:sym w:font="Wingdings" w:char="F0FC"/>
            </w:r>
          </w:p>
        </w:tc>
        <w:tc>
          <w:tcPr>
            <w:tcW w:w="1559" w:type="dxa"/>
          </w:tcPr>
          <w:p w14:paraId="12A63781" w14:textId="77777777" w:rsidR="00C00EFB" w:rsidRPr="00555633" w:rsidRDefault="00C00EFB" w:rsidP="00EB6BF0">
            <w:pPr>
              <w:pStyle w:val="TableTextCentred"/>
              <w:rPr>
                <w:sz w:val="20"/>
                <w:szCs w:val="20"/>
              </w:rPr>
            </w:pPr>
            <w:r w:rsidRPr="00555633">
              <w:rPr>
                <w:sz w:val="20"/>
                <w:szCs w:val="20"/>
              </w:rPr>
              <w:sym w:font="Wingdings" w:char="F0FC"/>
            </w:r>
          </w:p>
        </w:tc>
        <w:tc>
          <w:tcPr>
            <w:tcW w:w="2459" w:type="dxa"/>
          </w:tcPr>
          <w:p w14:paraId="77ADDCA3" w14:textId="6384C2F4" w:rsidR="00C00EFB" w:rsidRPr="00555633" w:rsidRDefault="00C00EFB" w:rsidP="00EB6BF0">
            <w:pPr>
              <w:pStyle w:val="TableText"/>
              <w:rPr>
                <w:sz w:val="20"/>
                <w:szCs w:val="20"/>
              </w:rPr>
            </w:pPr>
            <w:r w:rsidRPr="00555633">
              <w:rPr>
                <w:sz w:val="20"/>
                <w:szCs w:val="20"/>
              </w:rPr>
              <w:t>First time applicants must attend a ‘preparation for adoption’ seminar (2 days plus additional day for adoption of older or special needs children)</w:t>
            </w:r>
            <w:r w:rsidR="00394C85" w:rsidRPr="00555633">
              <w:rPr>
                <w:sz w:val="20"/>
                <w:szCs w:val="20"/>
              </w:rPr>
              <w:t>.</w:t>
            </w:r>
          </w:p>
          <w:p w14:paraId="0DAC0045" w14:textId="41869812" w:rsidR="009C3B22" w:rsidRPr="00555633" w:rsidRDefault="00394C85" w:rsidP="00EB6BF0">
            <w:pPr>
              <w:pStyle w:val="TableText"/>
              <w:rPr>
                <w:sz w:val="20"/>
                <w:szCs w:val="20"/>
              </w:rPr>
            </w:pPr>
            <w:r w:rsidRPr="00555633">
              <w:rPr>
                <w:sz w:val="20"/>
                <w:szCs w:val="20"/>
              </w:rPr>
              <w:t>F</w:t>
            </w:r>
            <w:r w:rsidR="009C3B22" w:rsidRPr="00555633">
              <w:rPr>
                <w:sz w:val="20"/>
                <w:szCs w:val="20"/>
              </w:rPr>
              <w:t>rom 2017 the seminar will be 3 consecutive days incorporating the older child and special needs issues)</w:t>
            </w:r>
          </w:p>
        </w:tc>
        <w:tc>
          <w:tcPr>
            <w:tcW w:w="546" w:type="dxa"/>
          </w:tcPr>
          <w:p w14:paraId="1A931795" w14:textId="77777777" w:rsidR="00C00EFB" w:rsidRPr="00555633" w:rsidRDefault="00C00EFB" w:rsidP="00EB6BF0">
            <w:pPr>
              <w:pStyle w:val="TableTextCentred"/>
              <w:rPr>
                <w:sz w:val="20"/>
                <w:szCs w:val="20"/>
              </w:rPr>
            </w:pPr>
            <w:r w:rsidRPr="00555633">
              <w:rPr>
                <w:rFonts w:asciiTheme="minorHAnsi" w:hAnsiTheme="minorHAnsi"/>
                <w:sz w:val="20"/>
                <w:szCs w:val="20"/>
              </w:rPr>
              <w:sym w:font="Wingdings" w:char="F0FC"/>
            </w:r>
          </w:p>
        </w:tc>
        <w:tc>
          <w:tcPr>
            <w:tcW w:w="630" w:type="dxa"/>
          </w:tcPr>
          <w:p w14:paraId="17FC71AB" w14:textId="77777777" w:rsidR="00C00EFB" w:rsidRPr="00555633" w:rsidRDefault="00C00EFB" w:rsidP="00EB6BF0">
            <w:pPr>
              <w:pStyle w:val="TableTextCentred"/>
              <w:rPr>
                <w:sz w:val="20"/>
                <w:szCs w:val="20"/>
              </w:rPr>
            </w:pPr>
            <w:r w:rsidRPr="00555633">
              <w:rPr>
                <w:rFonts w:asciiTheme="minorHAnsi" w:hAnsiTheme="minorHAnsi"/>
                <w:sz w:val="20"/>
                <w:szCs w:val="20"/>
              </w:rPr>
              <w:sym w:font="Wingdings" w:char="F0FC"/>
            </w:r>
          </w:p>
        </w:tc>
        <w:tc>
          <w:tcPr>
            <w:tcW w:w="700" w:type="dxa"/>
          </w:tcPr>
          <w:p w14:paraId="4AA16BFC" w14:textId="77777777" w:rsidR="00C00EFB" w:rsidRPr="00555633" w:rsidRDefault="00C00EFB" w:rsidP="00EB6BF0">
            <w:pPr>
              <w:pStyle w:val="TableTextCentred"/>
              <w:rPr>
                <w:sz w:val="20"/>
                <w:szCs w:val="20"/>
              </w:rPr>
            </w:pPr>
          </w:p>
        </w:tc>
        <w:tc>
          <w:tcPr>
            <w:tcW w:w="658" w:type="dxa"/>
          </w:tcPr>
          <w:p w14:paraId="2DB88B99" w14:textId="77777777" w:rsidR="00C00EFB" w:rsidRPr="00555633" w:rsidRDefault="00C00EFB" w:rsidP="00EB6BF0">
            <w:pPr>
              <w:pStyle w:val="TableTextCentred"/>
              <w:rPr>
                <w:sz w:val="20"/>
                <w:szCs w:val="20"/>
              </w:rPr>
            </w:pPr>
            <w:r w:rsidRPr="00555633">
              <w:rPr>
                <w:rFonts w:asciiTheme="minorHAnsi" w:hAnsiTheme="minorHAnsi"/>
                <w:sz w:val="20"/>
                <w:szCs w:val="20"/>
              </w:rPr>
              <w:sym w:font="Wingdings" w:char="F0FC"/>
            </w:r>
          </w:p>
        </w:tc>
        <w:tc>
          <w:tcPr>
            <w:tcW w:w="3654" w:type="dxa"/>
          </w:tcPr>
          <w:p w14:paraId="1BD03963" w14:textId="77777777" w:rsidR="00C00EFB" w:rsidRPr="00555633" w:rsidRDefault="00C00EFB" w:rsidP="00EB6BF0">
            <w:pPr>
              <w:pStyle w:val="TableText"/>
              <w:rPr>
                <w:sz w:val="20"/>
                <w:szCs w:val="20"/>
              </w:rPr>
            </w:pPr>
            <w:r w:rsidRPr="00555633">
              <w:rPr>
                <w:sz w:val="20"/>
                <w:szCs w:val="20"/>
              </w:rPr>
              <w:t>Link to fact sheets on fees and costs for ICA and ICA hardship policy</w:t>
            </w:r>
          </w:p>
          <w:p w14:paraId="1E364569" w14:textId="77777777" w:rsidR="00C00EFB" w:rsidRPr="00555633" w:rsidRDefault="00C00EFB" w:rsidP="00EB6BF0">
            <w:pPr>
              <w:pStyle w:val="TableText"/>
              <w:rPr>
                <w:sz w:val="20"/>
                <w:szCs w:val="20"/>
              </w:rPr>
            </w:pPr>
            <w:r w:rsidRPr="00555633">
              <w:rPr>
                <w:sz w:val="20"/>
                <w:szCs w:val="20"/>
              </w:rPr>
              <w:t>Links to support services</w:t>
            </w:r>
          </w:p>
        </w:tc>
      </w:tr>
      <w:tr w:rsidR="00C00EFB" w:rsidRPr="00C00EFB" w14:paraId="63A0B789" w14:textId="77777777" w:rsidTr="00555633">
        <w:tc>
          <w:tcPr>
            <w:tcW w:w="709" w:type="dxa"/>
            <w:shd w:val="clear" w:color="auto" w:fill="E2F4FF" w:themeFill="accent1" w:themeFillTint="33"/>
          </w:tcPr>
          <w:p w14:paraId="7568786D" w14:textId="3589FF0D" w:rsidR="00C00EFB" w:rsidRPr="000A0AF0" w:rsidRDefault="00555633" w:rsidP="00EB6BF0">
            <w:pPr>
              <w:pStyle w:val="TableHeading2Row"/>
              <w:rPr>
                <w:color w:val="auto"/>
                <w:sz w:val="20"/>
                <w:szCs w:val="20"/>
              </w:rPr>
            </w:pPr>
            <w:r w:rsidRPr="000A0AF0">
              <w:rPr>
                <w:color w:val="auto"/>
                <w:sz w:val="20"/>
                <w:szCs w:val="20"/>
              </w:rPr>
              <w:t>NT</w:t>
            </w:r>
          </w:p>
        </w:tc>
        <w:tc>
          <w:tcPr>
            <w:tcW w:w="2410" w:type="dxa"/>
          </w:tcPr>
          <w:p w14:paraId="43E0DEAA" w14:textId="77777777" w:rsidR="00C00EFB" w:rsidRPr="00555633" w:rsidRDefault="00C00EFB" w:rsidP="00EB6BF0">
            <w:pPr>
              <w:pStyle w:val="TableText"/>
              <w:rPr>
                <w:sz w:val="20"/>
                <w:szCs w:val="20"/>
              </w:rPr>
            </w:pPr>
            <w:r w:rsidRPr="00555633">
              <w:rPr>
                <w:sz w:val="20"/>
                <w:szCs w:val="20"/>
              </w:rPr>
              <w:t>Adoption Unit, Department of Children and Families</w:t>
            </w:r>
          </w:p>
        </w:tc>
        <w:tc>
          <w:tcPr>
            <w:tcW w:w="1276" w:type="dxa"/>
          </w:tcPr>
          <w:p w14:paraId="24CAFD58" w14:textId="77777777" w:rsidR="00C00EFB" w:rsidRPr="00555633" w:rsidRDefault="00C00EFB" w:rsidP="00EB6BF0">
            <w:pPr>
              <w:pStyle w:val="TableTextCentred"/>
              <w:rPr>
                <w:sz w:val="20"/>
                <w:szCs w:val="20"/>
              </w:rPr>
            </w:pPr>
            <w:r w:rsidRPr="00555633">
              <w:rPr>
                <w:sz w:val="20"/>
                <w:szCs w:val="20"/>
              </w:rPr>
              <w:sym w:font="Wingdings" w:char="F0FC"/>
            </w:r>
          </w:p>
        </w:tc>
        <w:tc>
          <w:tcPr>
            <w:tcW w:w="1559" w:type="dxa"/>
          </w:tcPr>
          <w:p w14:paraId="1A65EDCA" w14:textId="77777777" w:rsidR="00C00EFB" w:rsidRPr="00555633" w:rsidRDefault="00C00EFB" w:rsidP="00EB6BF0">
            <w:pPr>
              <w:pStyle w:val="TableTextCentred"/>
              <w:rPr>
                <w:sz w:val="20"/>
                <w:szCs w:val="20"/>
              </w:rPr>
            </w:pPr>
          </w:p>
        </w:tc>
        <w:tc>
          <w:tcPr>
            <w:tcW w:w="2459" w:type="dxa"/>
          </w:tcPr>
          <w:p w14:paraId="53602989" w14:textId="5F726D7C" w:rsidR="00C00EFB" w:rsidRPr="00555633" w:rsidRDefault="00C701AB" w:rsidP="00EB6BF0">
            <w:pPr>
              <w:pStyle w:val="TableText"/>
              <w:rPr>
                <w:sz w:val="20"/>
                <w:szCs w:val="20"/>
              </w:rPr>
            </w:pPr>
            <w:r w:rsidRPr="00555633">
              <w:rPr>
                <w:sz w:val="20"/>
                <w:szCs w:val="20"/>
              </w:rPr>
              <w:t>On demand</w:t>
            </w:r>
          </w:p>
        </w:tc>
        <w:tc>
          <w:tcPr>
            <w:tcW w:w="546" w:type="dxa"/>
          </w:tcPr>
          <w:p w14:paraId="2B264DBA" w14:textId="77777777" w:rsidR="00C00EFB" w:rsidRPr="00555633" w:rsidRDefault="00C00EFB" w:rsidP="00EB6BF0">
            <w:pPr>
              <w:pStyle w:val="TableTextCentred"/>
              <w:rPr>
                <w:sz w:val="20"/>
                <w:szCs w:val="20"/>
              </w:rPr>
            </w:pPr>
          </w:p>
        </w:tc>
        <w:tc>
          <w:tcPr>
            <w:tcW w:w="630" w:type="dxa"/>
          </w:tcPr>
          <w:p w14:paraId="7780B40E" w14:textId="77777777" w:rsidR="00C00EFB" w:rsidRPr="00555633" w:rsidRDefault="00C00EFB" w:rsidP="00EB6BF0">
            <w:pPr>
              <w:pStyle w:val="TableTextCentred"/>
              <w:rPr>
                <w:sz w:val="20"/>
                <w:szCs w:val="20"/>
              </w:rPr>
            </w:pPr>
          </w:p>
        </w:tc>
        <w:tc>
          <w:tcPr>
            <w:tcW w:w="700" w:type="dxa"/>
          </w:tcPr>
          <w:p w14:paraId="1F8874F9" w14:textId="77777777" w:rsidR="00C00EFB" w:rsidRPr="00555633" w:rsidRDefault="00C00EFB" w:rsidP="00EB6BF0">
            <w:pPr>
              <w:pStyle w:val="TableTextCentred"/>
              <w:rPr>
                <w:sz w:val="20"/>
                <w:szCs w:val="20"/>
              </w:rPr>
            </w:pPr>
          </w:p>
        </w:tc>
        <w:tc>
          <w:tcPr>
            <w:tcW w:w="658" w:type="dxa"/>
          </w:tcPr>
          <w:p w14:paraId="50FC3FE9" w14:textId="77777777" w:rsidR="00C00EFB" w:rsidRPr="00555633" w:rsidRDefault="00C00EFB" w:rsidP="00EB6BF0">
            <w:pPr>
              <w:pStyle w:val="TableTextCentred"/>
              <w:rPr>
                <w:sz w:val="20"/>
                <w:szCs w:val="20"/>
              </w:rPr>
            </w:pPr>
          </w:p>
        </w:tc>
        <w:tc>
          <w:tcPr>
            <w:tcW w:w="3654" w:type="dxa"/>
          </w:tcPr>
          <w:p w14:paraId="782CA41C" w14:textId="77777777" w:rsidR="00C00EFB" w:rsidRPr="00555633" w:rsidRDefault="00C00EFB" w:rsidP="00EB6BF0">
            <w:pPr>
              <w:pStyle w:val="TableText"/>
              <w:rPr>
                <w:sz w:val="20"/>
                <w:szCs w:val="20"/>
              </w:rPr>
            </w:pPr>
            <w:r w:rsidRPr="00555633">
              <w:rPr>
                <w:sz w:val="20"/>
                <w:szCs w:val="20"/>
              </w:rPr>
              <w:t>Limited information available on ICA:  list of ICA programme countries and link to Hague Convention website</w:t>
            </w:r>
          </w:p>
        </w:tc>
      </w:tr>
      <w:tr w:rsidR="00C00EFB" w:rsidRPr="00C00EFB" w14:paraId="65B4BFA3" w14:textId="77777777" w:rsidTr="00555633">
        <w:tc>
          <w:tcPr>
            <w:tcW w:w="709" w:type="dxa"/>
            <w:shd w:val="clear" w:color="auto" w:fill="E2F4FF" w:themeFill="accent1" w:themeFillTint="33"/>
          </w:tcPr>
          <w:p w14:paraId="27ADFC3B" w14:textId="13FC2948" w:rsidR="00C00EFB" w:rsidRPr="000A0AF0" w:rsidRDefault="00555633" w:rsidP="00EB6BF0">
            <w:pPr>
              <w:pStyle w:val="TableHeading2Row"/>
              <w:rPr>
                <w:color w:val="auto"/>
                <w:sz w:val="20"/>
                <w:szCs w:val="20"/>
              </w:rPr>
            </w:pPr>
            <w:r w:rsidRPr="000A0AF0">
              <w:rPr>
                <w:color w:val="auto"/>
                <w:sz w:val="20"/>
                <w:szCs w:val="20"/>
              </w:rPr>
              <w:t>QLD</w:t>
            </w:r>
          </w:p>
        </w:tc>
        <w:tc>
          <w:tcPr>
            <w:tcW w:w="2410" w:type="dxa"/>
          </w:tcPr>
          <w:p w14:paraId="58B227C4" w14:textId="77777777" w:rsidR="00C00EFB" w:rsidRPr="00555633" w:rsidRDefault="00C00EFB" w:rsidP="00EB6BF0">
            <w:pPr>
              <w:pStyle w:val="TableText"/>
              <w:rPr>
                <w:sz w:val="20"/>
                <w:szCs w:val="20"/>
              </w:rPr>
            </w:pPr>
            <w:r w:rsidRPr="00555633">
              <w:rPr>
                <w:sz w:val="20"/>
                <w:szCs w:val="20"/>
              </w:rPr>
              <w:t>Adoptions Services,</w:t>
            </w:r>
          </w:p>
          <w:p w14:paraId="45AC7D38" w14:textId="77777777" w:rsidR="00C00EFB" w:rsidRPr="00555633" w:rsidRDefault="00C00EFB" w:rsidP="00EB6BF0">
            <w:pPr>
              <w:pStyle w:val="TableText"/>
              <w:rPr>
                <w:sz w:val="20"/>
                <w:szCs w:val="20"/>
              </w:rPr>
            </w:pPr>
            <w:r w:rsidRPr="00555633">
              <w:rPr>
                <w:sz w:val="20"/>
                <w:szCs w:val="20"/>
              </w:rPr>
              <w:t>Department of Communities, Child Safety and Disability Services</w:t>
            </w:r>
          </w:p>
        </w:tc>
        <w:tc>
          <w:tcPr>
            <w:tcW w:w="1276" w:type="dxa"/>
          </w:tcPr>
          <w:p w14:paraId="054CA038" w14:textId="77777777" w:rsidR="00C00EFB" w:rsidRPr="00555633" w:rsidRDefault="00C00EFB" w:rsidP="00EB6BF0">
            <w:pPr>
              <w:pStyle w:val="TableTextCentred"/>
              <w:rPr>
                <w:sz w:val="20"/>
                <w:szCs w:val="20"/>
              </w:rPr>
            </w:pPr>
            <w:r w:rsidRPr="00555633">
              <w:rPr>
                <w:sz w:val="20"/>
                <w:szCs w:val="20"/>
              </w:rPr>
              <w:sym w:font="Wingdings" w:char="F0FC"/>
            </w:r>
          </w:p>
        </w:tc>
        <w:tc>
          <w:tcPr>
            <w:tcW w:w="1559" w:type="dxa"/>
          </w:tcPr>
          <w:p w14:paraId="67AB33C5" w14:textId="77777777" w:rsidR="00C00EFB" w:rsidRPr="00555633" w:rsidRDefault="00C00EFB" w:rsidP="00EB6BF0">
            <w:pPr>
              <w:pStyle w:val="TableTextCentred"/>
              <w:rPr>
                <w:sz w:val="20"/>
                <w:szCs w:val="20"/>
              </w:rPr>
            </w:pPr>
            <w:r w:rsidRPr="00555633">
              <w:rPr>
                <w:sz w:val="20"/>
                <w:szCs w:val="20"/>
              </w:rPr>
              <w:sym w:font="Wingdings" w:char="F0FC"/>
            </w:r>
          </w:p>
        </w:tc>
        <w:tc>
          <w:tcPr>
            <w:tcW w:w="2459" w:type="dxa"/>
          </w:tcPr>
          <w:p w14:paraId="2DEE0BF2" w14:textId="77777777" w:rsidR="00C00EFB" w:rsidRPr="00555633" w:rsidRDefault="00C00EFB" w:rsidP="00EB6BF0">
            <w:pPr>
              <w:pStyle w:val="TableText"/>
              <w:rPr>
                <w:sz w:val="20"/>
                <w:szCs w:val="20"/>
              </w:rPr>
            </w:pPr>
            <w:r w:rsidRPr="00555633">
              <w:rPr>
                <w:sz w:val="20"/>
                <w:szCs w:val="20"/>
              </w:rPr>
              <w:t>Prospective parents “encouraged to attend” information session (covering both domestic and ICA)</w:t>
            </w:r>
          </w:p>
        </w:tc>
        <w:tc>
          <w:tcPr>
            <w:tcW w:w="546" w:type="dxa"/>
          </w:tcPr>
          <w:p w14:paraId="204D14AA" w14:textId="77777777" w:rsidR="00C00EFB" w:rsidRPr="00555633" w:rsidRDefault="00C00EFB" w:rsidP="00EB6BF0">
            <w:pPr>
              <w:pStyle w:val="TableTextCentred"/>
              <w:rPr>
                <w:sz w:val="20"/>
                <w:szCs w:val="20"/>
              </w:rPr>
            </w:pPr>
            <w:r w:rsidRPr="00555633">
              <w:rPr>
                <w:rFonts w:asciiTheme="minorHAnsi" w:hAnsiTheme="minorHAnsi"/>
                <w:sz w:val="20"/>
                <w:szCs w:val="20"/>
              </w:rPr>
              <w:sym w:font="Wingdings" w:char="F0FC"/>
            </w:r>
          </w:p>
        </w:tc>
        <w:tc>
          <w:tcPr>
            <w:tcW w:w="630" w:type="dxa"/>
          </w:tcPr>
          <w:p w14:paraId="481E77C1" w14:textId="77777777" w:rsidR="00C00EFB" w:rsidRPr="00555633" w:rsidRDefault="00C00EFB" w:rsidP="00EB6BF0">
            <w:pPr>
              <w:pStyle w:val="TableTextCentred"/>
              <w:rPr>
                <w:sz w:val="20"/>
                <w:szCs w:val="20"/>
              </w:rPr>
            </w:pPr>
            <w:r w:rsidRPr="00555633">
              <w:rPr>
                <w:rFonts w:asciiTheme="minorHAnsi" w:hAnsiTheme="minorHAnsi"/>
                <w:sz w:val="20"/>
                <w:szCs w:val="20"/>
              </w:rPr>
              <w:sym w:font="Wingdings" w:char="F0FC"/>
            </w:r>
          </w:p>
        </w:tc>
        <w:tc>
          <w:tcPr>
            <w:tcW w:w="700" w:type="dxa"/>
          </w:tcPr>
          <w:p w14:paraId="53E4F137" w14:textId="77777777" w:rsidR="00C00EFB" w:rsidRPr="00555633" w:rsidRDefault="00C00EFB" w:rsidP="00EB6BF0">
            <w:pPr>
              <w:pStyle w:val="TableTextCentred"/>
              <w:rPr>
                <w:sz w:val="20"/>
                <w:szCs w:val="20"/>
              </w:rPr>
            </w:pPr>
          </w:p>
        </w:tc>
        <w:tc>
          <w:tcPr>
            <w:tcW w:w="658" w:type="dxa"/>
          </w:tcPr>
          <w:p w14:paraId="1106BD79" w14:textId="77777777" w:rsidR="00C00EFB" w:rsidRPr="00555633" w:rsidRDefault="00C00EFB" w:rsidP="00EB6BF0">
            <w:pPr>
              <w:pStyle w:val="TableTextCentred"/>
              <w:rPr>
                <w:sz w:val="20"/>
                <w:szCs w:val="20"/>
              </w:rPr>
            </w:pPr>
          </w:p>
        </w:tc>
        <w:tc>
          <w:tcPr>
            <w:tcW w:w="3654" w:type="dxa"/>
          </w:tcPr>
          <w:p w14:paraId="4A9F936A" w14:textId="77777777" w:rsidR="00C00EFB" w:rsidRPr="00555633" w:rsidRDefault="00C00EFB" w:rsidP="00EB6BF0">
            <w:pPr>
              <w:pStyle w:val="TableText"/>
              <w:rPr>
                <w:sz w:val="20"/>
                <w:szCs w:val="20"/>
              </w:rPr>
            </w:pPr>
            <w:r w:rsidRPr="00555633">
              <w:rPr>
                <w:sz w:val="20"/>
                <w:szCs w:val="20"/>
              </w:rPr>
              <w:t>Queensland and ICA Handbook “available upon request” when preliminary scan undertaken (March 2016)—since made available online</w:t>
            </w:r>
          </w:p>
          <w:p w14:paraId="66E715C8" w14:textId="77777777" w:rsidR="00C00EFB" w:rsidRPr="00555633" w:rsidRDefault="00C00EFB" w:rsidP="00EB6BF0">
            <w:pPr>
              <w:pStyle w:val="TableText"/>
              <w:rPr>
                <w:sz w:val="20"/>
                <w:szCs w:val="20"/>
              </w:rPr>
            </w:pPr>
            <w:r w:rsidRPr="00555633">
              <w:rPr>
                <w:sz w:val="20"/>
                <w:szCs w:val="20"/>
              </w:rPr>
              <w:t>Downloadable forms ‘Adoption Expression of Interest’ and ‘Guide to completing an adoption expression of interest form’</w:t>
            </w:r>
          </w:p>
          <w:p w14:paraId="4A3B9669" w14:textId="77777777" w:rsidR="00C00EFB" w:rsidRPr="00555633" w:rsidRDefault="00C00EFB" w:rsidP="00EB6BF0">
            <w:pPr>
              <w:pStyle w:val="TableText"/>
              <w:rPr>
                <w:sz w:val="20"/>
                <w:szCs w:val="20"/>
              </w:rPr>
            </w:pPr>
            <w:r w:rsidRPr="00555633">
              <w:rPr>
                <w:sz w:val="20"/>
                <w:szCs w:val="20"/>
              </w:rPr>
              <w:lastRenderedPageBreak/>
              <w:t>Separate webpages contain information about adoption fees and adoption information sessions</w:t>
            </w:r>
          </w:p>
          <w:p w14:paraId="6B06248A" w14:textId="77777777" w:rsidR="00C00EFB" w:rsidRPr="00555633" w:rsidRDefault="00C00EFB" w:rsidP="00EB6BF0">
            <w:pPr>
              <w:pStyle w:val="TableText"/>
              <w:rPr>
                <w:sz w:val="20"/>
                <w:szCs w:val="20"/>
              </w:rPr>
            </w:pPr>
            <w:r w:rsidRPr="00555633">
              <w:rPr>
                <w:sz w:val="20"/>
                <w:szCs w:val="20"/>
              </w:rPr>
              <w:t>Several videos (and their transcripts) are available to view from the information sessions webpage, with titles including ‘ICA:  Dylan and Gillian’s story’, ‘The realities of adoption’, ‘Requirements for ICA’ and ’Understanding the adoption process’</w:t>
            </w:r>
          </w:p>
        </w:tc>
      </w:tr>
      <w:tr w:rsidR="00C00EFB" w:rsidRPr="00C00EFB" w14:paraId="1BB7B8C1" w14:textId="77777777" w:rsidTr="00555633">
        <w:tc>
          <w:tcPr>
            <w:tcW w:w="709" w:type="dxa"/>
            <w:shd w:val="clear" w:color="auto" w:fill="E2F4FF" w:themeFill="accent1" w:themeFillTint="33"/>
          </w:tcPr>
          <w:p w14:paraId="6228B3A5" w14:textId="58C594D9" w:rsidR="00C00EFB" w:rsidRPr="000A0AF0" w:rsidRDefault="00555633" w:rsidP="00EB6BF0">
            <w:pPr>
              <w:pStyle w:val="TableHeading2Row"/>
              <w:rPr>
                <w:color w:val="auto"/>
                <w:sz w:val="20"/>
                <w:szCs w:val="20"/>
              </w:rPr>
            </w:pPr>
            <w:r w:rsidRPr="000A0AF0">
              <w:rPr>
                <w:color w:val="auto"/>
                <w:sz w:val="20"/>
                <w:szCs w:val="20"/>
              </w:rPr>
              <w:lastRenderedPageBreak/>
              <w:t>SA</w:t>
            </w:r>
          </w:p>
        </w:tc>
        <w:tc>
          <w:tcPr>
            <w:tcW w:w="2410" w:type="dxa"/>
          </w:tcPr>
          <w:p w14:paraId="4E809C34" w14:textId="14F5A170" w:rsidR="00C00EFB" w:rsidRPr="00555633" w:rsidRDefault="00C701AB" w:rsidP="00EB6BF0">
            <w:pPr>
              <w:pStyle w:val="TableText"/>
              <w:rPr>
                <w:sz w:val="20"/>
                <w:szCs w:val="20"/>
              </w:rPr>
            </w:pPr>
            <w:r w:rsidRPr="00555633">
              <w:rPr>
                <w:sz w:val="20"/>
                <w:szCs w:val="20"/>
              </w:rPr>
              <w:t>Placement Services, Families SA</w:t>
            </w:r>
            <w:r w:rsidR="00C00EFB" w:rsidRPr="00555633">
              <w:rPr>
                <w:sz w:val="20"/>
                <w:szCs w:val="20"/>
              </w:rPr>
              <w:t>, Department for Education and Child Development</w:t>
            </w:r>
          </w:p>
        </w:tc>
        <w:tc>
          <w:tcPr>
            <w:tcW w:w="1276" w:type="dxa"/>
          </w:tcPr>
          <w:p w14:paraId="36F559DF" w14:textId="77777777" w:rsidR="00C00EFB" w:rsidRPr="00555633" w:rsidRDefault="00C00EFB" w:rsidP="00EB6BF0">
            <w:pPr>
              <w:pStyle w:val="TableTextCentred"/>
              <w:rPr>
                <w:sz w:val="20"/>
                <w:szCs w:val="20"/>
              </w:rPr>
            </w:pPr>
            <w:r w:rsidRPr="00555633">
              <w:rPr>
                <w:sz w:val="20"/>
                <w:szCs w:val="20"/>
              </w:rPr>
              <w:sym w:font="Wingdings" w:char="F0FC"/>
            </w:r>
          </w:p>
        </w:tc>
        <w:tc>
          <w:tcPr>
            <w:tcW w:w="1559" w:type="dxa"/>
          </w:tcPr>
          <w:p w14:paraId="7D8597D3" w14:textId="77777777" w:rsidR="00C00EFB" w:rsidRPr="00555633" w:rsidRDefault="00C00EFB" w:rsidP="00EB6BF0">
            <w:pPr>
              <w:pStyle w:val="TableTextCentred"/>
              <w:rPr>
                <w:sz w:val="20"/>
                <w:szCs w:val="20"/>
              </w:rPr>
            </w:pPr>
            <w:r w:rsidRPr="00555633">
              <w:rPr>
                <w:sz w:val="20"/>
                <w:szCs w:val="20"/>
              </w:rPr>
              <w:sym w:font="Wingdings" w:char="F0FC"/>
            </w:r>
          </w:p>
        </w:tc>
        <w:tc>
          <w:tcPr>
            <w:tcW w:w="2459" w:type="dxa"/>
          </w:tcPr>
          <w:p w14:paraId="091E755D" w14:textId="77777777" w:rsidR="00C00EFB" w:rsidRPr="00555633" w:rsidRDefault="00C00EFB" w:rsidP="00EB6BF0">
            <w:pPr>
              <w:pStyle w:val="TableText"/>
              <w:rPr>
                <w:sz w:val="20"/>
                <w:szCs w:val="20"/>
              </w:rPr>
            </w:pPr>
            <w:r w:rsidRPr="00555633">
              <w:rPr>
                <w:sz w:val="20"/>
                <w:szCs w:val="20"/>
              </w:rPr>
              <w:t>Information sessions are held ‘regularly’ and must be attended before an expression of interest can be submitted</w:t>
            </w:r>
          </w:p>
        </w:tc>
        <w:tc>
          <w:tcPr>
            <w:tcW w:w="546" w:type="dxa"/>
          </w:tcPr>
          <w:p w14:paraId="70892010" w14:textId="77777777" w:rsidR="00C00EFB" w:rsidRPr="00555633" w:rsidRDefault="00C00EFB" w:rsidP="00EB6BF0">
            <w:pPr>
              <w:pStyle w:val="TableTextCentred"/>
              <w:rPr>
                <w:rFonts w:asciiTheme="minorHAnsi" w:hAnsiTheme="minorHAnsi"/>
                <w:sz w:val="20"/>
                <w:szCs w:val="20"/>
              </w:rPr>
            </w:pPr>
            <w:r w:rsidRPr="00555633">
              <w:rPr>
                <w:rFonts w:asciiTheme="minorHAnsi" w:hAnsiTheme="minorHAnsi"/>
                <w:sz w:val="20"/>
                <w:szCs w:val="20"/>
              </w:rPr>
              <w:sym w:font="Wingdings" w:char="F0FC"/>
            </w:r>
          </w:p>
        </w:tc>
        <w:tc>
          <w:tcPr>
            <w:tcW w:w="630" w:type="dxa"/>
          </w:tcPr>
          <w:p w14:paraId="579FF741" w14:textId="77777777" w:rsidR="00C00EFB" w:rsidRPr="00555633" w:rsidRDefault="00C00EFB" w:rsidP="00EB6BF0">
            <w:pPr>
              <w:pStyle w:val="TableTextCentred"/>
              <w:rPr>
                <w:rFonts w:asciiTheme="minorHAnsi" w:hAnsiTheme="minorHAnsi"/>
                <w:sz w:val="20"/>
                <w:szCs w:val="20"/>
              </w:rPr>
            </w:pPr>
            <w:r w:rsidRPr="00555633">
              <w:rPr>
                <w:rFonts w:asciiTheme="minorHAnsi" w:hAnsiTheme="minorHAnsi"/>
                <w:sz w:val="20"/>
                <w:szCs w:val="20"/>
              </w:rPr>
              <w:sym w:font="Wingdings" w:char="F0FC"/>
            </w:r>
          </w:p>
        </w:tc>
        <w:tc>
          <w:tcPr>
            <w:tcW w:w="700" w:type="dxa"/>
          </w:tcPr>
          <w:p w14:paraId="2EDD52C1" w14:textId="77777777" w:rsidR="00C00EFB" w:rsidRPr="00555633" w:rsidRDefault="00C00EFB" w:rsidP="00EB6BF0">
            <w:pPr>
              <w:pStyle w:val="TableTextCentred"/>
              <w:rPr>
                <w:sz w:val="20"/>
                <w:szCs w:val="20"/>
              </w:rPr>
            </w:pPr>
          </w:p>
        </w:tc>
        <w:tc>
          <w:tcPr>
            <w:tcW w:w="658" w:type="dxa"/>
          </w:tcPr>
          <w:p w14:paraId="7BBC7D4B" w14:textId="77777777" w:rsidR="00C00EFB" w:rsidRPr="00555633" w:rsidRDefault="00C00EFB" w:rsidP="00EB6BF0">
            <w:pPr>
              <w:pStyle w:val="TableTextCentred"/>
              <w:rPr>
                <w:sz w:val="20"/>
                <w:szCs w:val="20"/>
              </w:rPr>
            </w:pPr>
          </w:p>
        </w:tc>
        <w:tc>
          <w:tcPr>
            <w:tcW w:w="3654" w:type="dxa"/>
          </w:tcPr>
          <w:p w14:paraId="091F9585" w14:textId="77777777" w:rsidR="00C00EFB" w:rsidRPr="00555633" w:rsidRDefault="00C00EFB" w:rsidP="00EB6BF0">
            <w:pPr>
              <w:pStyle w:val="TableText"/>
              <w:rPr>
                <w:sz w:val="20"/>
                <w:szCs w:val="20"/>
              </w:rPr>
            </w:pPr>
            <w:r w:rsidRPr="00555633">
              <w:rPr>
                <w:sz w:val="20"/>
                <w:szCs w:val="20"/>
              </w:rPr>
              <w:t>Six-page information sheet on ICA process and 28-page booklet on ICA available for download</w:t>
            </w:r>
          </w:p>
        </w:tc>
      </w:tr>
      <w:tr w:rsidR="00C00EFB" w:rsidRPr="00C00EFB" w14:paraId="46E24B40" w14:textId="77777777" w:rsidTr="00555633">
        <w:tc>
          <w:tcPr>
            <w:tcW w:w="709" w:type="dxa"/>
            <w:shd w:val="clear" w:color="auto" w:fill="E2F4FF" w:themeFill="accent1" w:themeFillTint="33"/>
          </w:tcPr>
          <w:p w14:paraId="723788BF" w14:textId="528787C0" w:rsidR="00C00EFB" w:rsidRPr="000A0AF0" w:rsidRDefault="00C00EFB" w:rsidP="00EB6BF0">
            <w:pPr>
              <w:pStyle w:val="TableHeading2Row"/>
              <w:rPr>
                <w:color w:val="auto"/>
                <w:sz w:val="20"/>
                <w:szCs w:val="20"/>
              </w:rPr>
            </w:pPr>
            <w:r w:rsidRPr="000A0AF0">
              <w:rPr>
                <w:color w:val="auto"/>
                <w:sz w:val="20"/>
                <w:szCs w:val="20"/>
              </w:rPr>
              <w:t>Tas</w:t>
            </w:r>
          </w:p>
        </w:tc>
        <w:tc>
          <w:tcPr>
            <w:tcW w:w="2410" w:type="dxa"/>
          </w:tcPr>
          <w:p w14:paraId="5785EFE9" w14:textId="77777777" w:rsidR="00C00EFB" w:rsidRPr="00555633" w:rsidRDefault="00C00EFB" w:rsidP="00EB6BF0">
            <w:pPr>
              <w:pStyle w:val="TableText"/>
              <w:rPr>
                <w:sz w:val="20"/>
                <w:szCs w:val="20"/>
              </w:rPr>
            </w:pPr>
            <w:r w:rsidRPr="00555633">
              <w:rPr>
                <w:sz w:val="20"/>
                <w:szCs w:val="20"/>
              </w:rPr>
              <w:t>Adoption and Permanency Services, Department of Health and Human Services</w:t>
            </w:r>
          </w:p>
        </w:tc>
        <w:tc>
          <w:tcPr>
            <w:tcW w:w="1276" w:type="dxa"/>
          </w:tcPr>
          <w:p w14:paraId="4851A678" w14:textId="77777777" w:rsidR="00C00EFB" w:rsidRPr="00555633" w:rsidRDefault="00C00EFB" w:rsidP="00EB6BF0">
            <w:pPr>
              <w:pStyle w:val="TableTextCentred"/>
              <w:rPr>
                <w:sz w:val="20"/>
                <w:szCs w:val="20"/>
              </w:rPr>
            </w:pPr>
            <w:r w:rsidRPr="00555633">
              <w:rPr>
                <w:sz w:val="20"/>
                <w:szCs w:val="20"/>
              </w:rPr>
              <w:sym w:font="Wingdings" w:char="F0FC"/>
            </w:r>
          </w:p>
        </w:tc>
        <w:tc>
          <w:tcPr>
            <w:tcW w:w="1559" w:type="dxa"/>
          </w:tcPr>
          <w:p w14:paraId="7F6C27DA" w14:textId="77777777" w:rsidR="00C00EFB" w:rsidRPr="00555633" w:rsidRDefault="00C00EFB" w:rsidP="00EB6BF0">
            <w:pPr>
              <w:pStyle w:val="TableTextCentred"/>
              <w:rPr>
                <w:sz w:val="20"/>
                <w:szCs w:val="20"/>
              </w:rPr>
            </w:pPr>
          </w:p>
        </w:tc>
        <w:tc>
          <w:tcPr>
            <w:tcW w:w="2459" w:type="dxa"/>
          </w:tcPr>
          <w:p w14:paraId="7341C35D" w14:textId="122BE14F" w:rsidR="00C00EFB" w:rsidRPr="00555633" w:rsidRDefault="00C701AB" w:rsidP="00EB6BF0">
            <w:pPr>
              <w:pStyle w:val="TableText"/>
              <w:rPr>
                <w:sz w:val="20"/>
                <w:szCs w:val="20"/>
              </w:rPr>
            </w:pPr>
            <w:r w:rsidRPr="00555633">
              <w:rPr>
                <w:sz w:val="20"/>
                <w:szCs w:val="20"/>
              </w:rPr>
              <w:t>Persons interested in attending an information session can contact STCA through link provided</w:t>
            </w:r>
          </w:p>
        </w:tc>
        <w:tc>
          <w:tcPr>
            <w:tcW w:w="546" w:type="dxa"/>
          </w:tcPr>
          <w:p w14:paraId="3CF0B9A7" w14:textId="77777777" w:rsidR="00C00EFB" w:rsidRPr="00555633" w:rsidRDefault="00C00EFB" w:rsidP="00EB6BF0">
            <w:pPr>
              <w:pStyle w:val="TableTextCentred"/>
              <w:rPr>
                <w:rFonts w:asciiTheme="minorHAnsi" w:hAnsiTheme="minorHAnsi"/>
                <w:sz w:val="20"/>
                <w:szCs w:val="20"/>
              </w:rPr>
            </w:pPr>
            <w:r w:rsidRPr="00555633">
              <w:rPr>
                <w:rFonts w:asciiTheme="minorHAnsi" w:hAnsiTheme="minorHAnsi"/>
                <w:sz w:val="20"/>
                <w:szCs w:val="20"/>
              </w:rPr>
              <w:sym w:font="Wingdings" w:char="F0FC"/>
            </w:r>
          </w:p>
        </w:tc>
        <w:tc>
          <w:tcPr>
            <w:tcW w:w="630" w:type="dxa"/>
          </w:tcPr>
          <w:p w14:paraId="7A0F00AC" w14:textId="77777777" w:rsidR="00C00EFB" w:rsidRPr="00555633" w:rsidRDefault="00C00EFB" w:rsidP="00EB6BF0">
            <w:pPr>
              <w:pStyle w:val="TableTextCentred"/>
              <w:rPr>
                <w:rFonts w:asciiTheme="minorHAnsi" w:hAnsiTheme="minorHAnsi"/>
                <w:sz w:val="20"/>
                <w:szCs w:val="20"/>
              </w:rPr>
            </w:pPr>
            <w:r w:rsidRPr="00555633">
              <w:rPr>
                <w:rFonts w:asciiTheme="minorHAnsi" w:hAnsiTheme="minorHAnsi"/>
                <w:sz w:val="20"/>
                <w:szCs w:val="20"/>
              </w:rPr>
              <w:sym w:font="Wingdings" w:char="F0FC"/>
            </w:r>
          </w:p>
        </w:tc>
        <w:tc>
          <w:tcPr>
            <w:tcW w:w="700" w:type="dxa"/>
          </w:tcPr>
          <w:p w14:paraId="2C99D1DA" w14:textId="77777777" w:rsidR="00C00EFB" w:rsidRPr="00555633" w:rsidRDefault="00C00EFB" w:rsidP="00EB6BF0">
            <w:pPr>
              <w:pStyle w:val="TableTextCentred"/>
              <w:rPr>
                <w:sz w:val="20"/>
                <w:szCs w:val="20"/>
              </w:rPr>
            </w:pPr>
          </w:p>
        </w:tc>
        <w:tc>
          <w:tcPr>
            <w:tcW w:w="658" w:type="dxa"/>
          </w:tcPr>
          <w:p w14:paraId="24146C58" w14:textId="77777777" w:rsidR="00C00EFB" w:rsidRPr="00555633" w:rsidRDefault="00C00EFB" w:rsidP="00EB6BF0">
            <w:pPr>
              <w:pStyle w:val="TableTextCentred"/>
              <w:rPr>
                <w:sz w:val="20"/>
                <w:szCs w:val="20"/>
              </w:rPr>
            </w:pPr>
          </w:p>
        </w:tc>
        <w:tc>
          <w:tcPr>
            <w:tcW w:w="3654" w:type="dxa"/>
          </w:tcPr>
          <w:p w14:paraId="3E8D1EC5" w14:textId="766C9090" w:rsidR="00C00EFB" w:rsidRPr="00555633" w:rsidRDefault="00C701AB" w:rsidP="00EB6BF0">
            <w:pPr>
              <w:pStyle w:val="TableText"/>
              <w:rPr>
                <w:sz w:val="20"/>
                <w:szCs w:val="20"/>
              </w:rPr>
            </w:pPr>
            <w:r w:rsidRPr="00555633">
              <w:rPr>
                <w:sz w:val="20"/>
                <w:szCs w:val="20"/>
              </w:rPr>
              <w:t>Links provided to the Hague Convention on Intercountry adoption and the UN convention on the rights of the child</w:t>
            </w:r>
          </w:p>
        </w:tc>
      </w:tr>
      <w:tr w:rsidR="00C00EFB" w:rsidRPr="00C00EFB" w14:paraId="653801FC" w14:textId="77777777" w:rsidTr="00555633">
        <w:tc>
          <w:tcPr>
            <w:tcW w:w="709" w:type="dxa"/>
            <w:shd w:val="clear" w:color="auto" w:fill="E2F4FF" w:themeFill="accent1" w:themeFillTint="33"/>
          </w:tcPr>
          <w:p w14:paraId="726DAE5D" w14:textId="374852B9" w:rsidR="00C00EFB" w:rsidRPr="000A0AF0" w:rsidRDefault="00C00EFB" w:rsidP="00EB6BF0">
            <w:pPr>
              <w:pStyle w:val="TableHeading2Row"/>
              <w:rPr>
                <w:color w:val="auto"/>
                <w:sz w:val="20"/>
                <w:szCs w:val="20"/>
              </w:rPr>
            </w:pPr>
            <w:r w:rsidRPr="000A0AF0">
              <w:rPr>
                <w:color w:val="auto"/>
                <w:sz w:val="20"/>
                <w:szCs w:val="20"/>
              </w:rPr>
              <w:t>Vic</w:t>
            </w:r>
          </w:p>
        </w:tc>
        <w:tc>
          <w:tcPr>
            <w:tcW w:w="2410" w:type="dxa"/>
          </w:tcPr>
          <w:p w14:paraId="1E5F408C" w14:textId="0EFC4C8D" w:rsidR="00300C94" w:rsidRPr="00555633" w:rsidRDefault="00300C94" w:rsidP="00300C94">
            <w:pPr>
              <w:pStyle w:val="TableText"/>
              <w:rPr>
                <w:sz w:val="20"/>
                <w:szCs w:val="20"/>
              </w:rPr>
            </w:pPr>
            <w:r w:rsidRPr="00555633">
              <w:rPr>
                <w:sz w:val="20"/>
                <w:szCs w:val="20"/>
              </w:rPr>
              <w:t xml:space="preserve">Department of Health and Human Services: </w:t>
            </w:r>
          </w:p>
          <w:p w14:paraId="473BF5FA" w14:textId="77777777" w:rsidR="00300C94" w:rsidRPr="00555633" w:rsidRDefault="00300C94" w:rsidP="00300C94">
            <w:pPr>
              <w:pStyle w:val="TableText"/>
              <w:rPr>
                <w:sz w:val="20"/>
                <w:szCs w:val="20"/>
              </w:rPr>
            </w:pPr>
          </w:p>
          <w:p w14:paraId="2F004F55" w14:textId="62585DB9" w:rsidR="00C00EFB" w:rsidRPr="00555633" w:rsidRDefault="00300C94" w:rsidP="00300C94">
            <w:pPr>
              <w:pStyle w:val="TableText"/>
              <w:rPr>
                <w:sz w:val="20"/>
                <w:szCs w:val="20"/>
              </w:rPr>
            </w:pPr>
            <w:r w:rsidRPr="00555633">
              <w:rPr>
                <w:sz w:val="20"/>
                <w:szCs w:val="20"/>
              </w:rPr>
              <w:t xml:space="preserve">Intercountry Adoption Victoria (IAV) - arranges intercountry adoptions </w:t>
            </w:r>
            <w:r w:rsidR="00C00EFB" w:rsidRPr="00555633">
              <w:rPr>
                <w:sz w:val="20"/>
                <w:szCs w:val="20"/>
              </w:rPr>
              <w:t>Family Information Networks &amp; Discovery (FIND), Department of Human Services</w:t>
            </w:r>
          </w:p>
        </w:tc>
        <w:tc>
          <w:tcPr>
            <w:tcW w:w="1276" w:type="dxa"/>
          </w:tcPr>
          <w:p w14:paraId="39F042C0" w14:textId="77777777" w:rsidR="00C00EFB" w:rsidRPr="00555633" w:rsidRDefault="00C00EFB" w:rsidP="00EB6BF0">
            <w:pPr>
              <w:pStyle w:val="TableTextCentred"/>
              <w:rPr>
                <w:sz w:val="20"/>
                <w:szCs w:val="20"/>
              </w:rPr>
            </w:pPr>
            <w:r w:rsidRPr="00555633">
              <w:rPr>
                <w:sz w:val="20"/>
                <w:szCs w:val="20"/>
              </w:rPr>
              <w:sym w:font="Wingdings" w:char="F0FC"/>
            </w:r>
          </w:p>
        </w:tc>
        <w:tc>
          <w:tcPr>
            <w:tcW w:w="1559" w:type="dxa"/>
          </w:tcPr>
          <w:p w14:paraId="513D958B" w14:textId="77777777" w:rsidR="00C00EFB" w:rsidRPr="00555633" w:rsidRDefault="00C00EFB" w:rsidP="00EB6BF0">
            <w:pPr>
              <w:pStyle w:val="TableTextCentred"/>
              <w:rPr>
                <w:sz w:val="20"/>
                <w:szCs w:val="20"/>
              </w:rPr>
            </w:pPr>
            <w:r w:rsidRPr="00555633">
              <w:rPr>
                <w:sz w:val="20"/>
                <w:szCs w:val="20"/>
              </w:rPr>
              <w:sym w:font="Wingdings" w:char="F0FC"/>
            </w:r>
          </w:p>
        </w:tc>
        <w:tc>
          <w:tcPr>
            <w:tcW w:w="2459" w:type="dxa"/>
          </w:tcPr>
          <w:p w14:paraId="429ECE83" w14:textId="77777777" w:rsidR="00C00EFB" w:rsidRPr="00555633" w:rsidRDefault="00C00EFB" w:rsidP="00EB6BF0">
            <w:pPr>
              <w:pStyle w:val="TableText"/>
              <w:rPr>
                <w:sz w:val="20"/>
                <w:szCs w:val="20"/>
              </w:rPr>
            </w:pPr>
            <w:r w:rsidRPr="00555633">
              <w:rPr>
                <w:sz w:val="20"/>
                <w:szCs w:val="20"/>
              </w:rPr>
              <w:t>Pre-application information sessions no longer held.</w:t>
            </w:r>
          </w:p>
          <w:p w14:paraId="61654956" w14:textId="77777777" w:rsidR="00C00EFB" w:rsidRPr="00555633" w:rsidRDefault="00C00EFB" w:rsidP="00EB6BF0">
            <w:pPr>
              <w:pStyle w:val="TableText"/>
              <w:rPr>
                <w:sz w:val="20"/>
                <w:szCs w:val="20"/>
              </w:rPr>
            </w:pPr>
          </w:p>
          <w:p w14:paraId="05BB489B" w14:textId="77777777" w:rsidR="00C00EFB" w:rsidRPr="00555633" w:rsidRDefault="00C00EFB" w:rsidP="00EB6BF0">
            <w:pPr>
              <w:pStyle w:val="TableText"/>
              <w:rPr>
                <w:sz w:val="20"/>
                <w:szCs w:val="20"/>
              </w:rPr>
            </w:pPr>
            <w:r w:rsidRPr="00555633">
              <w:rPr>
                <w:sz w:val="20"/>
                <w:szCs w:val="20"/>
              </w:rPr>
              <w:t>Attendance at education groups (3 days) is a mandatory requirement to proceed once an application has undergone initial screening and clearance and prior to assessment phase</w:t>
            </w:r>
          </w:p>
        </w:tc>
        <w:tc>
          <w:tcPr>
            <w:tcW w:w="546" w:type="dxa"/>
          </w:tcPr>
          <w:p w14:paraId="7CDD060C" w14:textId="77777777" w:rsidR="00C00EFB" w:rsidRPr="00555633" w:rsidRDefault="00C00EFB" w:rsidP="00EB6BF0">
            <w:pPr>
              <w:pStyle w:val="TableTextCentred"/>
              <w:rPr>
                <w:rFonts w:asciiTheme="minorHAnsi" w:hAnsiTheme="minorHAnsi"/>
                <w:sz w:val="20"/>
                <w:szCs w:val="20"/>
              </w:rPr>
            </w:pPr>
          </w:p>
        </w:tc>
        <w:tc>
          <w:tcPr>
            <w:tcW w:w="630" w:type="dxa"/>
          </w:tcPr>
          <w:p w14:paraId="463DECDA" w14:textId="77777777" w:rsidR="00C00EFB" w:rsidRPr="00555633" w:rsidRDefault="00C00EFB" w:rsidP="00EB6BF0">
            <w:pPr>
              <w:pStyle w:val="TableTextCentred"/>
              <w:rPr>
                <w:rFonts w:asciiTheme="minorHAnsi" w:hAnsiTheme="minorHAnsi"/>
                <w:sz w:val="20"/>
                <w:szCs w:val="20"/>
              </w:rPr>
            </w:pPr>
            <w:r w:rsidRPr="00555633">
              <w:rPr>
                <w:rFonts w:asciiTheme="minorHAnsi" w:hAnsiTheme="minorHAnsi"/>
                <w:sz w:val="20"/>
                <w:szCs w:val="20"/>
              </w:rPr>
              <w:sym w:font="Wingdings" w:char="F0FC"/>
            </w:r>
          </w:p>
        </w:tc>
        <w:tc>
          <w:tcPr>
            <w:tcW w:w="700" w:type="dxa"/>
          </w:tcPr>
          <w:p w14:paraId="50B42FA6" w14:textId="77777777" w:rsidR="00C00EFB" w:rsidRPr="00555633" w:rsidRDefault="00C00EFB" w:rsidP="00EB6BF0">
            <w:pPr>
              <w:pStyle w:val="TableTextCentred"/>
              <w:rPr>
                <w:sz w:val="20"/>
                <w:szCs w:val="20"/>
              </w:rPr>
            </w:pPr>
          </w:p>
        </w:tc>
        <w:tc>
          <w:tcPr>
            <w:tcW w:w="658" w:type="dxa"/>
          </w:tcPr>
          <w:p w14:paraId="2B94E5F2" w14:textId="77777777" w:rsidR="00C00EFB" w:rsidRPr="00555633" w:rsidRDefault="00C00EFB" w:rsidP="00EB6BF0">
            <w:pPr>
              <w:pStyle w:val="TableTextCentred"/>
              <w:rPr>
                <w:sz w:val="20"/>
                <w:szCs w:val="20"/>
              </w:rPr>
            </w:pPr>
            <w:r w:rsidRPr="00555633">
              <w:rPr>
                <w:rFonts w:asciiTheme="minorHAnsi" w:hAnsiTheme="minorHAnsi"/>
                <w:sz w:val="20"/>
                <w:szCs w:val="20"/>
              </w:rPr>
              <w:sym w:font="Wingdings" w:char="F0FC"/>
            </w:r>
          </w:p>
        </w:tc>
        <w:tc>
          <w:tcPr>
            <w:tcW w:w="3654" w:type="dxa"/>
          </w:tcPr>
          <w:p w14:paraId="04417E61" w14:textId="77777777" w:rsidR="00300C94" w:rsidRPr="00555633" w:rsidRDefault="00300C94" w:rsidP="00EB6BF0">
            <w:pPr>
              <w:pStyle w:val="TableText"/>
              <w:rPr>
                <w:sz w:val="20"/>
                <w:szCs w:val="20"/>
              </w:rPr>
            </w:pPr>
            <w:r w:rsidRPr="00555633">
              <w:rPr>
                <w:sz w:val="20"/>
                <w:szCs w:val="20"/>
              </w:rPr>
              <w:t xml:space="preserve">Website being updated and scheduled to be launched in October 2016.  </w:t>
            </w:r>
          </w:p>
          <w:p w14:paraId="0A464B4F" w14:textId="5F9A0A5B" w:rsidR="00C00EFB" w:rsidRPr="00555633" w:rsidRDefault="00C00EFB" w:rsidP="00EB6BF0">
            <w:pPr>
              <w:pStyle w:val="TableText"/>
              <w:rPr>
                <w:sz w:val="20"/>
                <w:szCs w:val="20"/>
              </w:rPr>
            </w:pPr>
            <w:r w:rsidRPr="00555633">
              <w:rPr>
                <w:sz w:val="20"/>
                <w:szCs w:val="20"/>
              </w:rPr>
              <w:t>ICA Information kit (42 pp), self-assessment tool and mandatory questionnaire and ICA Victoria assessment standards available online</w:t>
            </w:r>
          </w:p>
          <w:p w14:paraId="45C3D9BC" w14:textId="77777777" w:rsidR="00C00EFB" w:rsidRPr="00555633" w:rsidRDefault="00C00EFB" w:rsidP="00EB6BF0">
            <w:pPr>
              <w:pStyle w:val="TableText"/>
              <w:rPr>
                <w:sz w:val="20"/>
                <w:szCs w:val="20"/>
              </w:rPr>
            </w:pPr>
            <w:r w:rsidRPr="00555633">
              <w:rPr>
                <w:sz w:val="20"/>
                <w:szCs w:val="20"/>
              </w:rPr>
              <w:t>Dedicated page outlining challenges of ICA</w:t>
            </w:r>
          </w:p>
          <w:p w14:paraId="0584D871" w14:textId="77777777" w:rsidR="00C00EFB" w:rsidRPr="00555633" w:rsidRDefault="00C00EFB" w:rsidP="00EB6BF0">
            <w:pPr>
              <w:pStyle w:val="TableText"/>
              <w:rPr>
                <w:sz w:val="20"/>
                <w:szCs w:val="20"/>
              </w:rPr>
            </w:pPr>
            <w:r w:rsidRPr="00555633">
              <w:rPr>
                <w:sz w:val="20"/>
                <w:szCs w:val="20"/>
              </w:rPr>
              <w:t>ICA newsletter, last published May 2015, including current statistics and reference/links to:</w:t>
            </w:r>
          </w:p>
          <w:p w14:paraId="5470240B" w14:textId="77777777" w:rsidR="00C00EFB" w:rsidRPr="00555633" w:rsidRDefault="00C00EFB" w:rsidP="00EB6BF0">
            <w:pPr>
              <w:pStyle w:val="TableText"/>
              <w:rPr>
                <w:sz w:val="20"/>
                <w:szCs w:val="20"/>
              </w:rPr>
            </w:pPr>
            <w:r w:rsidRPr="00555633">
              <w:rPr>
                <w:sz w:val="20"/>
                <w:szCs w:val="20"/>
              </w:rPr>
              <w:lastRenderedPageBreak/>
              <w:t>Mini library—a small collection of books than can be mailed to interested families on a loan basis</w:t>
            </w:r>
          </w:p>
          <w:p w14:paraId="6D238E4A" w14:textId="788E0239" w:rsidR="00C00EFB" w:rsidRPr="00555633" w:rsidRDefault="00C00EFB" w:rsidP="00EB6BF0">
            <w:pPr>
              <w:pStyle w:val="TableText"/>
              <w:rPr>
                <w:sz w:val="20"/>
                <w:szCs w:val="20"/>
              </w:rPr>
            </w:pPr>
            <w:r w:rsidRPr="00555633">
              <w:rPr>
                <w:sz w:val="20"/>
                <w:szCs w:val="20"/>
              </w:rPr>
              <w:t xml:space="preserve">Intercountry Adoptee Voices </w:t>
            </w:r>
            <w:hyperlink r:id="rId24" w:history="1">
              <w:r w:rsidRPr="008E7495">
                <w:rPr>
                  <w:rStyle w:val="Hyperlink"/>
                  <w:noProof w:val="0"/>
                  <w:sz w:val="20"/>
                  <w:szCs w:val="20"/>
                </w:rPr>
                <w:t>w</w:t>
              </w:r>
              <w:r w:rsidR="008E7495" w:rsidRPr="008E7495">
                <w:rPr>
                  <w:rStyle w:val="Hyperlink"/>
                  <w:noProof w:val="0"/>
                  <w:sz w:val="20"/>
                  <w:szCs w:val="20"/>
                </w:rPr>
                <w:t>ebsite</w:t>
              </w:r>
            </w:hyperlink>
            <w:r w:rsidR="008E7495">
              <w:rPr>
                <w:sz w:val="20"/>
                <w:szCs w:val="20"/>
              </w:rPr>
              <w:t xml:space="preserve"> </w:t>
            </w:r>
          </w:p>
          <w:p w14:paraId="081693FD" w14:textId="77777777" w:rsidR="00C00EFB" w:rsidRPr="00555633" w:rsidRDefault="00C00EFB" w:rsidP="00EB6BF0">
            <w:pPr>
              <w:pStyle w:val="TableText"/>
              <w:rPr>
                <w:sz w:val="20"/>
                <w:szCs w:val="20"/>
              </w:rPr>
            </w:pPr>
            <w:r w:rsidRPr="00555633">
              <w:rPr>
                <w:sz w:val="20"/>
                <w:szCs w:val="20"/>
              </w:rPr>
              <w:t>Permanent Care and Adoptive Families (pcafamilies.org.au)—a Victorian support service that currently advertises a pilot program to foster relationships between young intercountry adoptees and adult intercountry adoptees</w:t>
            </w:r>
          </w:p>
        </w:tc>
      </w:tr>
      <w:tr w:rsidR="00C00EFB" w:rsidRPr="00C00EFB" w14:paraId="70DDBAEC" w14:textId="77777777" w:rsidTr="00555633">
        <w:tc>
          <w:tcPr>
            <w:tcW w:w="709" w:type="dxa"/>
            <w:shd w:val="clear" w:color="auto" w:fill="E2F4FF" w:themeFill="accent1" w:themeFillTint="33"/>
          </w:tcPr>
          <w:p w14:paraId="30B11FC7" w14:textId="74CDF7DB" w:rsidR="00C00EFB" w:rsidRPr="00555633" w:rsidRDefault="00555633" w:rsidP="00EB6BF0">
            <w:pPr>
              <w:pStyle w:val="TableHeading2Row"/>
              <w:rPr>
                <w:sz w:val="20"/>
                <w:szCs w:val="20"/>
              </w:rPr>
            </w:pPr>
            <w:r w:rsidRPr="000A0AF0">
              <w:rPr>
                <w:color w:val="auto"/>
                <w:sz w:val="20"/>
                <w:szCs w:val="20"/>
              </w:rPr>
              <w:lastRenderedPageBreak/>
              <w:t>WA</w:t>
            </w:r>
          </w:p>
        </w:tc>
        <w:tc>
          <w:tcPr>
            <w:tcW w:w="2410" w:type="dxa"/>
          </w:tcPr>
          <w:p w14:paraId="7F2E3638" w14:textId="77777777" w:rsidR="009C3B22" w:rsidRPr="00555633" w:rsidRDefault="009C3B22" w:rsidP="009C3B22">
            <w:pPr>
              <w:pStyle w:val="TableText"/>
              <w:rPr>
                <w:sz w:val="20"/>
                <w:szCs w:val="20"/>
              </w:rPr>
            </w:pPr>
            <w:r w:rsidRPr="00555633">
              <w:rPr>
                <w:sz w:val="20"/>
                <w:szCs w:val="20"/>
              </w:rPr>
              <w:t>Fostering and Adoption Services (includes local and intercountry adoptions, and post adoption services)</w:t>
            </w:r>
          </w:p>
          <w:p w14:paraId="6BC1A30B" w14:textId="2AE2F91B" w:rsidR="00C00EFB" w:rsidRPr="00555633" w:rsidRDefault="009C3B22" w:rsidP="009C3B22">
            <w:pPr>
              <w:pStyle w:val="TableText"/>
              <w:rPr>
                <w:sz w:val="20"/>
                <w:szCs w:val="20"/>
              </w:rPr>
            </w:pPr>
            <w:r w:rsidRPr="00555633">
              <w:rPr>
                <w:sz w:val="20"/>
                <w:szCs w:val="20"/>
              </w:rPr>
              <w:t>Department for Child Protection and Family Support</w:t>
            </w:r>
          </w:p>
        </w:tc>
        <w:tc>
          <w:tcPr>
            <w:tcW w:w="1276" w:type="dxa"/>
          </w:tcPr>
          <w:p w14:paraId="7E98CCB6" w14:textId="77777777" w:rsidR="00C00EFB" w:rsidRPr="00555633" w:rsidRDefault="00C00EFB" w:rsidP="00EB6BF0">
            <w:pPr>
              <w:pStyle w:val="TableTextCentred"/>
              <w:rPr>
                <w:sz w:val="20"/>
                <w:szCs w:val="20"/>
              </w:rPr>
            </w:pPr>
            <w:r w:rsidRPr="00555633">
              <w:rPr>
                <w:sz w:val="20"/>
                <w:szCs w:val="20"/>
              </w:rPr>
              <w:sym w:font="Wingdings" w:char="F0FC"/>
            </w:r>
          </w:p>
        </w:tc>
        <w:tc>
          <w:tcPr>
            <w:tcW w:w="1559" w:type="dxa"/>
          </w:tcPr>
          <w:p w14:paraId="46F25BBA" w14:textId="77777777" w:rsidR="00C00EFB" w:rsidRPr="00555633" w:rsidRDefault="00C00EFB" w:rsidP="00EB6BF0">
            <w:pPr>
              <w:pStyle w:val="TableTextCentred"/>
              <w:rPr>
                <w:sz w:val="20"/>
                <w:szCs w:val="20"/>
              </w:rPr>
            </w:pPr>
          </w:p>
        </w:tc>
        <w:tc>
          <w:tcPr>
            <w:tcW w:w="2459" w:type="dxa"/>
          </w:tcPr>
          <w:p w14:paraId="5AB5C0EA" w14:textId="77777777" w:rsidR="00C00EFB" w:rsidRPr="00555633" w:rsidRDefault="00C00EFB" w:rsidP="00EB6BF0">
            <w:pPr>
              <w:pStyle w:val="TableText"/>
              <w:rPr>
                <w:sz w:val="20"/>
                <w:szCs w:val="20"/>
              </w:rPr>
            </w:pPr>
          </w:p>
        </w:tc>
        <w:tc>
          <w:tcPr>
            <w:tcW w:w="546" w:type="dxa"/>
          </w:tcPr>
          <w:p w14:paraId="09B6C2C1" w14:textId="77777777" w:rsidR="00C00EFB" w:rsidRPr="00555633" w:rsidRDefault="00C00EFB" w:rsidP="00EB6BF0">
            <w:pPr>
              <w:pStyle w:val="TableTextCentred"/>
              <w:rPr>
                <w:rFonts w:asciiTheme="minorHAnsi" w:hAnsiTheme="minorHAnsi"/>
                <w:sz w:val="20"/>
                <w:szCs w:val="20"/>
              </w:rPr>
            </w:pPr>
            <w:r w:rsidRPr="00555633">
              <w:rPr>
                <w:rFonts w:asciiTheme="minorHAnsi" w:hAnsiTheme="minorHAnsi"/>
                <w:sz w:val="20"/>
                <w:szCs w:val="20"/>
              </w:rPr>
              <w:sym w:font="Wingdings" w:char="F0FC"/>
            </w:r>
          </w:p>
        </w:tc>
        <w:tc>
          <w:tcPr>
            <w:tcW w:w="630" w:type="dxa"/>
          </w:tcPr>
          <w:p w14:paraId="435A0F40" w14:textId="77777777" w:rsidR="00C00EFB" w:rsidRPr="00555633" w:rsidRDefault="00C00EFB" w:rsidP="00EB6BF0">
            <w:pPr>
              <w:pStyle w:val="TableTextCentred"/>
              <w:rPr>
                <w:rFonts w:asciiTheme="minorHAnsi" w:hAnsiTheme="minorHAnsi"/>
                <w:sz w:val="20"/>
                <w:szCs w:val="20"/>
              </w:rPr>
            </w:pPr>
            <w:r w:rsidRPr="00555633">
              <w:rPr>
                <w:rFonts w:asciiTheme="minorHAnsi" w:hAnsiTheme="minorHAnsi"/>
                <w:sz w:val="20"/>
                <w:szCs w:val="20"/>
              </w:rPr>
              <w:sym w:font="Wingdings" w:char="F0FC"/>
            </w:r>
          </w:p>
        </w:tc>
        <w:tc>
          <w:tcPr>
            <w:tcW w:w="700" w:type="dxa"/>
          </w:tcPr>
          <w:p w14:paraId="7107D95F" w14:textId="77777777" w:rsidR="00C00EFB" w:rsidRPr="00555633" w:rsidRDefault="00C00EFB" w:rsidP="00EB6BF0">
            <w:pPr>
              <w:pStyle w:val="TableTextCentred"/>
              <w:rPr>
                <w:sz w:val="20"/>
                <w:szCs w:val="20"/>
              </w:rPr>
            </w:pPr>
          </w:p>
        </w:tc>
        <w:tc>
          <w:tcPr>
            <w:tcW w:w="658" w:type="dxa"/>
          </w:tcPr>
          <w:p w14:paraId="552B0A85" w14:textId="77777777" w:rsidR="00C00EFB" w:rsidRPr="00555633" w:rsidRDefault="00C00EFB" w:rsidP="00EB6BF0">
            <w:pPr>
              <w:pStyle w:val="TableTextCentred"/>
              <w:rPr>
                <w:rFonts w:asciiTheme="minorHAnsi" w:hAnsiTheme="minorHAnsi"/>
                <w:sz w:val="20"/>
                <w:szCs w:val="20"/>
              </w:rPr>
            </w:pPr>
          </w:p>
        </w:tc>
        <w:tc>
          <w:tcPr>
            <w:tcW w:w="3654" w:type="dxa"/>
          </w:tcPr>
          <w:p w14:paraId="6F3F77A4" w14:textId="77777777" w:rsidR="00C00EFB" w:rsidRPr="00555633" w:rsidRDefault="00C00EFB" w:rsidP="00EB6BF0">
            <w:pPr>
              <w:pStyle w:val="TableText"/>
              <w:rPr>
                <w:sz w:val="20"/>
                <w:szCs w:val="20"/>
              </w:rPr>
            </w:pPr>
            <w:r w:rsidRPr="00555633">
              <w:rPr>
                <w:sz w:val="20"/>
                <w:szCs w:val="20"/>
              </w:rPr>
              <w:t>IAA referred to as ‘Adoption Australia’</w:t>
            </w:r>
          </w:p>
        </w:tc>
      </w:tr>
    </w:tbl>
    <w:bookmarkEnd w:id="47"/>
    <w:bookmarkEnd w:id="48"/>
    <w:bookmarkEnd w:id="52"/>
    <w:p w14:paraId="3DFFB2B2" w14:textId="1CBE8723" w:rsidR="00C00EFB" w:rsidRDefault="00C00EFB" w:rsidP="008979AD">
      <w:pPr>
        <w:pStyle w:val="Note"/>
      </w:pPr>
      <w:r w:rsidRPr="00C00EFB">
        <w:rPr>
          <w:lang w:eastAsia="en-AU"/>
        </w:rPr>
        <w:t>Note: Scan of websites performed July 2016.  Comparison to preliminary scan undertaken in March 2016 suggests that there may be signs of continual improvement—e.g. online availability of Queensland’s ‘Queensland and ICA Handbook’.</w:t>
      </w:r>
      <w:r w:rsidR="00DD4958">
        <w:t xml:space="preserve">  </w:t>
      </w:r>
      <w:r w:rsidR="00DD4958" w:rsidRPr="00DD4958">
        <w:t>Table content was confirmed with STCAs in September 2016</w:t>
      </w:r>
    </w:p>
    <w:p w14:paraId="61D3EBE6" w14:textId="77777777" w:rsidR="008979AD" w:rsidRPr="00C00EFB" w:rsidRDefault="008979AD" w:rsidP="008979AD">
      <w:pPr>
        <w:pStyle w:val="Note"/>
        <w:sectPr w:rsidR="008979AD" w:rsidRPr="00C00EFB" w:rsidSect="006C264C">
          <w:pgSz w:w="16840" w:h="11907" w:orient="landscape" w:code="9"/>
          <w:pgMar w:top="1418" w:right="1134" w:bottom="1134" w:left="1134" w:header="567" w:footer="567" w:gutter="0"/>
          <w:cols w:space="680"/>
        </w:sectPr>
      </w:pPr>
    </w:p>
    <w:p w14:paraId="1577336E" w14:textId="77777777" w:rsidR="00C00EFB" w:rsidRPr="00C00EFB" w:rsidRDefault="00C00EFB" w:rsidP="00F3319B">
      <w:pPr>
        <w:pStyle w:val="Heading3"/>
      </w:pPr>
      <w:r w:rsidRPr="00C00EFB">
        <w:lastRenderedPageBreak/>
        <w:t>Other key stakeholders</w:t>
      </w:r>
    </w:p>
    <w:p w14:paraId="18FCB17E" w14:textId="1C84C919" w:rsidR="00C00EFB" w:rsidRPr="00C00EFB" w:rsidRDefault="00BC5D6C" w:rsidP="00F3319B">
      <w:pPr>
        <w:pStyle w:val="Paragraph"/>
        <w:rPr>
          <w:lang w:eastAsia="en-AU"/>
        </w:rPr>
      </w:pPr>
      <w:r>
        <w:rPr>
          <w:lang w:eastAsia="en-AU"/>
        </w:rPr>
        <w:t>T</w:t>
      </w:r>
      <w:r w:rsidR="00C00EFB" w:rsidRPr="00C00EFB">
        <w:rPr>
          <w:lang w:eastAsia="en-AU"/>
        </w:rPr>
        <w:t xml:space="preserve">he Attorney-General’s Department </w:t>
      </w:r>
      <w:r w:rsidR="00C00EFB" w:rsidRPr="00C00EFB">
        <w:rPr>
          <w:lang w:eastAsia="en-AU"/>
        </w:rPr>
        <w:fldChar w:fldCharType="begin" w:fldLock="1"/>
      </w:r>
      <w:r w:rsidR="00C00EFB" w:rsidRPr="00C00EFB">
        <w:rPr>
          <w:lang w:eastAsia="en-AU"/>
        </w:rPr>
        <w:instrText>ADDIN CSL_CITATION { "citationItems" : [ { "id" : "ITEM-1", "itemData" : { "author" : [ { "dropping-particle" : "", "family" : "Australian Government Attorney-General's Department", "given" : "", "non-dropping-particle" : "", "parse-names" : false, "suffix" : "" } ], "id" : "ITEM-1", "issued" : { "date-parts" : [ [ "0" ] ] }, "title" : "Intercountry adoption", "type" : "webpage" }, "uris" : [ "http://www.mendeley.com/documents/?uuid=11aea1d7-d737-4bd9-b67e-d02e9eaa619e", "http://www.mendeley.com/documents/?uuid=f87500c3-af74-472c-8936-24f637c3cb83" ] } ], "mendeley" : { "formattedCitation" : "(Australian Government Attorney-General\u2019s Department n.d.)", "plainTextFormattedCitation" : "(Australian Government Attorney-General\u2019s Department n.d.)", "previouslyFormattedCitation" : "(Australian Government Attorney-General\u2019s Department n.d.)" }, "properties" : { "noteIndex" : 0 }, "schema" : "https://github.com/citation-style-language/schema/raw/master/csl-citation.json" }</w:instrText>
      </w:r>
      <w:r w:rsidR="00C00EFB" w:rsidRPr="00C00EFB">
        <w:rPr>
          <w:lang w:eastAsia="en-AU"/>
        </w:rPr>
        <w:fldChar w:fldCharType="separate"/>
      </w:r>
      <w:r w:rsidR="00C00EFB" w:rsidRPr="00C00EFB">
        <w:rPr>
          <w:noProof/>
          <w:lang w:eastAsia="en-AU"/>
        </w:rPr>
        <w:t>(Australian Government Attorney-General’s Department n.d.)</w:t>
      </w:r>
      <w:r w:rsidR="00C00EFB" w:rsidRPr="00C00EFB">
        <w:rPr>
          <w:lang w:eastAsia="en-AU"/>
        </w:rPr>
        <w:fldChar w:fldCharType="end"/>
      </w:r>
      <w:r w:rsidR="00C00EFB" w:rsidRPr="00C00EFB">
        <w:rPr>
          <w:lang w:eastAsia="en-AU"/>
        </w:rPr>
        <w:t xml:space="preserve"> and the Department of Immigration and Border Protection </w:t>
      </w:r>
      <w:r w:rsidR="00C00EFB" w:rsidRPr="00C00EFB">
        <w:rPr>
          <w:lang w:eastAsia="en-AU"/>
        </w:rPr>
        <w:fldChar w:fldCharType="begin" w:fldLock="1"/>
      </w:r>
      <w:r w:rsidR="00C00EFB" w:rsidRPr="00C00EFB">
        <w:rPr>
          <w:lang w:eastAsia="en-AU"/>
        </w:rPr>
        <w:instrText>ADDIN CSL_CITATION { "citationItems" : [ { "id" : "ITEM-1", "itemData" : { "author" : [ { "dropping-particle" : "", "family" : "Australian Government Department of Immigration and Border Protection", "given" : "", "non-dropping-particle" : "", "parse-names" : false, "suffix" : "" } ], "id" : "ITEM-1", "issued" : { "date-parts" : [ [ "0" ] ] }, "title" : "Adoption of Children from outside Australia", "type" : "webpage" }, "uris" : [ "http://www.mendeley.com/documents/?uuid=3bf68149-48a5-481f-b3f8-ee3fbb98f628", "http://www.mendeley.com/documents/?uuid=ccd5bb3b-bfcc-4b06-8cf6-d2057158abc7" ] } ], "mendeley" : { "formattedCitation" : "(Australian Government Department of Immigration and Border Protection n.d.)", "plainTextFormattedCitation" : "(Australian Government Department of Immigration and Border Protection n.d.)", "previouslyFormattedCitation" : "(Australian Government Department of Immigration and Border Protection n.d.)" }, "properties" : { "noteIndex" : 0 }, "schema" : "https://github.com/citation-style-language/schema/raw/master/csl-citation.json" }</w:instrText>
      </w:r>
      <w:r w:rsidR="00C00EFB" w:rsidRPr="00C00EFB">
        <w:rPr>
          <w:lang w:eastAsia="en-AU"/>
        </w:rPr>
        <w:fldChar w:fldCharType="separate"/>
      </w:r>
      <w:r w:rsidR="00C00EFB" w:rsidRPr="00C00EFB">
        <w:rPr>
          <w:noProof/>
          <w:lang w:eastAsia="en-AU"/>
        </w:rPr>
        <w:t>(Australian Government Department of Immigration and Border Protection n.d.)</w:t>
      </w:r>
      <w:r w:rsidR="00C00EFB" w:rsidRPr="00C00EFB">
        <w:rPr>
          <w:lang w:eastAsia="en-AU"/>
        </w:rPr>
        <w:fldChar w:fldCharType="end"/>
      </w:r>
      <w:r w:rsidRPr="00BC5D6C">
        <w:t xml:space="preserve"> </w:t>
      </w:r>
      <w:r w:rsidRPr="00BC5D6C">
        <w:rPr>
          <w:lang w:eastAsia="en-AU"/>
        </w:rPr>
        <w:t>also provide ICA information on their websites</w:t>
      </w:r>
      <w:r w:rsidR="00C00EFB" w:rsidRPr="00C00EFB">
        <w:rPr>
          <w:lang w:eastAsia="en-AU"/>
        </w:rPr>
        <w:t>.</w:t>
      </w:r>
    </w:p>
    <w:p w14:paraId="7B12DA34" w14:textId="6571C711" w:rsidR="00C00EFB" w:rsidRDefault="00C00EFB" w:rsidP="00F3319B">
      <w:pPr>
        <w:pStyle w:val="Paragraph"/>
      </w:pPr>
      <w:r w:rsidRPr="00C00EFB">
        <w:rPr>
          <w:lang w:eastAsia="en-AU"/>
        </w:rPr>
        <w:t xml:space="preserve">In addition to these, there are a number of non-government support and advocacy organisations relevant to ICA parents and children, such as the parent support group ICA Resource Network (ICARN), International Social Service (ISS) Australia, Barnardos Australia, The Benevolent Society, CREATE Foundation, Relationships Australia SA’s post-adoption support service, International Adoptee Community, Jigsaw, Adopted Vietnamese International, Australian African Children’s Aid and Support Association and Families with Children from China (Australia), as well as state- and territory-based organisations and groups </w:t>
      </w:r>
      <w:r w:rsidRPr="00C00EFB">
        <w:rPr>
          <w:lang w:eastAsia="en-AU"/>
        </w:rPr>
        <w:fldChar w:fldCharType="begin" w:fldLock="1"/>
      </w:r>
      <w:r w:rsidRPr="00C00EFB">
        <w:rPr>
          <w:lang w:eastAsia="en-AU"/>
        </w:rPr>
        <w:instrText>ADDIN CSL_CITATION { "citationItems" : [ { "id" : "ITEM-1", "itemData" : { "author" : [ { "dropping-particle" : "", "family" : "Adopt Change", "given" : "", "non-dropping-particle" : "", "parse-names" : false, "suffix" : "" } ], "id" : "ITEM-1", "issued" : { "date-parts" : [ [ "0" ] ] }, "title" : "Agencies and Support", "type" : "webpage" }, "uris" : [ "http://www.mendeley.com/documents/?uuid=6a866ec3-a6e8-4cf6-a892-7c1150951dc9", "http://www.mendeley.com/documents/?uuid=a836d69d-8094-43c7-8b93-afb09d16d1f2" ] } ], "mendeley" : { "formattedCitation" : "(Adopt Change n.d.)", "plainTextFormattedCitation" : "(Adopt Change n.d.)", "previouslyFormattedCitation" : "(Adopt Change n.d.)" }, "properties" : { "noteIndex" : 0 }, "schema" : "https://github.com/citation-style-language/schema/raw/master/csl-citation.json" }</w:instrText>
      </w:r>
      <w:r w:rsidRPr="00C00EFB">
        <w:rPr>
          <w:lang w:eastAsia="en-AU"/>
        </w:rPr>
        <w:fldChar w:fldCharType="separate"/>
      </w:r>
      <w:r w:rsidRPr="00C00EFB">
        <w:rPr>
          <w:noProof/>
          <w:lang w:eastAsia="en-AU"/>
        </w:rPr>
        <w:t>(Adopt Change n.d.)</w:t>
      </w:r>
      <w:r w:rsidRPr="00C00EFB">
        <w:rPr>
          <w:lang w:eastAsia="en-AU"/>
        </w:rPr>
        <w:fldChar w:fldCharType="end"/>
      </w:r>
      <w:r w:rsidRPr="00C00EFB">
        <w:rPr>
          <w:lang w:eastAsia="en-AU"/>
        </w:rPr>
        <w:t>.</w:t>
      </w:r>
      <w:r w:rsidR="00F003D9">
        <w:rPr>
          <w:lang w:eastAsia="en-AU"/>
        </w:rPr>
        <w:t xml:space="preserve">  </w:t>
      </w:r>
      <w:r w:rsidRPr="00C00EFB">
        <w:rPr>
          <w:lang w:eastAsia="en-AU"/>
        </w:rPr>
        <w:t xml:space="preserve">Many of these also play an advocacy role </w:t>
      </w:r>
      <w:r w:rsidR="00BC5D6C">
        <w:rPr>
          <w:lang w:eastAsia="en-AU"/>
        </w:rPr>
        <w:t>in relation to</w:t>
      </w:r>
      <w:r w:rsidR="00BC5D6C" w:rsidRPr="00C00EFB">
        <w:rPr>
          <w:lang w:eastAsia="en-AU"/>
        </w:rPr>
        <w:t xml:space="preserve"> </w:t>
      </w:r>
      <w:r w:rsidRPr="00C00EFB">
        <w:rPr>
          <w:lang w:eastAsia="en-AU"/>
        </w:rPr>
        <w:t>ICA.</w:t>
      </w:r>
    </w:p>
    <w:p w14:paraId="38124994" w14:textId="75EC0899" w:rsidR="00467146" w:rsidRDefault="00467146" w:rsidP="00FF3955">
      <w:pPr>
        <w:pStyle w:val="Paragraph"/>
      </w:pPr>
      <w:r>
        <w:br w:type="page"/>
      </w:r>
    </w:p>
    <w:p w14:paraId="309D820B" w14:textId="77777777" w:rsidR="001B1AEC" w:rsidRDefault="001B1AEC" w:rsidP="001B1AEC">
      <w:pPr>
        <w:pStyle w:val="Paragraph"/>
      </w:pPr>
    </w:p>
    <w:bookmarkStart w:id="53" w:name="_Ref458168912"/>
    <w:bookmarkStart w:id="54" w:name="_Ref458168928"/>
    <w:bookmarkStart w:id="55" w:name="_Toc490481617"/>
    <w:p w14:paraId="25929A38" w14:textId="77777777" w:rsidR="001B1AEC" w:rsidRDefault="00B36A43" w:rsidP="00283E1C">
      <w:pPr>
        <w:pStyle w:val="Heading1"/>
      </w:pPr>
      <w:r>
        <w:rPr>
          <w:noProof/>
          <w:lang w:val="en-AU" w:eastAsia="en-AU"/>
        </w:rPr>
        <mc:AlternateContent>
          <mc:Choice Requires="wps">
            <w:drawing>
              <wp:anchor distT="0" distB="0" distL="114300" distR="114300" simplePos="0" relativeHeight="251648000" behindDoc="1" locked="0" layoutInCell="1" allowOverlap="1" wp14:anchorId="2C5C7EA0" wp14:editId="594D83D2">
                <wp:simplePos x="0" y="0"/>
                <wp:positionH relativeFrom="page">
                  <wp:align>left</wp:align>
                </wp:positionH>
                <wp:positionV relativeFrom="page">
                  <wp:align>top</wp:align>
                </wp:positionV>
                <wp:extent cx="7632065" cy="10763885"/>
                <wp:effectExtent l="0" t="0" r="6985" b="0"/>
                <wp:wrapNone/>
                <wp:docPr id="690" name="Rectangle 3" title="&quot; &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2065" cy="107638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114E7" id="Rectangle 3" o:spid="_x0000_s1026" alt="Title: &quot; &quot;" style="position:absolute;margin-left:0;margin-top:0;width:600.95pt;height:847.55pt;z-index:-2516684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jvrgIAALcFAAAOAAAAZHJzL2Uyb0RvYy54bWysVN9P2zAQfp+0/8Hyw95G0kILZKSoAjFN&#10;qqACJp6NYzfRHJ+x3abdX7+znZSOoT1M64Pr83333Y/c3cXltlVkI6xrQJd0dJRTIjSHqtGrkn5/&#10;vPl8RonzTFdMgRYl3QlHL2cfP1x0phBjqEFVwhIk0a7oTElr702RZY7XomXuCIzQqJRgW+ZRtKus&#10;sqxD9lZl4zyfZh3Yyljgwjl8vU5KOov8Ugru76R0whNVUozNx9PG8zmc2eyCFSvLTN3wPgz2D1G0&#10;rNHodE91zTwja9v8QdU23IID6Y84tBlI2XARc8BsRvmbbB5qZkTMBYvjzL5M7v/R8tvN0pKmKun0&#10;HOujWYsf6R7LxvRKCXKMJWu8wrdPL2vwX0j6C2XrjCvQ+sEsbUjcmQXwHw4V2W+aILges5W2DVhM&#10;m2zjN9jtv4HYesLx8XR6PM6nE0o46kY5imdnk+AvY8Vgb6zzXwW0JFxKajHcWHy2WTifoAMkhgaq&#10;qW4apaIQOktcKUs2DHvCb8c9uTtEKR2wGoJVIgwvMbOUTEzL75QIOKXvhcQiYvjjGEhs31cnjHOh&#10;/SipalaJ5HuS42/wPoQVE42EgVmi/z13TzAgE8nAnaLs8cFUxO7fG+d/CywZ7y2iZ9B+b9w2Gux7&#10;BAqz6j0n/FCkVJpQpWeodthiFtLsOcNvGvxsC+b8klkcNmw7XCD+Dg+poCsp9DdKarA/33sPeJwB&#10;1FLS4fCW1L2smRWUqG8ap+N8dHISpj0KJ5PTMQr2UPN8qNHr9gqwF0a4qgyP14D3arhKC+0T7pl5&#10;8Ioqpjn6Lin3dhCufFoquKm4mM8jDCfcML/QD4YH8lDV0JaP2ydmTd+7Hvv+FoZBZ8WbFk7YYKlh&#10;vvYgm9jfr3Xt643bITZOv8nC+jmUI+p1385+AQAA//8DAFBLAwQUAAYACAAAACEAcIV8ZtwAAAAH&#10;AQAADwAAAGRycy9kb3ducmV2LnhtbEyPQW/CMAyF75P4D5GRdhtpmcZKaYoQUjlO0G3iahqvrdY4&#10;VROg+/cLu4yL9axnvfc5W4+mExcaXGtZQTyLQBBXVrdcK/h4L54SEM4ja+wsk4IfcrDOJw8Zptpe&#10;+UCX0tcihLBLUUHjfZ9K6aqGDLqZ7YmD92UHgz6sQy31gNcQbjo5j6KFNNhyaGiwp21D1Xd5NgqK&#10;4yslh3i/242fz/tEl2++QFLqcTpuViA8jf7/GG74AR3ywHSyZ9ZOdArCI/5v3rx5FC9BnIJaLF9i&#10;kHkm7/nzXwAAAP//AwBQSwECLQAUAAYACAAAACEAtoM4kv4AAADhAQAAEwAAAAAAAAAAAAAAAAAA&#10;AAAAW0NvbnRlbnRfVHlwZXNdLnhtbFBLAQItABQABgAIAAAAIQA4/SH/1gAAAJQBAAALAAAAAAAA&#10;AAAAAAAAAC8BAABfcmVscy8ucmVsc1BLAQItABQABgAIAAAAIQBvrWjvrgIAALcFAAAOAAAAAAAA&#10;AAAAAAAAAC4CAABkcnMvZTJvRG9jLnhtbFBLAQItABQABgAIAAAAIQBwhXxm3AAAAAcBAAAPAAAA&#10;AAAAAAAAAAAAAAgFAABkcnMvZG93bnJldi54bWxQSwUGAAAAAAQABADzAAAAEQYAAAAA&#10;" fillcolor="#0079c1 [3215]" stroked="f" strokeweight="2pt">
                <v:path arrowok="t"/>
                <w10:wrap anchorx="page" anchory="page"/>
              </v:rect>
            </w:pict>
          </mc:Fallback>
        </mc:AlternateContent>
      </w:r>
      <w:r w:rsidR="00C10184">
        <w:t>Evaluation approach and methods</w:t>
      </w:r>
      <w:bookmarkEnd w:id="53"/>
      <w:bookmarkEnd w:id="54"/>
      <w:bookmarkEnd w:id="55"/>
      <w:r w:rsidR="00C10184">
        <w:t xml:space="preserve"> </w:t>
      </w:r>
    </w:p>
    <w:p w14:paraId="04330EFE" w14:textId="77777777" w:rsidR="001B1AEC" w:rsidRDefault="001B1AEC" w:rsidP="001B1AEC">
      <w:pPr>
        <w:rPr>
          <w:lang w:eastAsia="en-AU"/>
        </w:rPr>
      </w:pPr>
      <w:r>
        <w:rPr>
          <w:lang w:eastAsia="en-AU"/>
        </w:rPr>
        <w:br w:type="page"/>
      </w:r>
    </w:p>
    <w:p w14:paraId="35D2E60A" w14:textId="77777777" w:rsidR="001B1AEC" w:rsidRDefault="00C10184" w:rsidP="00F3319B">
      <w:pPr>
        <w:pStyle w:val="Heading2"/>
      </w:pPr>
      <w:bookmarkStart w:id="56" w:name="_Toc490481618"/>
      <w:r>
        <w:lastRenderedPageBreak/>
        <w:t>Overview</w:t>
      </w:r>
      <w:bookmarkEnd w:id="56"/>
    </w:p>
    <w:p w14:paraId="60AD69E5" w14:textId="305B46CA" w:rsidR="00AF6837" w:rsidRDefault="00AF6837" w:rsidP="00AF6837">
      <w:pPr>
        <w:pStyle w:val="Heading3"/>
      </w:pPr>
      <w:r>
        <w:t>Approach</w:t>
      </w:r>
    </w:p>
    <w:p w14:paraId="59ED9B3A" w14:textId="178F41D6" w:rsidR="006B5367" w:rsidRPr="006B5367" w:rsidRDefault="006B5367" w:rsidP="00F3319B">
      <w:pPr>
        <w:pStyle w:val="Paragraph"/>
        <w:rPr>
          <w:lang w:eastAsia="en-AU"/>
        </w:rPr>
      </w:pPr>
      <w:r w:rsidRPr="006B5367">
        <w:rPr>
          <w:lang w:eastAsia="en-AU"/>
        </w:rPr>
        <w:t>A mixed-methods approach involving a combination of quantitative and qualitative data sources was used to conduct the evaluation.  Information derived from multiple data sources was then triangulated to generate a synthesis of findings.</w:t>
      </w:r>
      <w:r w:rsidR="00F330B6">
        <w:rPr>
          <w:lang w:eastAsia="en-AU"/>
        </w:rPr>
        <w:t xml:space="preserve">  </w:t>
      </w:r>
      <w:r w:rsidR="00F330B6">
        <w:t>A</w:t>
      </w:r>
      <w:r w:rsidR="00F330B6" w:rsidRPr="00D34B29">
        <w:t xml:space="preserve"> brief literature and web scan was </w:t>
      </w:r>
      <w:r w:rsidR="00F330B6">
        <w:t xml:space="preserve">also </w:t>
      </w:r>
      <w:r w:rsidR="00F330B6" w:rsidRPr="00D34B29">
        <w:t xml:space="preserve">undertaken to identify key challenges and considerations relating to </w:t>
      </w:r>
      <w:r w:rsidR="00F330B6">
        <w:t>ICA</w:t>
      </w:r>
      <w:r w:rsidR="00F330B6" w:rsidRPr="00D34B29">
        <w:t xml:space="preserve"> (ICA), as well as the information and support needs of potential and actual ICA clients</w:t>
      </w:r>
      <w:r w:rsidR="00F330B6">
        <w:t xml:space="preserve"> (</w:t>
      </w:r>
      <w:r w:rsidR="00DF6C50" w:rsidRPr="00DF6C50">
        <w:rPr>
          <w:i/>
        </w:rPr>
        <w:fldChar w:fldCharType="begin"/>
      </w:r>
      <w:r w:rsidR="00DF6C50" w:rsidRPr="00DF6C50">
        <w:rPr>
          <w:i/>
        </w:rPr>
        <w:instrText xml:space="preserve"> REF _Ref490131374 \r \h </w:instrText>
      </w:r>
      <w:r w:rsidR="00DF6C50">
        <w:rPr>
          <w:i/>
        </w:rPr>
        <w:instrText xml:space="preserve"> \* MERGEFORMAT </w:instrText>
      </w:r>
      <w:r w:rsidR="00DF6C50" w:rsidRPr="00DF6C50">
        <w:rPr>
          <w:i/>
        </w:rPr>
      </w:r>
      <w:r w:rsidR="00DF6C50" w:rsidRPr="00DF6C50">
        <w:rPr>
          <w:i/>
        </w:rPr>
        <w:fldChar w:fldCharType="separate"/>
      </w:r>
      <w:r w:rsidR="00487073">
        <w:rPr>
          <w:i/>
        </w:rPr>
        <w:t>Appendix A</w:t>
      </w:r>
      <w:r w:rsidR="00DF6C50" w:rsidRPr="00DF6C50">
        <w:rPr>
          <w:i/>
        </w:rPr>
        <w:fldChar w:fldCharType="end"/>
      </w:r>
      <w:r w:rsidR="00F330B6">
        <w:t>)</w:t>
      </w:r>
      <w:r w:rsidR="00F330B6" w:rsidRPr="00D34B29">
        <w:t>.</w:t>
      </w:r>
    </w:p>
    <w:p w14:paraId="0B68E633" w14:textId="6266C07F" w:rsidR="006B5367" w:rsidRDefault="006B5367" w:rsidP="00F3319B">
      <w:pPr>
        <w:pStyle w:val="Paragraph"/>
        <w:rPr>
          <w:lang w:eastAsia="en-AU"/>
        </w:rPr>
      </w:pPr>
      <w:r w:rsidRPr="006B5367">
        <w:rPr>
          <w:lang w:eastAsia="en-AU"/>
        </w:rPr>
        <w:t>Details of data sources, stakeholder recruitment and participation, and data analysis processes are provided in the following sections.</w:t>
      </w:r>
      <w:r w:rsidR="00131239">
        <w:rPr>
          <w:lang w:eastAsia="en-AU"/>
        </w:rPr>
        <w:t xml:space="preserve">  Limitations of the data and evaluability issues related to the evaluation are discussed in </w:t>
      </w:r>
      <w:r w:rsidR="00131239" w:rsidRPr="008D750F">
        <w:rPr>
          <w:i/>
          <w:lang w:eastAsia="en-AU"/>
        </w:rPr>
        <w:t xml:space="preserve">Section </w:t>
      </w:r>
      <w:r w:rsidR="00131239" w:rsidRPr="008D750F">
        <w:rPr>
          <w:i/>
          <w:lang w:eastAsia="en-AU"/>
        </w:rPr>
        <w:fldChar w:fldCharType="begin"/>
      </w:r>
      <w:r w:rsidR="00131239" w:rsidRPr="008D750F">
        <w:rPr>
          <w:i/>
          <w:lang w:eastAsia="en-AU"/>
        </w:rPr>
        <w:instrText xml:space="preserve"> REF _Ref490046742 \r \h </w:instrText>
      </w:r>
      <w:r w:rsidR="008D750F">
        <w:rPr>
          <w:i/>
          <w:lang w:eastAsia="en-AU"/>
        </w:rPr>
        <w:instrText xml:space="preserve"> \* MERGEFORMAT </w:instrText>
      </w:r>
      <w:r w:rsidR="00131239" w:rsidRPr="008D750F">
        <w:rPr>
          <w:i/>
          <w:lang w:eastAsia="en-AU"/>
        </w:rPr>
      </w:r>
      <w:r w:rsidR="00131239" w:rsidRPr="008D750F">
        <w:rPr>
          <w:i/>
          <w:lang w:eastAsia="en-AU"/>
        </w:rPr>
        <w:fldChar w:fldCharType="separate"/>
      </w:r>
      <w:r w:rsidR="00487073">
        <w:rPr>
          <w:i/>
          <w:lang w:eastAsia="en-AU"/>
        </w:rPr>
        <w:t>4.5</w:t>
      </w:r>
      <w:r w:rsidR="00131239" w:rsidRPr="008D750F">
        <w:rPr>
          <w:i/>
          <w:lang w:eastAsia="en-AU"/>
        </w:rPr>
        <w:fldChar w:fldCharType="end"/>
      </w:r>
      <w:r w:rsidR="008D750F">
        <w:rPr>
          <w:i/>
          <w:lang w:eastAsia="en-AU"/>
        </w:rPr>
        <w:t xml:space="preserve">.  </w:t>
      </w:r>
    </w:p>
    <w:p w14:paraId="62B94A24" w14:textId="0B0991CD" w:rsidR="00AF6837" w:rsidRDefault="00AF6837" w:rsidP="00AF6837">
      <w:pPr>
        <w:pStyle w:val="Heading3"/>
      </w:pPr>
      <w:bookmarkStart w:id="57" w:name="_Ref490046821"/>
      <w:r>
        <w:t xml:space="preserve">Caveat regarding </w:t>
      </w:r>
      <w:r w:rsidR="00A57CCD">
        <w:t xml:space="preserve">the </w:t>
      </w:r>
      <w:r>
        <w:t>presentation of findings</w:t>
      </w:r>
      <w:bookmarkEnd w:id="57"/>
    </w:p>
    <w:p w14:paraId="38DC8649" w14:textId="094858CE" w:rsidR="00AF6837" w:rsidRDefault="00AF6837" w:rsidP="00AF6837">
      <w:pPr>
        <w:pStyle w:val="Paragraph"/>
        <w:rPr>
          <w:lang w:eastAsia="en-AU"/>
        </w:rPr>
      </w:pPr>
      <w:r>
        <w:rPr>
          <w:lang w:eastAsia="en-AU"/>
        </w:rPr>
        <w:t>Please note:</w:t>
      </w:r>
    </w:p>
    <w:p w14:paraId="645BAF8B" w14:textId="215F2256" w:rsidR="00BA670B" w:rsidRDefault="00BA670B" w:rsidP="00BA670B">
      <w:pPr>
        <w:pStyle w:val="Bullet1"/>
      </w:pPr>
      <w:r w:rsidRPr="00BA670B">
        <w:t xml:space="preserve">The analysis presented in the following sections relates to the 220 parental respondents who were either considering ICA, had already adopted or had decided not to proceed.  Responses from the five ineligible respondents and the five adult adoptees are excluded from the descriptive statistics </w:t>
      </w:r>
      <w:r w:rsidR="00A57CCD">
        <w:t xml:space="preserve">in </w:t>
      </w:r>
      <w:r w:rsidRPr="00BA670B">
        <w:t xml:space="preserve">this section  </w:t>
      </w:r>
    </w:p>
    <w:p w14:paraId="1EC76F65" w14:textId="7BF6B464" w:rsidR="00AF6837" w:rsidRDefault="00AF6837" w:rsidP="00AF6837">
      <w:pPr>
        <w:pStyle w:val="Bullet1"/>
      </w:pPr>
      <w:r>
        <w:t xml:space="preserve">All respondents did not answer all </w:t>
      </w:r>
      <w:r w:rsidR="00BA670B">
        <w:t xml:space="preserve">survey </w:t>
      </w:r>
      <w:r>
        <w:t>questions</w:t>
      </w:r>
    </w:p>
    <w:p w14:paraId="6409468A" w14:textId="6CE017D9" w:rsidR="00AF6837" w:rsidRDefault="00AF6837" w:rsidP="00AF6837">
      <w:pPr>
        <w:pStyle w:val="Bullet1"/>
      </w:pPr>
      <w:r>
        <w:t>Two denominators are used to present data:</w:t>
      </w:r>
    </w:p>
    <w:p w14:paraId="52E3F599" w14:textId="281DDDC3" w:rsidR="00AF6837" w:rsidRDefault="00A57CCD" w:rsidP="00AF6837">
      <w:pPr>
        <w:pStyle w:val="Bullet2"/>
      </w:pPr>
      <w:r>
        <w:t xml:space="preserve">Denominator 1 represents the </w:t>
      </w:r>
      <w:r w:rsidR="00AF6837">
        <w:t xml:space="preserve">220 </w:t>
      </w:r>
      <w:r>
        <w:t xml:space="preserve">parental respondents.  This </w:t>
      </w:r>
      <w:r w:rsidR="00AF6837">
        <w:t>provide</w:t>
      </w:r>
      <w:r>
        <w:t>s</w:t>
      </w:r>
      <w:r w:rsidR="00AF6837">
        <w:t xml:space="preserve"> consistency across tables, and comparability across sub-groups of the parental respondent population, which was a focus of the evaluation.  This value is generally pr</w:t>
      </w:r>
      <w:r>
        <w:t>esented first in the narrative</w:t>
      </w:r>
    </w:p>
    <w:p w14:paraId="5CE4AB55" w14:textId="0C2AD903" w:rsidR="00AF6837" w:rsidRDefault="00A57CCD" w:rsidP="00AF6837">
      <w:pPr>
        <w:pStyle w:val="Bullet2"/>
      </w:pPr>
      <w:r>
        <w:t xml:space="preserve">Denominator 2 is </w:t>
      </w:r>
      <w:r w:rsidR="00AF6837">
        <w:t>the subset of</w:t>
      </w:r>
      <w:r>
        <w:t xml:space="preserve"> denominator 1 </w:t>
      </w:r>
      <w:r w:rsidR="00AF6837">
        <w:t xml:space="preserve">that responded to </w:t>
      </w:r>
      <w:r>
        <w:t>a</w:t>
      </w:r>
      <w:r w:rsidR="00AF6837">
        <w:t xml:space="preserve"> particular component of the question e.g. the denominator becomes those who used the service, those who answer in the affirmative, etc.</w:t>
      </w:r>
    </w:p>
    <w:p w14:paraId="145DBD59" w14:textId="4D360CC7" w:rsidR="00BA670B" w:rsidRDefault="00BA670B" w:rsidP="008B1AA3">
      <w:pPr>
        <w:pStyle w:val="Bullet2"/>
        <w:numPr>
          <w:ilvl w:val="0"/>
          <w:numId w:val="0"/>
        </w:numPr>
      </w:pPr>
      <w:r>
        <w:t xml:space="preserve">A worked example is provided in </w:t>
      </w:r>
      <w:r w:rsidR="008B1AA3" w:rsidRPr="008B1AA3">
        <w:rPr>
          <w:i/>
        </w:rPr>
        <w:fldChar w:fldCharType="begin"/>
      </w:r>
      <w:r w:rsidR="008B1AA3" w:rsidRPr="008B1AA3">
        <w:rPr>
          <w:i/>
        </w:rPr>
        <w:instrText xml:space="preserve"> REF _Ref490131634 \h </w:instrText>
      </w:r>
      <w:r w:rsidR="008B1AA3">
        <w:rPr>
          <w:i/>
        </w:rPr>
        <w:instrText xml:space="preserve"> \* MERGEFORMAT </w:instrText>
      </w:r>
      <w:r w:rsidR="008B1AA3" w:rsidRPr="008B1AA3">
        <w:rPr>
          <w:i/>
        </w:rPr>
      </w:r>
      <w:r w:rsidR="008B1AA3" w:rsidRPr="008B1AA3">
        <w:rPr>
          <w:i/>
        </w:rPr>
        <w:fldChar w:fldCharType="separate"/>
      </w:r>
      <w:r w:rsidR="00487073" w:rsidRPr="00487073">
        <w:rPr>
          <w:i/>
        </w:rPr>
        <w:t xml:space="preserve">Figure </w:t>
      </w:r>
      <w:r w:rsidR="00487073" w:rsidRPr="00487073">
        <w:rPr>
          <w:i/>
          <w:noProof/>
        </w:rPr>
        <w:t>4</w:t>
      </w:r>
      <w:r w:rsidR="00487073" w:rsidRPr="00487073">
        <w:rPr>
          <w:i/>
          <w:noProof/>
        </w:rPr>
        <w:noBreakHyphen/>
        <w:t>1</w:t>
      </w:r>
      <w:r w:rsidR="008B1AA3" w:rsidRPr="008B1AA3">
        <w:rPr>
          <w:i/>
        </w:rPr>
        <w:fldChar w:fldCharType="end"/>
      </w:r>
      <w:r w:rsidR="008B1AA3">
        <w:rPr>
          <w:i/>
        </w:rPr>
        <w:t xml:space="preserve"> </w:t>
      </w:r>
      <w:r w:rsidR="008B1AA3" w:rsidRPr="008B1AA3">
        <w:t>below</w:t>
      </w:r>
      <w:r w:rsidR="008B1AA3">
        <w:t>.</w:t>
      </w:r>
    </w:p>
    <w:p w14:paraId="48D51F6E" w14:textId="028E1897" w:rsidR="008B1AA3" w:rsidRDefault="008B1AA3" w:rsidP="008B1AA3">
      <w:pPr>
        <w:pStyle w:val="Caption"/>
      </w:pPr>
      <w:bookmarkStart w:id="58" w:name="_Ref490131634"/>
      <w:bookmarkStart w:id="59" w:name="_Toc490481676"/>
      <w:r>
        <w:lastRenderedPageBreak/>
        <w:t xml:space="preserve">Figure </w:t>
      </w:r>
      <w:r>
        <w:fldChar w:fldCharType="begin"/>
      </w:r>
      <w:r>
        <w:instrText xml:space="preserve"> STYLEREF 1 \s </w:instrText>
      </w:r>
      <w:r>
        <w:fldChar w:fldCharType="separate"/>
      </w:r>
      <w:r w:rsidR="00487073">
        <w:rPr>
          <w:noProof/>
        </w:rPr>
        <w:t>4</w:t>
      </w:r>
      <w:r>
        <w:fldChar w:fldCharType="end"/>
      </w:r>
      <w:r>
        <w:noBreakHyphen/>
      </w:r>
      <w:r>
        <w:fldChar w:fldCharType="begin"/>
      </w:r>
      <w:r>
        <w:instrText xml:space="preserve"> SEQ Figure \* ARABIC \s 1 </w:instrText>
      </w:r>
      <w:r>
        <w:fldChar w:fldCharType="separate"/>
      </w:r>
      <w:r w:rsidR="00487073">
        <w:rPr>
          <w:noProof/>
        </w:rPr>
        <w:t>1</w:t>
      </w:r>
      <w:r>
        <w:fldChar w:fldCharType="end"/>
      </w:r>
      <w:bookmarkEnd w:id="58"/>
      <w:r>
        <w:t>:  Relationship between denominators used in analysis</w:t>
      </w:r>
      <w:bookmarkEnd w:id="59"/>
    </w:p>
    <w:p w14:paraId="2A16EB2B" w14:textId="6CB24DF4" w:rsidR="00A57CCD" w:rsidRDefault="00DF6C50" w:rsidP="00DF6C50">
      <w:pPr>
        <w:pStyle w:val="Bullet2"/>
        <w:numPr>
          <w:ilvl w:val="0"/>
          <w:numId w:val="0"/>
        </w:numPr>
      </w:pPr>
      <w:r>
        <w:rPr>
          <w:noProof/>
          <w:lang w:val="en-AU"/>
        </w:rPr>
        <w:drawing>
          <wp:inline distT="0" distB="0" distL="0" distR="0" wp14:anchorId="0F6576AA" wp14:editId="012C80AF">
            <wp:extent cx="3721211" cy="4748409"/>
            <wp:effectExtent l="0" t="0" r="0" b="0"/>
            <wp:docPr id="14" name="Picture 14" descr="Figure 4 1:  Relationship between denominators used in analysis&#10;&#10;230 total survey respondents. Denominator 1 is the 220 parental respondents. Example, parental respondents usage of IAA information line is 42 of 220 parental respondents. &#10;&#10;42 is denominator 2. Example, for perception of usefulness of information provided being useful or not useful is 21 of 42 us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llustration of denominators IA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57774" cy="4795065"/>
                    </a:xfrm>
                    <a:prstGeom prst="rect">
                      <a:avLst/>
                    </a:prstGeom>
                  </pic:spPr>
                </pic:pic>
              </a:graphicData>
            </a:graphic>
          </wp:inline>
        </w:drawing>
      </w:r>
    </w:p>
    <w:p w14:paraId="5253FC1B" w14:textId="12A30CFB" w:rsidR="006B5367" w:rsidRPr="006B5367" w:rsidRDefault="006B5367" w:rsidP="00F3319B">
      <w:pPr>
        <w:pStyle w:val="Heading2"/>
      </w:pPr>
      <w:bookmarkStart w:id="60" w:name="_Toc458087631"/>
      <w:bookmarkStart w:id="61" w:name="_Toc490481619"/>
      <w:r w:rsidRPr="006B5367">
        <w:t>Data sources</w:t>
      </w:r>
      <w:bookmarkEnd w:id="60"/>
      <w:bookmarkEnd w:id="61"/>
    </w:p>
    <w:p w14:paraId="7AFB7FE1" w14:textId="4A2F08F8" w:rsidR="006B5367" w:rsidRPr="006B5367" w:rsidRDefault="006B5367" w:rsidP="00F3319B">
      <w:pPr>
        <w:pStyle w:val="ParagraphKeep"/>
        <w:rPr>
          <w:lang w:eastAsia="en-AU"/>
        </w:rPr>
      </w:pPr>
      <w:r w:rsidRPr="006B5367">
        <w:rPr>
          <w:lang w:eastAsia="en-AU"/>
        </w:rPr>
        <w:t>Multiple data sources were used to address the key evaluation questions</w:t>
      </w:r>
      <w:r w:rsidR="00BC5D6C">
        <w:rPr>
          <w:lang w:eastAsia="en-AU"/>
        </w:rPr>
        <w:t xml:space="preserve"> (</w:t>
      </w:r>
      <w:r w:rsidR="00BC5D6C" w:rsidRPr="00BC5D6C">
        <w:rPr>
          <w:rStyle w:val="Emphasis"/>
        </w:rPr>
        <w:t xml:space="preserve">Section </w:t>
      </w:r>
      <w:r w:rsidR="00BC5D6C" w:rsidRPr="00BC5D6C">
        <w:rPr>
          <w:rStyle w:val="Emphasis"/>
        </w:rPr>
        <w:fldChar w:fldCharType="begin"/>
      </w:r>
      <w:r w:rsidR="00BC5D6C" w:rsidRPr="00BC5D6C">
        <w:rPr>
          <w:rStyle w:val="Emphasis"/>
        </w:rPr>
        <w:instrText xml:space="preserve"> REF _Ref464830064 \r \h </w:instrText>
      </w:r>
      <w:r w:rsidR="00BC5D6C">
        <w:rPr>
          <w:rStyle w:val="Emphasis"/>
        </w:rPr>
        <w:instrText xml:space="preserve"> \* MERGEFORMAT </w:instrText>
      </w:r>
      <w:r w:rsidR="00BC5D6C" w:rsidRPr="00BC5D6C">
        <w:rPr>
          <w:rStyle w:val="Emphasis"/>
        </w:rPr>
      </w:r>
      <w:r w:rsidR="00BC5D6C" w:rsidRPr="00BC5D6C">
        <w:rPr>
          <w:rStyle w:val="Emphasis"/>
        </w:rPr>
        <w:fldChar w:fldCharType="separate"/>
      </w:r>
      <w:r w:rsidR="00487073">
        <w:rPr>
          <w:rStyle w:val="Emphasis"/>
        </w:rPr>
        <w:t>1.2</w:t>
      </w:r>
      <w:r w:rsidR="00BC5D6C" w:rsidRPr="00BC5D6C">
        <w:rPr>
          <w:rStyle w:val="Emphasis"/>
        </w:rPr>
        <w:fldChar w:fldCharType="end"/>
      </w:r>
      <w:r w:rsidR="00BC5D6C">
        <w:rPr>
          <w:lang w:eastAsia="en-AU"/>
        </w:rPr>
        <w:t>)</w:t>
      </w:r>
      <w:r w:rsidRPr="006B5367">
        <w:rPr>
          <w:lang w:eastAsia="en-AU"/>
        </w:rPr>
        <w:t>:</w:t>
      </w:r>
    </w:p>
    <w:p w14:paraId="1FB9E9CC" w14:textId="6298685E" w:rsidR="006B5367" w:rsidRPr="006B5367" w:rsidRDefault="006B5367" w:rsidP="00436E11">
      <w:pPr>
        <w:pStyle w:val="ParagraphKeep"/>
      </w:pPr>
      <w:r w:rsidRPr="006B5367">
        <w:rPr>
          <w:lang w:eastAsia="en-AU"/>
        </w:rPr>
        <w:t>These data sources included consultations</w:t>
      </w:r>
      <w:r w:rsidRPr="006B5367">
        <w:t xml:space="preserve"> with the following key stakeholders involved in the ICA process:</w:t>
      </w:r>
    </w:p>
    <w:p w14:paraId="3A4B0C3B" w14:textId="2AFD6294" w:rsidR="006B5367" w:rsidRPr="006B5367" w:rsidRDefault="006B5367" w:rsidP="00436E11">
      <w:pPr>
        <w:pStyle w:val="Bullet1"/>
      </w:pPr>
      <w:r w:rsidRPr="006B5367">
        <w:t>Targeted service users via:</w:t>
      </w:r>
    </w:p>
    <w:p w14:paraId="6C20F418" w14:textId="77777777" w:rsidR="006B5367" w:rsidRPr="006B5367" w:rsidRDefault="006B5367" w:rsidP="00436E11">
      <w:pPr>
        <w:pStyle w:val="Bullet2"/>
      </w:pPr>
      <w:r w:rsidRPr="006B5367">
        <w:t xml:space="preserve">A national survey </w:t>
      </w:r>
    </w:p>
    <w:p w14:paraId="4741338E" w14:textId="77777777" w:rsidR="006B5367" w:rsidRPr="006B5367" w:rsidRDefault="006B5367" w:rsidP="00436E11">
      <w:pPr>
        <w:pStyle w:val="Bullet2"/>
      </w:pPr>
      <w:r w:rsidRPr="006B5367">
        <w:t>Follow-up interviews with a subset of survey respondents who had used the IAA service and those who had not</w:t>
      </w:r>
    </w:p>
    <w:p w14:paraId="2B63ABB9" w14:textId="77777777" w:rsidR="006B5367" w:rsidRPr="006B5367" w:rsidRDefault="006B5367" w:rsidP="00436E11">
      <w:pPr>
        <w:pStyle w:val="Bullet1"/>
      </w:pPr>
      <w:r w:rsidRPr="006B5367">
        <w:t>Telephone consultations with:</w:t>
      </w:r>
    </w:p>
    <w:p w14:paraId="29BFA995" w14:textId="77777777" w:rsidR="006B5367" w:rsidRPr="006B5367" w:rsidRDefault="006B5367" w:rsidP="00436E11">
      <w:pPr>
        <w:pStyle w:val="Bullet2"/>
      </w:pPr>
      <w:r w:rsidRPr="006B5367">
        <w:t xml:space="preserve">Commonwealth departments </w:t>
      </w:r>
    </w:p>
    <w:p w14:paraId="38D976A5" w14:textId="77777777" w:rsidR="006B5367" w:rsidRPr="006B5367" w:rsidRDefault="006B5367" w:rsidP="00436E11">
      <w:pPr>
        <w:pStyle w:val="Bullet2"/>
      </w:pPr>
      <w:r w:rsidRPr="006B5367">
        <w:t>STCAs</w:t>
      </w:r>
    </w:p>
    <w:p w14:paraId="09A976A8" w14:textId="77777777" w:rsidR="006B5367" w:rsidRPr="006B5367" w:rsidRDefault="006B5367" w:rsidP="00436E11">
      <w:pPr>
        <w:pStyle w:val="Bullet2"/>
      </w:pPr>
      <w:r w:rsidRPr="006B5367">
        <w:t xml:space="preserve">DSS Policy and Implementation teams </w:t>
      </w:r>
    </w:p>
    <w:p w14:paraId="4539AEEC" w14:textId="77777777" w:rsidR="006B5367" w:rsidRPr="006B5367" w:rsidRDefault="006B5367" w:rsidP="00436E11">
      <w:pPr>
        <w:pStyle w:val="Bullet2"/>
      </w:pPr>
      <w:r w:rsidRPr="006B5367">
        <w:t>IAA staff</w:t>
      </w:r>
    </w:p>
    <w:p w14:paraId="50F86DCC" w14:textId="77777777" w:rsidR="006B5367" w:rsidRPr="006B5367" w:rsidRDefault="006B5367" w:rsidP="00436E11">
      <w:pPr>
        <w:pStyle w:val="Bullet2"/>
      </w:pPr>
      <w:r w:rsidRPr="006B5367">
        <w:t>Academics</w:t>
      </w:r>
    </w:p>
    <w:p w14:paraId="659911AF" w14:textId="77777777" w:rsidR="006B5367" w:rsidRPr="006B5367" w:rsidRDefault="006B5367" w:rsidP="00436E11">
      <w:pPr>
        <w:pStyle w:val="Bullet2"/>
      </w:pPr>
      <w:r w:rsidRPr="006B5367">
        <w:t>Parent support and advocacy groups.</w:t>
      </w:r>
    </w:p>
    <w:p w14:paraId="3C4859F7" w14:textId="77777777" w:rsidR="006B5367" w:rsidRPr="006B5367" w:rsidRDefault="006B5367" w:rsidP="00436E11">
      <w:pPr>
        <w:pStyle w:val="ParagraphKeep"/>
        <w:rPr>
          <w:lang w:eastAsia="en-AU"/>
        </w:rPr>
      </w:pPr>
      <w:r w:rsidRPr="006B5367">
        <w:rPr>
          <w:lang w:eastAsia="en-AU"/>
        </w:rPr>
        <w:lastRenderedPageBreak/>
        <w:t>Additionally, a review of data provided by DSS was also undertaken.  This included:</w:t>
      </w:r>
    </w:p>
    <w:p w14:paraId="3EB02814" w14:textId="77777777" w:rsidR="006B5367" w:rsidRPr="006B5367" w:rsidRDefault="006B5367" w:rsidP="00436E11">
      <w:pPr>
        <w:pStyle w:val="Bullet1"/>
      </w:pPr>
      <w:r w:rsidRPr="006B5367">
        <w:t>IAA client data for the period May 2015 – May 2016</w:t>
      </w:r>
    </w:p>
    <w:p w14:paraId="06FE6ED2" w14:textId="77777777" w:rsidR="006B5367" w:rsidRPr="006B5367" w:rsidRDefault="006B5367" w:rsidP="00436E11">
      <w:pPr>
        <w:pStyle w:val="Bullet1"/>
      </w:pPr>
      <w:r w:rsidRPr="006B5367">
        <w:t>IAA web analytics data for the period 17 May 2015 – 30 June 2016.</w:t>
      </w:r>
    </w:p>
    <w:p w14:paraId="69EE22D0" w14:textId="77777777" w:rsidR="006B5367" w:rsidRPr="006B5367" w:rsidRDefault="006B5367" w:rsidP="00436E11">
      <w:pPr>
        <w:pStyle w:val="Heading2"/>
      </w:pPr>
      <w:bookmarkStart w:id="62" w:name="_Toc490481620"/>
      <w:bookmarkStart w:id="63" w:name="_Toc458087633"/>
      <w:r w:rsidRPr="006B5367">
        <w:t>Stakeholder recruitment and participation</w:t>
      </w:r>
      <w:bookmarkEnd w:id="62"/>
      <w:r w:rsidRPr="006B5367">
        <w:t xml:space="preserve"> </w:t>
      </w:r>
      <w:bookmarkEnd w:id="63"/>
    </w:p>
    <w:p w14:paraId="6FBA6C10" w14:textId="77777777" w:rsidR="006B5367" w:rsidRPr="006B5367" w:rsidRDefault="006B5367" w:rsidP="005A471B">
      <w:pPr>
        <w:pStyle w:val="Heading3"/>
      </w:pPr>
      <w:r w:rsidRPr="006B5367">
        <w:t>Consultation process</w:t>
      </w:r>
    </w:p>
    <w:p w14:paraId="5DD08E3B" w14:textId="77777777" w:rsidR="006B5367" w:rsidRPr="006B5367" w:rsidRDefault="006B5367" w:rsidP="005A471B">
      <w:pPr>
        <w:pStyle w:val="Paragraph"/>
        <w:rPr>
          <w:lang w:eastAsia="en-AU"/>
        </w:rPr>
      </w:pPr>
      <w:r w:rsidRPr="006B5367">
        <w:rPr>
          <w:lang w:eastAsia="en-AU"/>
        </w:rPr>
        <w:t>An initial contact list was provided by DSS for many of the key stakeholder groups.  This list was further expanded in terms of possible parent support and advocacy groups to be considered during our preliminary contact with STCAs.</w:t>
      </w:r>
    </w:p>
    <w:p w14:paraId="24ED6758" w14:textId="77777777" w:rsidR="006B5367" w:rsidRPr="006B5367" w:rsidRDefault="006B5367" w:rsidP="005A471B">
      <w:pPr>
        <w:pStyle w:val="Paragraph"/>
        <w:rPr>
          <w:lang w:eastAsia="en-AU"/>
        </w:rPr>
      </w:pPr>
      <w:r w:rsidRPr="006B5367">
        <w:rPr>
          <w:lang w:eastAsia="en-AU"/>
        </w:rPr>
        <w:t>Non-service users such as Commonwealth and STCA representatives, parent support and advocacy groups, and academics were first contacted by telephone to invite their participation in the evaluation.  This was followed up by an email in cases where attempts to contact stakeholders by telephone had been unsuccessful.</w:t>
      </w:r>
    </w:p>
    <w:p w14:paraId="42A262C0" w14:textId="77777777" w:rsidR="006B5367" w:rsidRPr="006B5367" w:rsidRDefault="006B5367" w:rsidP="005A471B">
      <w:pPr>
        <w:pStyle w:val="Paragraph"/>
        <w:rPr>
          <w:lang w:eastAsia="en-AU"/>
        </w:rPr>
      </w:pPr>
      <w:r w:rsidRPr="006B5367">
        <w:rPr>
          <w:lang w:eastAsia="en-AU"/>
        </w:rPr>
        <w:t>IAA client records provided the primary source of contact for those who had used the IAA service and who had given prior consent to be contacted for research purposes.  The majority of contact with this group was by email as this was the most common preferred mode of contact indicated.  A small number of telephone contacts were made.</w:t>
      </w:r>
    </w:p>
    <w:p w14:paraId="6AB33A09" w14:textId="5B54E275" w:rsidR="006B5367" w:rsidRPr="006B5367" w:rsidRDefault="006B5367" w:rsidP="005A471B">
      <w:pPr>
        <w:pStyle w:val="Paragraph"/>
        <w:rPr>
          <w:lang w:eastAsia="en-AU"/>
        </w:rPr>
      </w:pPr>
      <w:r w:rsidRPr="006B5367">
        <w:rPr>
          <w:lang w:eastAsia="en-AU"/>
        </w:rPr>
        <w:t>STCAs and parent support and advocacy groups were approached to assist in the promotion and circulation of details of the online survey (</w:t>
      </w:r>
      <w:r w:rsidRPr="006B5367">
        <w:rPr>
          <w:i/>
          <w:iCs/>
        </w:rPr>
        <w:t xml:space="preserve">Section </w:t>
      </w:r>
      <w:r w:rsidRPr="006B5367">
        <w:fldChar w:fldCharType="begin"/>
      </w:r>
      <w:r w:rsidRPr="006B5367">
        <w:instrText xml:space="preserve"> REF _Ref458162823 \r \h  \* MERGEFORMAT </w:instrText>
      </w:r>
      <w:r w:rsidRPr="006B5367">
        <w:fldChar w:fldCharType="separate"/>
      </w:r>
      <w:r w:rsidR="00487073" w:rsidRPr="00487073">
        <w:rPr>
          <w:i/>
          <w:iCs/>
        </w:rPr>
        <w:t>4.3.2</w:t>
      </w:r>
      <w:r w:rsidRPr="006B5367">
        <w:fldChar w:fldCharType="end"/>
      </w:r>
      <w:r w:rsidRPr="006B5367">
        <w:rPr>
          <w:lang w:eastAsia="en-AU"/>
        </w:rPr>
        <w:t xml:space="preserve">). </w:t>
      </w:r>
    </w:p>
    <w:p w14:paraId="78C666C0" w14:textId="77777777" w:rsidR="006B5367" w:rsidRPr="006B5367" w:rsidRDefault="006B5367" w:rsidP="005A471B">
      <w:pPr>
        <w:pStyle w:val="Heading3"/>
      </w:pPr>
      <w:bookmarkStart w:id="64" w:name="_Ref458162823"/>
      <w:r w:rsidRPr="006B5367">
        <w:t>Online survey</w:t>
      </w:r>
      <w:bookmarkEnd w:id="64"/>
    </w:p>
    <w:p w14:paraId="6E60BAC6" w14:textId="77777777" w:rsidR="006B5367" w:rsidRPr="006B5367" w:rsidRDefault="006B5367" w:rsidP="005A471B">
      <w:pPr>
        <w:pStyle w:val="Paragraph"/>
        <w:rPr>
          <w:lang w:eastAsia="en-AU"/>
        </w:rPr>
      </w:pPr>
      <w:r w:rsidRPr="006B5367">
        <w:rPr>
          <w:lang w:eastAsia="en-AU"/>
        </w:rPr>
        <w:t xml:space="preserve">An online survey, developed by AHA and pilot tested by a small number of IAA clients, was approved by the Department prior to circulation.  This survey targeted people at all stages in the ICA process (including adult adoptees) irrespective of whether they have used IAA or not.  </w:t>
      </w:r>
      <w:r w:rsidRPr="006B5367">
        <w:t xml:space="preserve">Ethical clearance from a Human Research Ethics Committee was not required for this project.  </w:t>
      </w:r>
    </w:p>
    <w:p w14:paraId="0FEA34D8" w14:textId="559B60B5" w:rsidR="006B5367" w:rsidRPr="006B5367" w:rsidRDefault="006B5367" w:rsidP="005A471B">
      <w:pPr>
        <w:pStyle w:val="Paragraph"/>
        <w:rPr>
          <w:lang w:eastAsia="en-AU"/>
        </w:rPr>
      </w:pPr>
      <w:r w:rsidRPr="006B5367">
        <w:rPr>
          <w:lang w:eastAsia="en-AU"/>
        </w:rPr>
        <w:t xml:space="preserve">The survey was distributed to 324 IAA clients who had provided consent to be contacted.  The survey was circulated </w:t>
      </w:r>
      <w:r w:rsidR="00A87971">
        <w:rPr>
          <w:lang w:eastAsia="en-AU"/>
        </w:rPr>
        <w:t xml:space="preserve">in </w:t>
      </w:r>
      <w:r w:rsidR="00A87971" w:rsidRPr="00513294">
        <w:rPr>
          <w:lang w:eastAsia="en-AU"/>
        </w:rPr>
        <w:t xml:space="preserve">May 2016 </w:t>
      </w:r>
      <w:r w:rsidRPr="00513294">
        <w:rPr>
          <w:lang w:eastAsia="en-AU"/>
        </w:rPr>
        <w:t>a</w:t>
      </w:r>
      <w:r w:rsidRPr="006B5367">
        <w:rPr>
          <w:lang w:eastAsia="en-AU"/>
        </w:rPr>
        <w:t xml:space="preserve">nd closed on 30 June 2016.  </w:t>
      </w:r>
    </w:p>
    <w:p w14:paraId="26FA0023" w14:textId="77777777" w:rsidR="006B5367" w:rsidRPr="006B5367" w:rsidRDefault="006B5367" w:rsidP="005A471B">
      <w:pPr>
        <w:pStyle w:val="Heading3"/>
      </w:pPr>
      <w:r w:rsidRPr="006B5367">
        <w:t>Participation summary</w:t>
      </w:r>
    </w:p>
    <w:p w14:paraId="5FE404FF" w14:textId="74B55FFB" w:rsidR="006B5367" w:rsidRPr="006B5367" w:rsidRDefault="006B5367" w:rsidP="005A471B">
      <w:pPr>
        <w:pStyle w:val="Paragraph"/>
        <w:rPr>
          <w:lang w:eastAsia="en-AU"/>
        </w:rPr>
      </w:pPr>
      <w:r w:rsidRPr="006B5367">
        <w:rPr>
          <w:lang w:eastAsia="en-AU"/>
        </w:rPr>
        <w:t xml:space="preserve">A breakdown of participant numbers by stakeholder group is provided in </w:t>
      </w:r>
      <w:r w:rsidRPr="006B5367">
        <w:fldChar w:fldCharType="begin"/>
      </w:r>
      <w:r w:rsidRPr="006B5367">
        <w:instrText xml:space="preserve"> REF _Ref458159485 \h  \* MERGEFORMAT </w:instrText>
      </w:r>
      <w:r w:rsidRPr="006B5367">
        <w:fldChar w:fldCharType="separate"/>
      </w:r>
      <w:r w:rsidR="00487073" w:rsidRPr="00487073">
        <w:rPr>
          <w:i/>
          <w:iCs/>
        </w:rPr>
        <w:t>Table 4</w:t>
      </w:r>
      <w:r w:rsidR="00487073" w:rsidRPr="00487073">
        <w:rPr>
          <w:i/>
          <w:iCs/>
        </w:rPr>
        <w:noBreakHyphen/>
        <w:t>1</w:t>
      </w:r>
      <w:r w:rsidRPr="006B5367">
        <w:fldChar w:fldCharType="end"/>
      </w:r>
      <w:r w:rsidRPr="006B5367">
        <w:rPr>
          <w:lang w:eastAsia="en-AU"/>
        </w:rPr>
        <w:t>.  A total of 275 people h</w:t>
      </w:r>
      <w:r w:rsidR="008B1AA3">
        <w:rPr>
          <w:lang w:eastAsia="en-AU"/>
        </w:rPr>
        <w:t xml:space="preserve">ad input into the evaluation.  </w:t>
      </w:r>
      <w:r w:rsidRPr="006B5367">
        <w:rPr>
          <w:lang w:eastAsia="en-AU"/>
        </w:rPr>
        <w:t>Further participant details are provided in</w:t>
      </w:r>
      <w:r w:rsidR="008B1AA3">
        <w:rPr>
          <w:lang w:eastAsia="en-AU"/>
        </w:rPr>
        <w:t xml:space="preserve"> </w:t>
      </w:r>
      <w:r w:rsidR="008B1AA3" w:rsidRPr="008B1AA3">
        <w:rPr>
          <w:i/>
          <w:lang w:eastAsia="en-AU"/>
        </w:rPr>
        <w:fldChar w:fldCharType="begin"/>
      </w:r>
      <w:r w:rsidR="008B1AA3" w:rsidRPr="008B1AA3">
        <w:rPr>
          <w:i/>
          <w:lang w:eastAsia="en-AU"/>
        </w:rPr>
        <w:instrText xml:space="preserve"> REF _Ref490132151 \r \h </w:instrText>
      </w:r>
      <w:r w:rsidR="008B1AA3">
        <w:rPr>
          <w:i/>
          <w:lang w:eastAsia="en-AU"/>
        </w:rPr>
        <w:instrText xml:space="preserve"> \* MERGEFORMAT </w:instrText>
      </w:r>
      <w:r w:rsidR="008B1AA3" w:rsidRPr="008B1AA3">
        <w:rPr>
          <w:i/>
          <w:lang w:eastAsia="en-AU"/>
        </w:rPr>
      </w:r>
      <w:r w:rsidR="008B1AA3" w:rsidRPr="008B1AA3">
        <w:rPr>
          <w:i/>
          <w:lang w:eastAsia="en-AU"/>
        </w:rPr>
        <w:fldChar w:fldCharType="separate"/>
      </w:r>
      <w:r w:rsidR="00487073">
        <w:rPr>
          <w:i/>
          <w:lang w:eastAsia="en-AU"/>
        </w:rPr>
        <w:t>Appendix B</w:t>
      </w:r>
      <w:r w:rsidR="008B1AA3" w:rsidRPr="008B1AA3">
        <w:rPr>
          <w:i/>
          <w:lang w:eastAsia="en-AU"/>
        </w:rPr>
        <w:fldChar w:fldCharType="end"/>
      </w:r>
      <w:r w:rsidRPr="00555633">
        <w:rPr>
          <w:i/>
          <w:lang w:eastAsia="en-AU"/>
        </w:rPr>
        <w:t>.</w:t>
      </w:r>
    </w:p>
    <w:p w14:paraId="49A09303" w14:textId="2E0DD073" w:rsidR="006B5367" w:rsidRPr="006B5367" w:rsidRDefault="006B5367" w:rsidP="005A471B">
      <w:pPr>
        <w:pStyle w:val="Caption"/>
      </w:pPr>
      <w:bookmarkStart w:id="65" w:name="_Ref458159485"/>
      <w:bookmarkStart w:id="66" w:name="_Toc490481650"/>
      <w:r w:rsidRPr="006B5367">
        <w:lastRenderedPageBreak/>
        <w:t xml:space="preserve">Table </w:t>
      </w:r>
      <w:r w:rsidR="00644B63">
        <w:fldChar w:fldCharType="begin"/>
      </w:r>
      <w:r w:rsidR="00644B63">
        <w:instrText xml:space="preserve"> STYLEREF 1 \s </w:instrText>
      </w:r>
      <w:r w:rsidR="00644B63">
        <w:fldChar w:fldCharType="separate"/>
      </w:r>
      <w:r w:rsidR="00487073">
        <w:rPr>
          <w:noProof/>
        </w:rPr>
        <w:t>4</w:t>
      </w:r>
      <w:r w:rsidR="00644B63">
        <w:fldChar w:fldCharType="end"/>
      </w:r>
      <w:r w:rsidR="00644B63">
        <w:noBreakHyphen/>
      </w:r>
      <w:r w:rsidR="00644B63">
        <w:fldChar w:fldCharType="begin"/>
      </w:r>
      <w:r w:rsidR="00644B63">
        <w:instrText xml:space="preserve"> SEQ Table \* ARABIC \s 1 </w:instrText>
      </w:r>
      <w:r w:rsidR="00644B63">
        <w:fldChar w:fldCharType="separate"/>
      </w:r>
      <w:r w:rsidR="00487073">
        <w:rPr>
          <w:noProof/>
        </w:rPr>
        <w:t>1</w:t>
      </w:r>
      <w:r w:rsidR="00644B63">
        <w:fldChar w:fldCharType="end"/>
      </w:r>
      <w:bookmarkEnd w:id="65"/>
      <w:r w:rsidR="00E07D8E">
        <w:t>:</w:t>
      </w:r>
      <w:r w:rsidR="00E07D8E">
        <w:tab/>
      </w:r>
      <w:r w:rsidRPr="006B5367">
        <w:t>Stakeholder participation</w:t>
      </w:r>
      <w:bookmarkEnd w:id="66"/>
    </w:p>
    <w:tbl>
      <w:tblPr>
        <w:tblStyle w:val="TableGrid"/>
        <w:tblW w:w="0" w:type="auto"/>
        <w:tblInd w:w="106"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Description w:val="Table 4 1: Stakeholder participation"/>
      </w:tblPr>
      <w:tblGrid>
        <w:gridCol w:w="6000"/>
        <w:gridCol w:w="1371"/>
      </w:tblGrid>
      <w:tr w:rsidR="00396654" w:rsidRPr="006B5367" w14:paraId="1631E953" w14:textId="77777777" w:rsidTr="00396654">
        <w:trPr>
          <w:cantSplit/>
          <w:tblHeader/>
        </w:trPr>
        <w:tc>
          <w:tcPr>
            <w:tcW w:w="6000" w:type="dxa"/>
            <w:shd w:val="clear" w:color="auto" w:fill="0079C1" w:themeFill="text2"/>
            <w:vAlign w:val="center"/>
          </w:tcPr>
          <w:p w14:paraId="3034B4E7" w14:textId="77777777" w:rsidR="006B5367" w:rsidRPr="006B5367" w:rsidRDefault="006B5367" w:rsidP="00A91397">
            <w:pPr>
              <w:pStyle w:val="TableHeading1"/>
            </w:pPr>
            <w:r w:rsidRPr="006B5367">
              <w:t>Stakeholder</w:t>
            </w:r>
          </w:p>
        </w:tc>
        <w:tc>
          <w:tcPr>
            <w:tcW w:w="1371" w:type="dxa"/>
            <w:shd w:val="clear" w:color="auto" w:fill="0079C1" w:themeFill="text2"/>
          </w:tcPr>
          <w:p w14:paraId="710CE173" w14:textId="014ED885" w:rsidR="006B5367" w:rsidRPr="006B5367" w:rsidRDefault="005A471B" w:rsidP="005A471B">
            <w:pPr>
              <w:pStyle w:val="TableHeading1Centred"/>
            </w:pPr>
            <w:r>
              <w:t xml:space="preserve">No. of </w:t>
            </w:r>
            <w:r w:rsidR="006B5367" w:rsidRPr="006B5367">
              <w:t>Participants</w:t>
            </w:r>
          </w:p>
        </w:tc>
      </w:tr>
      <w:tr w:rsidR="00396654" w:rsidRPr="006B5367" w14:paraId="76BC625F" w14:textId="77777777" w:rsidTr="00396654">
        <w:trPr>
          <w:cantSplit/>
        </w:trPr>
        <w:tc>
          <w:tcPr>
            <w:tcW w:w="6000" w:type="dxa"/>
            <w:shd w:val="clear" w:color="auto" w:fill="auto"/>
          </w:tcPr>
          <w:p w14:paraId="13D0C20A" w14:textId="48C2804E" w:rsidR="006B5367" w:rsidRPr="006B5367" w:rsidRDefault="006B5367" w:rsidP="00A91397">
            <w:pPr>
              <w:pStyle w:val="TableTextKeep"/>
            </w:pPr>
            <w:r w:rsidRPr="006B5367">
              <w:t>Commonwealth departments</w:t>
            </w:r>
            <w:r w:rsidR="00A91397">
              <w:t>:</w:t>
            </w:r>
          </w:p>
          <w:p w14:paraId="4AB0A58A" w14:textId="77777777" w:rsidR="006B5367" w:rsidRPr="006B5367" w:rsidRDefault="006B5367" w:rsidP="00A91397">
            <w:pPr>
              <w:pStyle w:val="TableBullet1"/>
            </w:pPr>
            <w:r w:rsidRPr="006B5367">
              <w:t>Department of Foreign Affairs and Trade</w:t>
            </w:r>
          </w:p>
          <w:p w14:paraId="75CB89E7" w14:textId="77777777" w:rsidR="006B5367" w:rsidRPr="006B5367" w:rsidRDefault="006B5367" w:rsidP="00A91397">
            <w:pPr>
              <w:pStyle w:val="TableBullet1"/>
            </w:pPr>
            <w:r w:rsidRPr="006B5367">
              <w:t>Department of Prime Minister and Cabinet</w:t>
            </w:r>
          </w:p>
          <w:p w14:paraId="1C765CE7" w14:textId="77777777" w:rsidR="006B5367" w:rsidRPr="006B5367" w:rsidRDefault="006B5367" w:rsidP="00A91397">
            <w:pPr>
              <w:pStyle w:val="TableBullet1"/>
            </w:pPr>
            <w:r w:rsidRPr="006B5367">
              <w:t>Attorney General’s Department</w:t>
            </w:r>
          </w:p>
          <w:p w14:paraId="03D6D8AC" w14:textId="77777777" w:rsidR="006B5367" w:rsidRPr="006B5367" w:rsidRDefault="006B5367" w:rsidP="00A91397">
            <w:pPr>
              <w:pStyle w:val="TableBullet1"/>
              <w:rPr>
                <w:bCs/>
              </w:rPr>
            </w:pPr>
            <w:r w:rsidRPr="006B5367">
              <w:t>Department of Immigration and Border Protection</w:t>
            </w:r>
          </w:p>
        </w:tc>
        <w:tc>
          <w:tcPr>
            <w:tcW w:w="1371" w:type="dxa"/>
            <w:shd w:val="clear" w:color="auto" w:fill="auto"/>
          </w:tcPr>
          <w:p w14:paraId="6442EE49" w14:textId="77777777" w:rsidR="006B5367" w:rsidRPr="006B5367" w:rsidRDefault="006B5367" w:rsidP="005A471B">
            <w:pPr>
              <w:pStyle w:val="TableTextCentred"/>
            </w:pPr>
            <w:r w:rsidRPr="006B5367">
              <w:t>9</w:t>
            </w:r>
          </w:p>
        </w:tc>
      </w:tr>
      <w:tr w:rsidR="00396654" w:rsidRPr="006B5367" w14:paraId="08CF8185" w14:textId="77777777" w:rsidTr="00396654">
        <w:trPr>
          <w:cantSplit/>
        </w:trPr>
        <w:tc>
          <w:tcPr>
            <w:tcW w:w="6000" w:type="dxa"/>
            <w:shd w:val="clear" w:color="auto" w:fill="auto"/>
          </w:tcPr>
          <w:p w14:paraId="3416E061" w14:textId="77777777" w:rsidR="006B5367" w:rsidRPr="006B5367" w:rsidRDefault="006B5367" w:rsidP="005A471B">
            <w:pPr>
              <w:pStyle w:val="TableText"/>
              <w:rPr>
                <w:bCs/>
              </w:rPr>
            </w:pPr>
            <w:r w:rsidRPr="006B5367">
              <w:rPr>
                <w:bCs/>
              </w:rPr>
              <w:t>DSS</w:t>
            </w:r>
          </w:p>
          <w:p w14:paraId="6CAACB78" w14:textId="77777777" w:rsidR="006B5367" w:rsidRPr="006B5367" w:rsidRDefault="006B5367" w:rsidP="005A471B">
            <w:pPr>
              <w:pStyle w:val="TableText"/>
              <w:rPr>
                <w:lang w:eastAsia="en-AU"/>
              </w:rPr>
            </w:pPr>
            <w:r w:rsidRPr="006B5367">
              <w:rPr>
                <w:lang w:eastAsia="en-AU"/>
              </w:rPr>
              <w:t>Policy and implementation teams</w:t>
            </w:r>
          </w:p>
          <w:p w14:paraId="6F4C9973" w14:textId="77777777" w:rsidR="006B5367" w:rsidRPr="006B5367" w:rsidRDefault="006B5367" w:rsidP="005A471B">
            <w:pPr>
              <w:pStyle w:val="TableText"/>
              <w:rPr>
                <w:bCs/>
                <w:lang w:eastAsia="en-AU"/>
              </w:rPr>
            </w:pPr>
            <w:r w:rsidRPr="006B5367">
              <w:rPr>
                <w:lang w:eastAsia="en-AU"/>
              </w:rPr>
              <w:t>Current IAA service staff</w:t>
            </w:r>
          </w:p>
        </w:tc>
        <w:tc>
          <w:tcPr>
            <w:tcW w:w="1371" w:type="dxa"/>
            <w:shd w:val="clear" w:color="auto" w:fill="auto"/>
          </w:tcPr>
          <w:p w14:paraId="68A7CF7B" w14:textId="77777777" w:rsidR="006B5367" w:rsidRPr="006B5367" w:rsidRDefault="006B5367" w:rsidP="005A471B">
            <w:pPr>
              <w:pStyle w:val="TableTextCentred"/>
            </w:pPr>
            <w:r w:rsidRPr="006B5367">
              <w:t>13</w:t>
            </w:r>
          </w:p>
        </w:tc>
      </w:tr>
      <w:tr w:rsidR="00396654" w:rsidRPr="006B5367" w14:paraId="3A066570" w14:textId="77777777" w:rsidTr="00396654">
        <w:trPr>
          <w:cantSplit/>
        </w:trPr>
        <w:tc>
          <w:tcPr>
            <w:tcW w:w="6000" w:type="dxa"/>
            <w:shd w:val="clear" w:color="auto" w:fill="auto"/>
          </w:tcPr>
          <w:p w14:paraId="1BA88B02" w14:textId="77777777" w:rsidR="006B5367" w:rsidRPr="006B5367" w:rsidRDefault="006B5367" w:rsidP="005A471B">
            <w:pPr>
              <w:pStyle w:val="TableText"/>
              <w:rPr>
                <w:bCs/>
              </w:rPr>
            </w:pPr>
            <w:r w:rsidRPr="006B5367">
              <w:rPr>
                <w:bCs/>
              </w:rPr>
              <w:t>State and Territory Central Authorities</w:t>
            </w:r>
          </w:p>
        </w:tc>
        <w:tc>
          <w:tcPr>
            <w:tcW w:w="1371" w:type="dxa"/>
            <w:shd w:val="clear" w:color="auto" w:fill="auto"/>
          </w:tcPr>
          <w:p w14:paraId="2BE98E57" w14:textId="77777777" w:rsidR="006B5367" w:rsidRPr="006B5367" w:rsidRDefault="006B5367" w:rsidP="005A471B">
            <w:pPr>
              <w:pStyle w:val="TableTextCentred"/>
            </w:pPr>
            <w:r w:rsidRPr="006B5367">
              <w:t>13</w:t>
            </w:r>
          </w:p>
        </w:tc>
      </w:tr>
      <w:tr w:rsidR="00396654" w:rsidRPr="006B5367" w14:paraId="078D04B1" w14:textId="77777777" w:rsidTr="00396654">
        <w:trPr>
          <w:cantSplit/>
        </w:trPr>
        <w:tc>
          <w:tcPr>
            <w:tcW w:w="6000" w:type="dxa"/>
            <w:shd w:val="clear" w:color="auto" w:fill="auto"/>
          </w:tcPr>
          <w:p w14:paraId="226E5E9E" w14:textId="77777777" w:rsidR="006B5367" w:rsidRPr="006B5367" w:rsidRDefault="006B5367" w:rsidP="005A471B">
            <w:pPr>
              <w:pStyle w:val="TableText"/>
            </w:pPr>
            <w:r w:rsidRPr="006B5367">
              <w:t>Academics</w:t>
            </w:r>
          </w:p>
        </w:tc>
        <w:tc>
          <w:tcPr>
            <w:tcW w:w="1371" w:type="dxa"/>
            <w:shd w:val="clear" w:color="auto" w:fill="auto"/>
          </w:tcPr>
          <w:p w14:paraId="7F30A092" w14:textId="77777777" w:rsidR="006B5367" w:rsidRPr="006B5367" w:rsidRDefault="006B5367" w:rsidP="005A471B">
            <w:pPr>
              <w:pStyle w:val="TableTextCentred"/>
            </w:pPr>
            <w:r w:rsidRPr="006B5367">
              <w:t>3</w:t>
            </w:r>
          </w:p>
        </w:tc>
      </w:tr>
      <w:tr w:rsidR="00396654" w:rsidRPr="006B5367" w14:paraId="18FD8508" w14:textId="77777777" w:rsidTr="00396654">
        <w:trPr>
          <w:cantSplit/>
        </w:trPr>
        <w:tc>
          <w:tcPr>
            <w:tcW w:w="6000" w:type="dxa"/>
            <w:shd w:val="clear" w:color="auto" w:fill="auto"/>
          </w:tcPr>
          <w:p w14:paraId="47F9B352" w14:textId="77777777" w:rsidR="006B5367" w:rsidRPr="006B5367" w:rsidRDefault="006B5367" w:rsidP="005A471B">
            <w:pPr>
              <w:pStyle w:val="TableText"/>
            </w:pPr>
            <w:r w:rsidRPr="006B5367">
              <w:t>Support/advocacy groups</w:t>
            </w:r>
          </w:p>
        </w:tc>
        <w:tc>
          <w:tcPr>
            <w:tcW w:w="1371" w:type="dxa"/>
            <w:shd w:val="clear" w:color="auto" w:fill="auto"/>
          </w:tcPr>
          <w:p w14:paraId="51613365" w14:textId="77777777" w:rsidR="006B5367" w:rsidRPr="006B5367" w:rsidRDefault="006B5367" w:rsidP="005A471B">
            <w:pPr>
              <w:pStyle w:val="TableTextCentred"/>
            </w:pPr>
            <w:r w:rsidRPr="006B5367">
              <w:t>4</w:t>
            </w:r>
          </w:p>
        </w:tc>
      </w:tr>
      <w:tr w:rsidR="00396654" w:rsidRPr="006B5367" w14:paraId="6CF1514F" w14:textId="77777777" w:rsidTr="00396654">
        <w:trPr>
          <w:cantSplit/>
        </w:trPr>
        <w:tc>
          <w:tcPr>
            <w:tcW w:w="6000" w:type="dxa"/>
            <w:shd w:val="clear" w:color="auto" w:fill="auto"/>
          </w:tcPr>
          <w:p w14:paraId="50E5477E" w14:textId="77777777" w:rsidR="006B5367" w:rsidRPr="006B5367" w:rsidRDefault="006B5367" w:rsidP="005A471B">
            <w:pPr>
              <w:pStyle w:val="TableText"/>
              <w:rPr>
                <w:bCs/>
              </w:rPr>
            </w:pPr>
            <w:r w:rsidRPr="006B5367">
              <w:rPr>
                <w:bCs/>
              </w:rPr>
              <w:t xml:space="preserve">Recently engaged services </w:t>
            </w:r>
          </w:p>
        </w:tc>
        <w:tc>
          <w:tcPr>
            <w:tcW w:w="1371" w:type="dxa"/>
            <w:shd w:val="clear" w:color="auto" w:fill="auto"/>
          </w:tcPr>
          <w:p w14:paraId="06F48079" w14:textId="77777777" w:rsidR="006B5367" w:rsidRPr="006B5367" w:rsidRDefault="006B5367" w:rsidP="005A471B">
            <w:pPr>
              <w:pStyle w:val="TableTextCentred"/>
            </w:pPr>
            <w:r w:rsidRPr="006B5367">
              <w:t>3</w:t>
            </w:r>
          </w:p>
        </w:tc>
      </w:tr>
      <w:tr w:rsidR="00396654" w:rsidRPr="006B5367" w14:paraId="62405B8A" w14:textId="77777777" w:rsidTr="00396654">
        <w:trPr>
          <w:cantSplit/>
        </w:trPr>
        <w:tc>
          <w:tcPr>
            <w:tcW w:w="6000" w:type="dxa"/>
            <w:tcBorders>
              <w:bottom w:val="single" w:sz="4" w:space="0" w:color="0079C1" w:themeColor="text2"/>
            </w:tcBorders>
            <w:shd w:val="clear" w:color="auto" w:fill="auto"/>
          </w:tcPr>
          <w:p w14:paraId="00C93C1D" w14:textId="77777777" w:rsidR="006B5367" w:rsidRPr="006B5367" w:rsidRDefault="006B5367" w:rsidP="005A471B">
            <w:pPr>
              <w:pStyle w:val="TableText"/>
              <w:rPr>
                <w:bCs/>
              </w:rPr>
            </w:pPr>
            <w:r w:rsidRPr="006B5367">
              <w:rPr>
                <w:bCs/>
              </w:rPr>
              <w:t>IAA target service users</w:t>
            </w:r>
          </w:p>
          <w:p w14:paraId="4313D41D" w14:textId="77777777" w:rsidR="006B5367" w:rsidRPr="006B5367" w:rsidRDefault="006B5367" w:rsidP="005A471B">
            <w:pPr>
              <w:pStyle w:val="TableText"/>
              <w:rPr>
                <w:lang w:eastAsia="en-AU"/>
              </w:rPr>
            </w:pPr>
            <w:r w:rsidRPr="006B5367">
              <w:rPr>
                <w:lang w:eastAsia="en-AU"/>
              </w:rPr>
              <w:t>Survey respondents (n=230)</w:t>
            </w:r>
          </w:p>
          <w:p w14:paraId="6ABD437C" w14:textId="77777777" w:rsidR="006B5367" w:rsidRPr="006B5367" w:rsidRDefault="006B5367" w:rsidP="005A471B">
            <w:pPr>
              <w:pStyle w:val="TableText"/>
              <w:rPr>
                <w:lang w:eastAsia="en-AU"/>
              </w:rPr>
            </w:pPr>
            <w:r w:rsidRPr="006B5367">
              <w:rPr>
                <w:lang w:eastAsia="en-AU"/>
              </w:rPr>
              <w:t>In-depth interviews with a subset of survey recipients who had:</w:t>
            </w:r>
          </w:p>
          <w:p w14:paraId="79D2E760" w14:textId="77777777" w:rsidR="006B5367" w:rsidRPr="006B5367" w:rsidRDefault="006B5367" w:rsidP="00A91397">
            <w:pPr>
              <w:pStyle w:val="TableBullet1"/>
              <w:rPr>
                <w:lang w:eastAsia="en-AU"/>
              </w:rPr>
            </w:pPr>
            <w:r w:rsidRPr="006B5367">
              <w:rPr>
                <w:lang w:eastAsia="en-AU"/>
              </w:rPr>
              <w:t>Used IAA (n=28)</w:t>
            </w:r>
          </w:p>
          <w:p w14:paraId="2B034D54" w14:textId="77777777" w:rsidR="006B5367" w:rsidRPr="006B5367" w:rsidRDefault="006B5367" w:rsidP="00A91397">
            <w:pPr>
              <w:pStyle w:val="TableBullet1"/>
              <w:rPr>
                <w:bCs/>
                <w:lang w:eastAsia="en-AU"/>
              </w:rPr>
            </w:pPr>
            <w:r w:rsidRPr="006B5367">
              <w:rPr>
                <w:lang w:eastAsia="en-AU"/>
              </w:rPr>
              <w:t xml:space="preserve">Not used IAA (n=11) </w:t>
            </w:r>
          </w:p>
        </w:tc>
        <w:tc>
          <w:tcPr>
            <w:tcW w:w="1371" w:type="dxa"/>
            <w:tcBorders>
              <w:bottom w:val="single" w:sz="4" w:space="0" w:color="0079C1" w:themeColor="text2"/>
            </w:tcBorders>
            <w:shd w:val="clear" w:color="auto" w:fill="auto"/>
          </w:tcPr>
          <w:p w14:paraId="38BA684E" w14:textId="77777777" w:rsidR="006B5367" w:rsidRPr="006B5367" w:rsidRDefault="006B5367" w:rsidP="005A471B">
            <w:pPr>
              <w:pStyle w:val="TableTextCentred"/>
              <w:rPr>
                <w:bCs/>
              </w:rPr>
            </w:pPr>
            <w:r w:rsidRPr="006B5367">
              <w:t>230</w:t>
            </w:r>
          </w:p>
        </w:tc>
      </w:tr>
      <w:tr w:rsidR="00396654" w:rsidRPr="006B5367" w14:paraId="74FC27D2" w14:textId="77777777" w:rsidTr="00396654">
        <w:trPr>
          <w:cantSplit/>
        </w:trPr>
        <w:tc>
          <w:tcPr>
            <w:tcW w:w="6000" w:type="dxa"/>
            <w:tcBorders>
              <w:top w:val="single" w:sz="4" w:space="0" w:color="0079C1" w:themeColor="text2"/>
              <w:bottom w:val="single" w:sz="4" w:space="0" w:color="0079C1" w:themeColor="text2"/>
            </w:tcBorders>
            <w:shd w:val="clear" w:color="auto" w:fill="E2F4FF" w:themeFill="accent1" w:themeFillTint="33"/>
          </w:tcPr>
          <w:p w14:paraId="5A04A9DA" w14:textId="77777777" w:rsidR="006B5367" w:rsidRPr="006D5708" w:rsidRDefault="006B5367" w:rsidP="00A91397">
            <w:pPr>
              <w:pStyle w:val="TableHeading2Row"/>
              <w:rPr>
                <w:color w:val="auto"/>
                <w:lang w:eastAsia="en-AU"/>
              </w:rPr>
            </w:pPr>
            <w:r w:rsidRPr="006D5708">
              <w:rPr>
                <w:color w:val="auto"/>
                <w:lang w:eastAsia="en-AU"/>
              </w:rPr>
              <w:t>Total number of participants</w:t>
            </w:r>
          </w:p>
        </w:tc>
        <w:tc>
          <w:tcPr>
            <w:tcW w:w="1371" w:type="dxa"/>
            <w:tcBorders>
              <w:top w:val="single" w:sz="4" w:space="0" w:color="0079C1" w:themeColor="text2"/>
              <w:bottom w:val="single" w:sz="4" w:space="0" w:color="0079C1" w:themeColor="text2"/>
            </w:tcBorders>
            <w:shd w:val="clear" w:color="auto" w:fill="E2F4FF" w:themeFill="accent1" w:themeFillTint="33"/>
          </w:tcPr>
          <w:p w14:paraId="7FF4FF89" w14:textId="77777777" w:rsidR="006B5367" w:rsidRPr="006D5708" w:rsidRDefault="006B5367" w:rsidP="00A91397">
            <w:pPr>
              <w:pStyle w:val="TableHeading2Centred"/>
              <w:rPr>
                <w:color w:val="auto"/>
              </w:rPr>
            </w:pPr>
            <w:r w:rsidRPr="006D5708">
              <w:rPr>
                <w:color w:val="auto"/>
              </w:rPr>
              <w:t>275</w:t>
            </w:r>
          </w:p>
        </w:tc>
      </w:tr>
    </w:tbl>
    <w:p w14:paraId="0890A9A4" w14:textId="77777777" w:rsidR="006B5367" w:rsidRPr="006B5367" w:rsidRDefault="006B5367" w:rsidP="00396654">
      <w:pPr>
        <w:pStyle w:val="Heading2"/>
      </w:pPr>
      <w:bookmarkStart w:id="67" w:name="_Toc490481621"/>
      <w:r w:rsidRPr="006B5367">
        <w:t>Data analysis process</w:t>
      </w:r>
      <w:bookmarkEnd w:id="67"/>
    </w:p>
    <w:p w14:paraId="30C89FEB" w14:textId="77777777" w:rsidR="006B5367" w:rsidRPr="006B5367" w:rsidRDefault="006B5367" w:rsidP="00396654">
      <w:pPr>
        <w:pStyle w:val="Paragraph"/>
        <w:rPr>
          <w:lang w:eastAsia="en-AU"/>
        </w:rPr>
      </w:pPr>
      <w:r w:rsidRPr="006B5367">
        <w:rPr>
          <w:lang w:eastAsia="en-AU"/>
        </w:rPr>
        <w:t>Quantitative data derived from the survey and the web analytics were systematically analysed and a series of descriptive statistics produced.</w:t>
      </w:r>
    </w:p>
    <w:p w14:paraId="1BABBBB6" w14:textId="29ED22F3" w:rsidR="006B5367" w:rsidRPr="006B5367" w:rsidRDefault="006B5367" w:rsidP="00396654">
      <w:pPr>
        <w:pStyle w:val="ParagraphKeep"/>
        <w:rPr>
          <w:lang w:eastAsia="en-AU"/>
        </w:rPr>
      </w:pPr>
      <w:r w:rsidRPr="006B5367">
        <w:rPr>
          <w:lang w:eastAsia="en-AU"/>
        </w:rPr>
        <w:t>A thematic analysis was conducted of the qualitative data obtained from the open-ended survey responses and from the consultations with stakeholders</w:t>
      </w:r>
      <w:r w:rsidRPr="006B5367">
        <w:t xml:space="preserve"> </w:t>
      </w:r>
      <w:r w:rsidRPr="006B5367">
        <w:rPr>
          <w:lang w:eastAsia="en-AU"/>
        </w:rPr>
        <w:t xml:space="preserve">using the three stage approach to qualitative data analysis advocated by Miles, Huberman and Saldana </w:t>
      </w:r>
      <w:r w:rsidRPr="006B5367">
        <w:rPr>
          <w:lang w:eastAsia="en-AU"/>
        </w:rPr>
        <w:fldChar w:fldCharType="begin" w:fldLock="1"/>
      </w:r>
      <w:r w:rsidR="0006400D">
        <w:rPr>
          <w:lang w:eastAsia="en-AU"/>
        </w:rPr>
        <w:instrText>ADDIN CSL_CITATION { "citationItems" : [ { "id" : "ITEM-1", "itemData" : { "author" : [ { "dropping-particle" : "", "family" : "Miles", "given" : "Matthew B", "non-dropping-particle" : "", "parse-names" : false, "suffix" : "" }, { "dropping-particle" : "", "family" : "Huberman", "given" : "A. Michael", "non-dropping-particle" : "", "parse-names" : false, "suffix" : "" }, { "dropping-particle" : "", "family" : "Saldana", "given" : "Johhny", "non-dropping-particle" : "", "parse-names" : false, "suffix" : "" } ], "edition" : "Third", "id" : "ITEM-1", "issued" : { "date-parts" : [ [ "2013" ] ] }, "publisher" : "Sage", "publisher-place" : "Thousand Oaks, California", "title" : "Qualitative Data Analysis: A Methods Sourcebook", "type" : "book" }, "uris" : [ "http://www.mendeley.com/documents/?uuid=0657309f-0c15-4388-b07b-8feb6c90331c" ] } ], "mendeley" : { "formattedCitation" : "(Miles et al. 2013)", "plainTextFormattedCitation" : "(Miles et al. 2013)", "previouslyFormattedCitation" : "(Miles et al. 2013)" }, "properties" : { "noteIndex" : 0 }, "schema" : "https://github.com/citation-style-language/schema/raw/master/csl-citation.json" }</w:instrText>
      </w:r>
      <w:r w:rsidRPr="006B5367">
        <w:rPr>
          <w:lang w:eastAsia="en-AU"/>
        </w:rPr>
        <w:fldChar w:fldCharType="separate"/>
      </w:r>
      <w:r w:rsidRPr="006B5367">
        <w:rPr>
          <w:noProof/>
          <w:lang w:eastAsia="en-AU"/>
        </w:rPr>
        <w:t>(Miles et al. 2013)</w:t>
      </w:r>
      <w:r w:rsidRPr="006B5367">
        <w:rPr>
          <w:lang w:eastAsia="en-AU"/>
        </w:rPr>
        <w:fldChar w:fldCharType="end"/>
      </w:r>
      <w:r w:rsidRPr="006B5367">
        <w:rPr>
          <w:lang w:eastAsia="en-AU"/>
        </w:rPr>
        <w:t xml:space="preserve">. </w:t>
      </w:r>
    </w:p>
    <w:p w14:paraId="264CF795" w14:textId="77777777" w:rsidR="006B5367" w:rsidRPr="006B5367" w:rsidRDefault="006B5367" w:rsidP="00396654">
      <w:pPr>
        <w:pStyle w:val="Bullet1"/>
      </w:pPr>
      <w:r w:rsidRPr="006B5367">
        <w:rPr>
          <w:b/>
          <w:bCs/>
        </w:rPr>
        <w:t>Stage 1 (data condensation)</w:t>
      </w:r>
      <w:r w:rsidRPr="006B5367">
        <w:t xml:space="preserve"> involves transforming responses into thematic areas based on the key questions being addressed and highlighting illustrative quotations </w:t>
      </w:r>
    </w:p>
    <w:p w14:paraId="71C2C706" w14:textId="77777777" w:rsidR="006B5367" w:rsidRPr="006B5367" w:rsidRDefault="006B5367" w:rsidP="00396654">
      <w:pPr>
        <w:pStyle w:val="Bullet1"/>
      </w:pPr>
      <w:r w:rsidRPr="006B5367">
        <w:rPr>
          <w:b/>
          <w:bCs/>
        </w:rPr>
        <w:t>Stage 2 (data display)</w:t>
      </w:r>
      <w:r w:rsidRPr="006B5367">
        <w:t xml:space="preserve"> involves displaying the condensed data in a matrix with case details on one axis (stakeholder) and theme areas on the other </w:t>
      </w:r>
    </w:p>
    <w:p w14:paraId="585A1E59" w14:textId="77777777" w:rsidR="006B5367" w:rsidRPr="006B5367" w:rsidRDefault="006B5367" w:rsidP="00396654">
      <w:pPr>
        <w:pStyle w:val="Bullet1"/>
      </w:pPr>
      <w:r w:rsidRPr="006B5367">
        <w:rPr>
          <w:b/>
          <w:bCs/>
        </w:rPr>
        <w:t>Stage 3 (conclusion drawing/verification)</w:t>
      </w:r>
      <w:r w:rsidRPr="006B5367">
        <w:t xml:space="preserve"> involves identifying patterns, explanations and causal flows from the display matrix.  </w:t>
      </w:r>
    </w:p>
    <w:p w14:paraId="144B2F33" w14:textId="77777777" w:rsidR="006B5367" w:rsidRPr="006B5367" w:rsidRDefault="006B5367" w:rsidP="00396654">
      <w:pPr>
        <w:pStyle w:val="Paragraph"/>
        <w:rPr>
          <w:lang w:eastAsia="en-AU"/>
        </w:rPr>
      </w:pPr>
      <w:r w:rsidRPr="006B5367">
        <w:rPr>
          <w:lang w:eastAsia="en-AU"/>
        </w:rPr>
        <w:t xml:space="preserve">This iterative thematic analysis was used to identify key themes and issues and to establish differences/commonalities in opinions within and across the various stakeholders involved in the evaluation. </w:t>
      </w:r>
    </w:p>
    <w:p w14:paraId="7AD998E6" w14:textId="6145FC20" w:rsidR="006B5367" w:rsidRPr="006B5367" w:rsidRDefault="006B5367" w:rsidP="00396654">
      <w:pPr>
        <w:pStyle w:val="Paragraph"/>
        <w:rPr>
          <w:lang w:eastAsia="en-AU"/>
        </w:rPr>
      </w:pPr>
      <w:r w:rsidRPr="006B5367">
        <w:rPr>
          <w:lang w:eastAsia="en-AU"/>
        </w:rPr>
        <w:t>Findings from the qualitative and quantitative data streams were then triangulated to generate a synthesis of findings.</w:t>
      </w:r>
    </w:p>
    <w:p w14:paraId="08CBAE30" w14:textId="77777777" w:rsidR="006B5367" w:rsidRPr="006B5367" w:rsidRDefault="006B5367" w:rsidP="00396654">
      <w:pPr>
        <w:pStyle w:val="Heading2"/>
      </w:pPr>
      <w:bookmarkStart w:id="68" w:name="_Ref490046742"/>
      <w:bookmarkStart w:id="69" w:name="_Toc490481622"/>
      <w:r w:rsidRPr="006B5367">
        <w:lastRenderedPageBreak/>
        <w:t>Evaluability issues</w:t>
      </w:r>
      <w:bookmarkEnd w:id="68"/>
      <w:bookmarkEnd w:id="69"/>
    </w:p>
    <w:p w14:paraId="08E61A05" w14:textId="3257C6A8" w:rsidR="006B5367" w:rsidRPr="006B5367" w:rsidRDefault="006B5367" w:rsidP="00396654">
      <w:pPr>
        <w:pStyle w:val="ParagraphKeep"/>
        <w:rPr>
          <w:lang w:eastAsia="en-AU"/>
        </w:rPr>
      </w:pPr>
      <w:r w:rsidRPr="006B5367">
        <w:rPr>
          <w:lang w:eastAsia="en-AU"/>
        </w:rPr>
        <w:t xml:space="preserve">A number of issues were identified </w:t>
      </w:r>
      <w:r w:rsidR="007D0F48">
        <w:rPr>
          <w:lang w:eastAsia="en-AU"/>
        </w:rPr>
        <w:t>that may impact on the results of the</w:t>
      </w:r>
      <w:r w:rsidRPr="006B5367">
        <w:rPr>
          <w:lang w:eastAsia="en-AU"/>
        </w:rPr>
        <w:t xml:space="preserve"> evaluation.  These include</w:t>
      </w:r>
      <w:r w:rsidR="00C74849">
        <w:rPr>
          <w:lang w:eastAsia="en-AU"/>
        </w:rPr>
        <w:t>d</w:t>
      </w:r>
      <w:r w:rsidRPr="006B5367">
        <w:rPr>
          <w:lang w:eastAsia="en-AU"/>
        </w:rPr>
        <w:t>:</w:t>
      </w:r>
    </w:p>
    <w:p w14:paraId="7E80D63A" w14:textId="45E4B479" w:rsidR="006B5367" w:rsidRPr="006B5367" w:rsidRDefault="006B5367" w:rsidP="00396654">
      <w:pPr>
        <w:pStyle w:val="Bullet1"/>
      </w:pPr>
      <w:r w:rsidRPr="006B5367">
        <w:rPr>
          <w:b/>
          <w:bCs/>
        </w:rPr>
        <w:t>Sensitivities related to the client group</w:t>
      </w:r>
      <w:r w:rsidRPr="006B5367">
        <w:t xml:space="preserve">.  While the majority of IAA clients who had provided consent to be contacted for research purposes supplied an email address (324), a </w:t>
      </w:r>
      <w:r w:rsidR="00BC5D6C">
        <w:t xml:space="preserve">small </w:t>
      </w:r>
      <w:r w:rsidRPr="006B5367">
        <w:t>number only provided telephone details (15).  In the latter case, multiple attempts were made to contact clients but no messages were left so that clients’ engagement with ICA was not disclosed on answering machines or voice mail</w:t>
      </w:r>
    </w:p>
    <w:p w14:paraId="2FA779EA" w14:textId="572CFAA0" w:rsidR="006B5367" w:rsidRPr="006B5367" w:rsidRDefault="006B5367" w:rsidP="00396654">
      <w:pPr>
        <w:pStyle w:val="Bullet1"/>
      </w:pPr>
      <w:r w:rsidRPr="006B5367">
        <w:rPr>
          <w:b/>
          <w:bCs/>
        </w:rPr>
        <w:t>Out of date, incorrect or absent contact details</w:t>
      </w:r>
      <w:r w:rsidRPr="006B5367">
        <w:t xml:space="preserve"> meant that certain clients listed in the IAA record system could not be contacted and were therefore excluded from participating in the evaluation. </w:t>
      </w:r>
      <w:r w:rsidR="00131239">
        <w:t xml:space="preserve"> </w:t>
      </w:r>
      <w:r w:rsidRPr="006B5367">
        <w:t>Of the 324 emails sent to IAA clients, 10 were returned as undeliverable</w:t>
      </w:r>
    </w:p>
    <w:p w14:paraId="46FCCFD0" w14:textId="0F452D53" w:rsidR="006B5367" w:rsidRDefault="006B5367" w:rsidP="00396654">
      <w:pPr>
        <w:pStyle w:val="Bullet1"/>
      </w:pPr>
      <w:r w:rsidRPr="006B5367">
        <w:rPr>
          <w:b/>
          <w:bCs/>
        </w:rPr>
        <w:t xml:space="preserve">Survey respondent confusion. </w:t>
      </w:r>
      <w:r w:rsidRPr="006B5367">
        <w:t xml:space="preserve"> It became apparent during the in-depth consultation with survey respondent</w:t>
      </w:r>
      <w:r w:rsidR="00BC5D6C">
        <w:t>s</w:t>
      </w:r>
      <w:r w:rsidRPr="006B5367">
        <w:t xml:space="preserve"> that some were unable to differentiate between IAA and STCA services.  Accordingly, responses provided may not </w:t>
      </w:r>
      <w:r w:rsidR="00BC5D6C">
        <w:t xml:space="preserve">always be </w:t>
      </w:r>
      <w:r w:rsidRPr="006B5367">
        <w:t>related to IAA</w:t>
      </w:r>
    </w:p>
    <w:p w14:paraId="6BE880D2" w14:textId="6EFA5B3E" w:rsidR="00017A9B" w:rsidRPr="006B5367" w:rsidRDefault="00017A9B" w:rsidP="00017A9B">
      <w:pPr>
        <w:pStyle w:val="Bullet1"/>
      </w:pPr>
      <w:r w:rsidRPr="00017A9B">
        <w:rPr>
          <w:b/>
        </w:rPr>
        <w:t>Potential respondent bias</w:t>
      </w:r>
      <w:r>
        <w:rPr>
          <w:b/>
        </w:rPr>
        <w:t>.</w:t>
      </w:r>
      <w:r w:rsidRPr="00A55A9C">
        <w:t xml:space="preserve">  </w:t>
      </w:r>
      <w:r w:rsidR="00A55A9C">
        <w:t xml:space="preserve">Some individuals </w:t>
      </w:r>
      <w:r w:rsidRPr="00017A9B">
        <w:t xml:space="preserve">who contact IAA </w:t>
      </w:r>
      <w:r w:rsidR="00A55A9C">
        <w:t xml:space="preserve">did not </w:t>
      </w:r>
      <w:r w:rsidRPr="00017A9B">
        <w:t>provide their name/contact details</w:t>
      </w:r>
      <w:r w:rsidR="00A55A9C">
        <w:t>, and therefore, could not be invited to complete the survey.  Tho</w:t>
      </w:r>
      <w:r w:rsidRPr="00017A9B">
        <w:t xml:space="preserve">se who consented to be contacted may differ from those who </w:t>
      </w:r>
      <w:r w:rsidR="00A55A9C">
        <w:t xml:space="preserve">did not.  This may introduce a potential respondent bias.  </w:t>
      </w:r>
    </w:p>
    <w:p w14:paraId="6BBD352D" w14:textId="1B0AD2D6" w:rsidR="006B5367" w:rsidRPr="006B5367" w:rsidRDefault="006B5367" w:rsidP="00396654">
      <w:pPr>
        <w:pStyle w:val="Bullet1"/>
      </w:pPr>
      <w:r w:rsidRPr="006B5367">
        <w:rPr>
          <w:b/>
          <w:bCs/>
        </w:rPr>
        <w:t>Recall bias.</w:t>
      </w:r>
      <w:r w:rsidRPr="006B5367">
        <w:t xml:space="preserve">  ICA is a lengthy process.  This introduces the risk of recall bias in the information provided in the survey and during in-depth consultations with clients, as respondents may find it difficult to remember or accurately recall details </w:t>
      </w:r>
      <w:r w:rsidR="00BC5D6C">
        <w:t xml:space="preserve">of events </w:t>
      </w:r>
      <w:r w:rsidRPr="006B5367">
        <w:t xml:space="preserve">that happened in the past.  Research studies indicate that 20% of critical details are irretrievable after one year and 50% after 5 years </w:t>
      </w:r>
      <w:r w:rsidRPr="006B5367">
        <w:fldChar w:fldCharType="begin" w:fldLock="1"/>
      </w:r>
      <w:r w:rsidRPr="006B5367">
        <w:instrText>ADDIN CSL_CITATION { "citationItems" : [ { "id" : "ITEM-1", "itemData" : { "URL" : "http://ispub.com/IJE/3/2/13060", "accessed" : { "date-parts" : [ [ "2016", "5", "18" ] ] }, "author" : [ { "dropping-particle" : "", "family" : "Hassan", "given" : "Eman", "non-dropping-particle" : "", "parse-names" : false, "suffix" : "" } ], "container-title" : "The Internet Journal of Epidemiology. 2005 Volume 3 Number 2", "id" : "ITEM-1", "issued" : { "date-parts" : [ [ "0" ] ] }, "title" : "Recall Bias can be a Threat to Retrospective and Prospective Research Designs", "type" : "webpage" }, "uris" : [ "http://www.mendeley.com/documents/?uuid=c9230326-dab2-4232-9994-1142bff5cbaf" ] } ], "mendeley" : { "formattedCitation" : "(Hassan n.d.)", "plainTextFormattedCitation" : "(Hassan n.d.)", "previouslyFormattedCitation" : "(Hassan n.d.)" }, "properties" : { "noteIndex" : 0 }, "schema" : "https://github.com/citation-style-language/schema/raw/master/csl-citation.json" }</w:instrText>
      </w:r>
      <w:r w:rsidRPr="006B5367">
        <w:fldChar w:fldCharType="separate"/>
      </w:r>
      <w:r w:rsidRPr="006B5367">
        <w:rPr>
          <w:noProof/>
        </w:rPr>
        <w:t>(Hassan n.d.)</w:t>
      </w:r>
      <w:r w:rsidRPr="006B5367">
        <w:fldChar w:fldCharType="end"/>
      </w:r>
      <w:r w:rsidRPr="006B5367">
        <w:t>.  All studies that rely on self-reported data are prone to this limitation</w:t>
      </w:r>
    </w:p>
    <w:p w14:paraId="54ADFEA6" w14:textId="069E58AC" w:rsidR="006B5367" w:rsidRPr="006B5367" w:rsidRDefault="006B5367" w:rsidP="00396654">
      <w:pPr>
        <w:pStyle w:val="Bullet1"/>
      </w:pPr>
      <w:r w:rsidRPr="006B5367">
        <w:rPr>
          <w:b/>
          <w:bCs/>
        </w:rPr>
        <w:t>Loss of corporate knowledge.</w:t>
      </w:r>
      <w:r w:rsidRPr="006B5367">
        <w:t xml:space="preserve">  In a number of cases, key STCA or Commonwealth personnel involved in the initial implementation of IAA had left the organisation and this resulted in a loss of corporate knowledge, particularly in relation to the development and implementation phases.  The richness and depth of the information provided may have been compromised as a result</w:t>
      </w:r>
    </w:p>
    <w:p w14:paraId="320F1786" w14:textId="1A6F0E10" w:rsidR="006B5367" w:rsidRPr="006B5367" w:rsidRDefault="006B5367" w:rsidP="00396654">
      <w:pPr>
        <w:pStyle w:val="Bullet1"/>
      </w:pPr>
      <w:r w:rsidRPr="006B5367">
        <w:rPr>
          <w:b/>
          <w:bCs/>
        </w:rPr>
        <w:t>Quality of DSS data provided.</w:t>
      </w:r>
      <w:r w:rsidRPr="006B5367">
        <w:t xml:space="preserve">  Considerable variability existed in the quality and quantity of service-related data provided by DSS.  The multiple modes of data capture currently in use made in-depth analysis of certain aspects of IAA functionality difficult.  </w:t>
      </w:r>
    </w:p>
    <w:p w14:paraId="080634C4" w14:textId="06319FF1" w:rsidR="006B5367" w:rsidRPr="006B5367" w:rsidRDefault="006B5367" w:rsidP="00396654">
      <w:pPr>
        <w:pStyle w:val="Bullet1"/>
      </w:pPr>
      <w:r w:rsidRPr="006B5367">
        <w:rPr>
          <w:b/>
          <w:bCs/>
        </w:rPr>
        <w:t>Methodological constraints</w:t>
      </w:r>
      <w:r w:rsidRPr="006B5367">
        <w:t xml:space="preserve">.  It had originally been proposed that focus groups would be convened with people attending some of the STCA information sessions.  However, few information sessions were scheduled during the timeframes of the evaluation and, given the </w:t>
      </w:r>
      <w:r w:rsidR="00280075">
        <w:t xml:space="preserve">potential </w:t>
      </w:r>
      <w:r w:rsidRPr="006B5367">
        <w:t>vulnerability of attendees, STCAs considered it inappropriate to attempt to convene focus group</w:t>
      </w:r>
      <w:r w:rsidR="00BC5D6C">
        <w:t>s</w:t>
      </w:r>
      <w:r w:rsidRPr="006B5367">
        <w:t>.  For these reasons, input from people recently engaged with the ICA process was limited to those who completed the online survey</w:t>
      </w:r>
    </w:p>
    <w:p w14:paraId="0E4BAB96" w14:textId="7AB5ADED" w:rsidR="006B5367" w:rsidRDefault="006B5367" w:rsidP="00396654">
      <w:pPr>
        <w:pStyle w:val="Bullet1"/>
      </w:pPr>
      <w:r w:rsidRPr="006B5367">
        <w:rPr>
          <w:b/>
          <w:bCs/>
          <w:lang w:eastAsia="en-GB"/>
        </w:rPr>
        <w:t>Differences in how responses are articulated.</w:t>
      </w:r>
      <w:r w:rsidRPr="006B5367">
        <w:rPr>
          <w:lang w:eastAsia="en-GB"/>
        </w:rPr>
        <w:t xml:space="preserve">  These differences may influence the interpretability of findings particularly as inclusion or exclusion of factors may relate to informants’ narrative style rather than reflect true differences between stakeholders</w:t>
      </w:r>
      <w:r w:rsidR="00396654">
        <w:rPr>
          <w:lang w:eastAsia="en-GB"/>
        </w:rPr>
        <w:t>.</w:t>
      </w:r>
    </w:p>
    <w:p w14:paraId="31440E33" w14:textId="410512F9" w:rsidR="001B1AEC" w:rsidRPr="00E22B67" w:rsidRDefault="001B1AEC" w:rsidP="00396654">
      <w:r w:rsidRPr="00E22B67">
        <w:br w:type="page"/>
      </w:r>
    </w:p>
    <w:p w14:paraId="1AE1915F" w14:textId="77777777" w:rsidR="004942B7" w:rsidRPr="00CF4662" w:rsidRDefault="004942B7" w:rsidP="004942B7">
      <w:pPr>
        <w:rPr>
          <w:b/>
          <w:bCs/>
        </w:rPr>
      </w:pPr>
    </w:p>
    <w:bookmarkStart w:id="70" w:name="_Ref463031021"/>
    <w:bookmarkStart w:id="71" w:name="_Toc490481623"/>
    <w:p w14:paraId="5A92B0FE" w14:textId="5F7827EC" w:rsidR="001B1AEC" w:rsidRDefault="00B36A43" w:rsidP="00396654">
      <w:pPr>
        <w:pStyle w:val="Heading1"/>
      </w:pPr>
      <w:r>
        <w:rPr>
          <w:noProof/>
          <w:lang w:val="en-AU" w:eastAsia="en-AU"/>
        </w:rPr>
        <mc:AlternateContent>
          <mc:Choice Requires="wps">
            <w:drawing>
              <wp:anchor distT="0" distB="0" distL="114300" distR="114300" simplePos="0" relativeHeight="251649024" behindDoc="1" locked="0" layoutInCell="1" allowOverlap="1" wp14:anchorId="0E418DA4" wp14:editId="72F8C956">
                <wp:simplePos x="0" y="0"/>
                <wp:positionH relativeFrom="page">
                  <wp:align>left</wp:align>
                </wp:positionH>
                <wp:positionV relativeFrom="page">
                  <wp:align>top</wp:align>
                </wp:positionV>
                <wp:extent cx="7632065" cy="10763885"/>
                <wp:effectExtent l="0" t="0" r="6985" b="0"/>
                <wp:wrapNone/>
                <wp:docPr id="689" name="Rectangle 4" title="&quot; &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2065" cy="107638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7D0DA" id="Rectangle 4" o:spid="_x0000_s1026" alt="Title: &quot; &quot;" style="position:absolute;margin-left:0;margin-top:0;width:600.95pt;height:847.55pt;z-index:-2516674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OGbrgIAALcFAAAOAAAAZHJzL2Uyb0RvYy54bWysVE1v2zAMvQ/YfxB02G21kyVpmtUpgg4d&#10;BgRt0XboWZWl2JgsqpISJ/v1oyTbzbpih2E5KKL4+PhhkucX+0aRnbCuBl3Q0UlOidAcylpvCvr9&#10;4erjnBLnmS6ZAi0KehCOXizfvztvzUKMoQJVCkuQRLtFawpaeW8WWeZ4JRrmTsAIjUoJtmEeRbvJ&#10;SstaZG9UNs7zWdaCLY0FLpzD1y9JSZeRX0rB/Y2UTniiCoqx+XjaeD6FM1ues8XGMlPVvAuD/UMU&#10;Das1Oh2ovjDPyNbWf1A1NbfgQPoTDk0GUtZcxBwwm1H+Kpv7ihkRc8HiODOUyf0/Wn69u7WkLgs6&#10;m59RolmDH+kOy8b0RgkywZLVXuHbh+ct+M8k/YWytcYt0Pre3NqQuDNr4D8cKrLfNEFwHWYvbROw&#10;mDbZx29wGL6B2HvC8fF09mmcz6aUcNSNchTn82nwl7FFb2+s818FNCRcCmox3Fh8tls7n6A9JIYG&#10;qi6vaqWiEDpLXCpLdgx7wu/HHbk7RikdsBqCVSIMLzGzlExMyx+UCDil74TEImL44xhIbN8XJ4xz&#10;of0oqSpWiuR7muOv996HFRONhIFZov+BuyPokYmk505RdvhgKmL3D8b53wJLxoNF9AzaD8ZNrcG+&#10;RaAwq85zwvdFSqUJVXqC8oAtZiHNnjP8qsbPtmbO3zKLw4ZjiQvE3+AhFbQFhe5GSQX251vvAY8z&#10;gFpKWhzegrrnLbOCEvVN43ScjSaTMO1RmExPxyjYY83TsUZvm0vAXhjhqjI8XgPeq/4qLTSPuGdW&#10;wSuqmObou6Dc21649Gmp4KbiYrWKMJxww/xa3xseyENVQ1s+7B+ZNV3veuz7a+gHnS1etXDCBksN&#10;q60HWcf+fqlrV2/cDrFxuk0W1s+xHFEv+3b5CwAA//8DAFBLAwQUAAYACAAAACEAcIV8ZtwAAAAH&#10;AQAADwAAAGRycy9kb3ducmV2LnhtbEyPQW/CMAyF75P4D5GRdhtpmcZKaYoQUjlO0G3iahqvrdY4&#10;VROg+/cLu4yL9axnvfc5W4+mExcaXGtZQTyLQBBXVrdcK/h4L54SEM4ja+wsk4IfcrDOJw8Zptpe&#10;+UCX0tcihLBLUUHjfZ9K6aqGDLqZ7YmD92UHgz6sQy31gNcQbjo5j6KFNNhyaGiwp21D1Xd5NgqK&#10;4yslh3i/242fz/tEl2++QFLqcTpuViA8jf7/GG74AR3ywHSyZ9ZOdArCI/5v3rx5FC9BnIJaLF9i&#10;kHkm7/nzXwAAAP//AwBQSwECLQAUAAYACAAAACEAtoM4kv4AAADhAQAAEwAAAAAAAAAAAAAAAAAA&#10;AAAAW0NvbnRlbnRfVHlwZXNdLnhtbFBLAQItABQABgAIAAAAIQA4/SH/1gAAAJQBAAALAAAAAAAA&#10;AAAAAAAAAC8BAABfcmVscy8ucmVsc1BLAQItABQABgAIAAAAIQAblOGbrgIAALcFAAAOAAAAAAAA&#10;AAAAAAAAAC4CAABkcnMvZTJvRG9jLnhtbFBLAQItABQABgAIAAAAIQBwhXxm3AAAAAcBAAAPAAAA&#10;AAAAAAAAAAAAAAgFAABkcnMvZG93bnJldi54bWxQSwUGAAAAAAQABADzAAAAEQYAAAAA&#10;" fillcolor="#0079c1 [3215]" stroked="f" strokeweight="2pt">
                <v:path arrowok="t"/>
                <w10:wrap anchorx="page" anchory="page"/>
              </v:rect>
            </w:pict>
          </mc:Fallback>
        </mc:AlternateContent>
      </w:r>
      <w:r w:rsidR="00CF4662">
        <w:t>Implementation</w:t>
      </w:r>
      <w:r w:rsidR="00D2747A">
        <w:t xml:space="preserve"> of IAA</w:t>
      </w:r>
      <w:bookmarkEnd w:id="70"/>
      <w:bookmarkEnd w:id="71"/>
    </w:p>
    <w:p w14:paraId="489CE50D" w14:textId="77777777" w:rsidR="001B1AEC" w:rsidRDefault="001B1AEC" w:rsidP="001B1AEC">
      <w:pPr>
        <w:rPr>
          <w:lang w:eastAsia="en-AU"/>
        </w:rPr>
      </w:pPr>
      <w:r>
        <w:rPr>
          <w:lang w:eastAsia="en-AU"/>
        </w:rPr>
        <w:br w:type="page"/>
      </w:r>
    </w:p>
    <w:p w14:paraId="460C0953" w14:textId="77777777" w:rsidR="00B61E21" w:rsidRPr="00B61E21" w:rsidRDefault="00B61E21" w:rsidP="00396654">
      <w:pPr>
        <w:pStyle w:val="Heading2"/>
      </w:pPr>
      <w:bookmarkStart w:id="72" w:name="_Toc490481624"/>
      <w:r w:rsidRPr="00B61E21">
        <w:lastRenderedPageBreak/>
        <w:t>Introduction</w:t>
      </w:r>
      <w:bookmarkEnd w:id="72"/>
    </w:p>
    <w:p w14:paraId="58E7E316" w14:textId="14687472" w:rsidR="00B43607" w:rsidRPr="00B43607" w:rsidRDefault="00B43607" w:rsidP="00396654">
      <w:pPr>
        <w:pStyle w:val="ParagraphKeep"/>
      </w:pPr>
      <w:r w:rsidRPr="00B43607">
        <w:t xml:space="preserve">This chapter provides an overview of the IAA service implementation to </w:t>
      </w:r>
      <w:r w:rsidR="00A87971">
        <w:t>Augu</w:t>
      </w:r>
      <w:r w:rsidR="00A87971" w:rsidRPr="00513294">
        <w:t xml:space="preserve">st 2016 </w:t>
      </w:r>
      <w:r w:rsidRPr="00513294">
        <w:t>date.</w:t>
      </w:r>
      <w:r w:rsidRPr="00B43607">
        <w:t xml:space="preserve">  Implementation is assessed in terms of the following items listed in the Intercountry Adoption Reform Implementation Plan (Implementation Plan) </w:t>
      </w:r>
      <w:r w:rsidR="00F5093A">
        <w:fldChar w:fldCharType="begin" w:fldLock="1"/>
      </w:r>
      <w:r w:rsidR="00F5093A">
        <w:instrText>ADDIN CSL_CITATION { "citationItems" : [ { "id" : "ITEM-1", "itemData" : { "author" : [ { "dropping-particle" : "", "family" : "Department", "given" : "Australian Government Department of Social Services and Attorney-General's", "non-dropping-particle" : "", "parse-names" : false, "suffix" : "" } ], "id" : "ITEM-1", "issued" : { "date-parts" : [ [ "2015" ] ] }, "publisher-place" : "Canberra", "title" : "Intercountry Adoption Reform: Implementation Plan", "type" : "report" }, "prefix" : "Intercountry Adoption Reform: Implementation Plan", "suppress-author" : 1, "uris" : [ "http://www.mendeley.com/documents/?uuid=c63de2ba-0b90-4802-a065-fb47ac7ca77f" ] } ], "mendeley" : { "formattedCitation" : "(Intercountry Adoption Reform: Implementation Plan 2015)", "plainTextFormattedCitation" : "(Intercountry Adoption Reform: Implementation Plan 2015)", "previouslyFormattedCitation" : "(Intercountry Adoption Reform: Implementation Plan 2015)" }, "properties" : { "noteIndex" : 0 }, "schema" : "https://github.com/citation-style-language/schema/raw/master/csl-citation.json" }</w:instrText>
      </w:r>
      <w:r w:rsidR="00F5093A">
        <w:fldChar w:fldCharType="separate"/>
      </w:r>
      <w:r w:rsidR="00F5093A" w:rsidRPr="006812F2">
        <w:rPr>
          <w:i/>
          <w:noProof/>
        </w:rPr>
        <w:t xml:space="preserve">(Intercountry Adoption Reform: Implementation Plan </w:t>
      </w:r>
      <w:r w:rsidR="00F5093A" w:rsidRPr="006812F2">
        <w:rPr>
          <w:noProof/>
        </w:rPr>
        <w:t>2015)</w:t>
      </w:r>
      <w:r w:rsidR="00F5093A">
        <w:fldChar w:fldCharType="end"/>
      </w:r>
      <w:r w:rsidR="00F5093A">
        <w:t>.</w:t>
      </w:r>
    </w:p>
    <w:p w14:paraId="52FFA6A5" w14:textId="77777777" w:rsidR="00B43607" w:rsidRPr="00B43607" w:rsidRDefault="00B43607" w:rsidP="00396654">
      <w:pPr>
        <w:pStyle w:val="Bullet1"/>
      </w:pPr>
      <w:r w:rsidRPr="00B43607">
        <w:t>Achievements against the milestones/deliverables specified in Tranche 2</w:t>
      </w:r>
    </w:p>
    <w:p w14:paraId="34A8F81C" w14:textId="77777777" w:rsidR="00B43607" w:rsidRPr="00B43607" w:rsidRDefault="00B43607" w:rsidP="00396654">
      <w:pPr>
        <w:pStyle w:val="Bullet1"/>
      </w:pPr>
      <w:r w:rsidRPr="00B43607">
        <w:t xml:space="preserve">Measures of success specific to the new support service. </w:t>
      </w:r>
    </w:p>
    <w:p w14:paraId="514320CA" w14:textId="77777777" w:rsidR="00B43607" w:rsidRPr="00B43607" w:rsidRDefault="00B43607" w:rsidP="00396654">
      <w:pPr>
        <w:pStyle w:val="ParagraphKeep"/>
      </w:pPr>
      <w:r w:rsidRPr="00B43607">
        <w:t>Information for this section is derived from:</w:t>
      </w:r>
    </w:p>
    <w:p w14:paraId="174DBE53" w14:textId="77777777" w:rsidR="00B43607" w:rsidRPr="00B43607" w:rsidRDefault="00B43607" w:rsidP="00396654">
      <w:pPr>
        <w:pStyle w:val="Bullet1"/>
      </w:pPr>
      <w:r w:rsidRPr="00B43607">
        <w:t>Consultations with key internal DSS stakeholders:</w:t>
      </w:r>
    </w:p>
    <w:p w14:paraId="1C8B40EF" w14:textId="2BAE3C47" w:rsidR="00B43607" w:rsidRPr="00B43607" w:rsidRDefault="00B43607" w:rsidP="00396654">
      <w:pPr>
        <w:pStyle w:val="Bullet2"/>
      </w:pPr>
      <w:r w:rsidRPr="00B43607">
        <w:t xml:space="preserve">Eight DSS staff who were part of the policy and implementation team during the planning, implementation and ongoing development of the IAA service were interviewed for this </w:t>
      </w:r>
      <w:r w:rsidR="00FC1C77">
        <w:t>evaluation</w:t>
      </w:r>
    </w:p>
    <w:p w14:paraId="2546CEF1" w14:textId="0A935B3F" w:rsidR="00B43607" w:rsidRPr="00B43607" w:rsidRDefault="00B43607" w:rsidP="00396654">
      <w:pPr>
        <w:pStyle w:val="Bullet2"/>
      </w:pPr>
      <w:r w:rsidRPr="00B43607">
        <w:t>Five social workers who operate the 1800 phone service provide</w:t>
      </w:r>
      <w:r w:rsidR="00BD2823">
        <w:t xml:space="preserve">d input into this evaluation.  </w:t>
      </w:r>
      <w:r w:rsidRPr="00B43607">
        <w:t>Two of the</w:t>
      </w:r>
      <w:r w:rsidR="00E32BD0">
        <w:t xml:space="preserve"> social</w:t>
      </w:r>
      <w:r w:rsidRPr="00B43607">
        <w:t xml:space="preserve"> workers joined IAA in early 2016 while the remainder have been with the service since its inception</w:t>
      </w:r>
    </w:p>
    <w:p w14:paraId="287DBD48" w14:textId="77777777" w:rsidR="00B43607" w:rsidRPr="00B43607" w:rsidRDefault="00B43607" w:rsidP="00396654">
      <w:pPr>
        <w:pStyle w:val="Bullet1"/>
      </w:pPr>
      <w:r w:rsidRPr="00B43607">
        <w:t>Web analytic and IAA client data</w:t>
      </w:r>
    </w:p>
    <w:p w14:paraId="7AD342CD" w14:textId="77777777" w:rsidR="00B43607" w:rsidRPr="00B43607" w:rsidRDefault="00B43607" w:rsidP="00396654">
      <w:pPr>
        <w:pStyle w:val="Bullet1"/>
      </w:pPr>
      <w:r w:rsidRPr="00B43607">
        <w:t>Consultations with targeted service users (survey and in-depth interviews)</w:t>
      </w:r>
    </w:p>
    <w:p w14:paraId="15B6B5E6" w14:textId="0037EB82" w:rsidR="00B43607" w:rsidRPr="00B43607" w:rsidRDefault="00B43607" w:rsidP="00396654">
      <w:pPr>
        <w:pStyle w:val="Bullet1"/>
      </w:pPr>
      <w:r w:rsidRPr="00B43607">
        <w:t>Consultations with external stakeholder</w:t>
      </w:r>
      <w:r w:rsidR="00FC1C77">
        <w:t>s</w:t>
      </w:r>
      <w:r w:rsidRPr="00B43607">
        <w:t xml:space="preserve"> including:</w:t>
      </w:r>
    </w:p>
    <w:p w14:paraId="1D6D031C" w14:textId="77777777" w:rsidR="00B43607" w:rsidRPr="00B43607" w:rsidRDefault="00B43607" w:rsidP="00396654">
      <w:pPr>
        <w:pStyle w:val="Bullet2"/>
      </w:pPr>
      <w:r w:rsidRPr="00B43607">
        <w:t>STCA representatives</w:t>
      </w:r>
    </w:p>
    <w:p w14:paraId="7A1D18BE" w14:textId="77777777" w:rsidR="00B43607" w:rsidRPr="00B43607" w:rsidRDefault="00B43607" w:rsidP="00396654">
      <w:pPr>
        <w:pStyle w:val="Bullet2"/>
      </w:pPr>
      <w:r w:rsidRPr="00B43607">
        <w:t>Commonwealth agencies:</w:t>
      </w:r>
    </w:p>
    <w:p w14:paraId="494B2D7B" w14:textId="77777777" w:rsidR="00B43607" w:rsidRPr="00B43607" w:rsidRDefault="00B43607" w:rsidP="00396654">
      <w:pPr>
        <w:pStyle w:val="Bullet3"/>
      </w:pPr>
      <w:r w:rsidRPr="00B43607">
        <w:t>AGD</w:t>
      </w:r>
    </w:p>
    <w:p w14:paraId="641C9648" w14:textId="77777777" w:rsidR="00B43607" w:rsidRPr="00B43607" w:rsidRDefault="00B43607" w:rsidP="00396654">
      <w:pPr>
        <w:pStyle w:val="Bullet3"/>
      </w:pPr>
      <w:r w:rsidRPr="00B43607">
        <w:t>DFAT</w:t>
      </w:r>
    </w:p>
    <w:p w14:paraId="37BE36C0" w14:textId="77777777" w:rsidR="00B43607" w:rsidRPr="00B43607" w:rsidRDefault="00B43607" w:rsidP="00396654">
      <w:pPr>
        <w:pStyle w:val="Bullet3"/>
      </w:pPr>
      <w:r w:rsidRPr="00B43607">
        <w:t>DIBP</w:t>
      </w:r>
    </w:p>
    <w:p w14:paraId="1747417D" w14:textId="78655444" w:rsidR="00B43607" w:rsidRPr="00B43607" w:rsidRDefault="00555633" w:rsidP="00396654">
      <w:pPr>
        <w:pStyle w:val="Bullet3"/>
      </w:pPr>
      <w:r>
        <w:t>Prime Minister and Cabinet (</w:t>
      </w:r>
      <w:r w:rsidR="00B43607" w:rsidRPr="00B43607">
        <w:t>PM</w:t>
      </w:r>
      <w:r w:rsidR="009043C8">
        <w:t>&amp;</w:t>
      </w:r>
      <w:r w:rsidR="00B43607" w:rsidRPr="00B43607">
        <w:t>C</w:t>
      </w:r>
      <w:r>
        <w:t>).</w:t>
      </w:r>
    </w:p>
    <w:p w14:paraId="75A4B217" w14:textId="69DBAD32" w:rsidR="00B43607" w:rsidRPr="00B43607" w:rsidRDefault="00B43607" w:rsidP="00396654">
      <w:pPr>
        <w:pStyle w:val="Paragraph"/>
      </w:pPr>
      <w:r w:rsidRPr="00B43607">
        <w:t>The chapter concludes with a review of post-implementation service developments (</w:t>
      </w:r>
      <w:r w:rsidRPr="00B43607">
        <w:rPr>
          <w:i/>
          <w:iCs/>
        </w:rPr>
        <w:t xml:space="preserve">Section </w:t>
      </w:r>
      <w:r w:rsidRPr="00B43607">
        <w:rPr>
          <w:i/>
          <w:iCs/>
        </w:rPr>
        <w:fldChar w:fldCharType="begin"/>
      </w:r>
      <w:r w:rsidRPr="00B43607">
        <w:rPr>
          <w:i/>
          <w:iCs/>
        </w:rPr>
        <w:instrText xml:space="preserve"> REF _Ref462897453 \r \h  \* MERGEFORMAT </w:instrText>
      </w:r>
      <w:r w:rsidRPr="00B43607">
        <w:rPr>
          <w:i/>
          <w:iCs/>
        </w:rPr>
      </w:r>
      <w:r w:rsidRPr="00B43607">
        <w:rPr>
          <w:i/>
          <w:iCs/>
        </w:rPr>
        <w:fldChar w:fldCharType="separate"/>
      </w:r>
      <w:r w:rsidR="00487073">
        <w:rPr>
          <w:i/>
          <w:iCs/>
        </w:rPr>
        <w:t>5.4</w:t>
      </w:r>
      <w:r w:rsidRPr="00B43607">
        <w:rPr>
          <w:i/>
          <w:iCs/>
        </w:rPr>
        <w:fldChar w:fldCharType="end"/>
      </w:r>
      <w:r w:rsidRPr="00B43607">
        <w:t>).</w:t>
      </w:r>
    </w:p>
    <w:p w14:paraId="4A51172A" w14:textId="1F6DADDB" w:rsidR="00B43607" w:rsidRPr="00B43607" w:rsidRDefault="00B43607" w:rsidP="00396654">
      <w:pPr>
        <w:pStyle w:val="Heading2"/>
      </w:pPr>
      <w:bookmarkStart w:id="73" w:name="_Ref463012299"/>
      <w:bookmarkStart w:id="74" w:name="_Toc490481625"/>
      <w:r w:rsidRPr="00B43607">
        <w:t xml:space="preserve">Achievements against </w:t>
      </w:r>
      <w:r w:rsidR="008B0955">
        <w:t xml:space="preserve">Reform </w:t>
      </w:r>
      <w:r w:rsidRPr="00B43607">
        <w:t>Implementation Plan milestones and deliverables</w:t>
      </w:r>
      <w:bookmarkEnd w:id="73"/>
      <w:bookmarkEnd w:id="74"/>
    </w:p>
    <w:p w14:paraId="23F28BF0" w14:textId="4DB3806D" w:rsidR="00B43607" w:rsidRPr="00B43607" w:rsidRDefault="00B43607" w:rsidP="00396654">
      <w:pPr>
        <w:pStyle w:val="ParagraphKeep"/>
        <w:rPr>
          <w:lang w:val="en-AU" w:eastAsia="en-AU"/>
        </w:rPr>
      </w:pPr>
      <w:r w:rsidRPr="00B43607">
        <w:rPr>
          <w:lang w:val="en-AU" w:eastAsia="en-AU"/>
        </w:rPr>
        <w:t>Tranc</w:t>
      </w:r>
      <w:r w:rsidR="001631F3">
        <w:rPr>
          <w:lang w:val="en-AU" w:eastAsia="en-AU"/>
        </w:rPr>
        <w:t>h</w:t>
      </w:r>
      <w:r w:rsidRPr="00B43607">
        <w:rPr>
          <w:lang w:val="en-AU" w:eastAsia="en-AU"/>
        </w:rPr>
        <w:t xml:space="preserve">e 2 of the </w:t>
      </w:r>
      <w:r w:rsidR="008B0955">
        <w:rPr>
          <w:lang w:val="en-AU" w:eastAsia="en-AU"/>
        </w:rPr>
        <w:t xml:space="preserve">Reform </w:t>
      </w:r>
      <w:r w:rsidRPr="00B43607">
        <w:rPr>
          <w:lang w:val="en-AU" w:eastAsia="en-AU"/>
        </w:rPr>
        <w:t>Implementation Plan listed a series of milestones and deliverables specifically related to the new IAA service.  These milestones and deliverables were structured under three distinct elements:</w:t>
      </w:r>
    </w:p>
    <w:p w14:paraId="2AEF3C52" w14:textId="77777777" w:rsidR="00B43607" w:rsidRPr="00B43607" w:rsidRDefault="00B43607" w:rsidP="00396654">
      <w:pPr>
        <w:pStyle w:val="Bullet1"/>
      </w:pPr>
      <w:r w:rsidRPr="00B43607">
        <w:t>The 1800 information line</w:t>
      </w:r>
    </w:p>
    <w:p w14:paraId="36E9F03A" w14:textId="77777777" w:rsidR="00B43607" w:rsidRPr="00B43607" w:rsidRDefault="00B43607" w:rsidP="00396654">
      <w:pPr>
        <w:pStyle w:val="Bullet1"/>
      </w:pPr>
      <w:r w:rsidRPr="00B43607">
        <w:t>The IAA website</w:t>
      </w:r>
    </w:p>
    <w:p w14:paraId="47B1C420" w14:textId="338AA565" w:rsidR="00B43607" w:rsidRPr="00B43607" w:rsidRDefault="00CC39E6" w:rsidP="00396654">
      <w:pPr>
        <w:pStyle w:val="Bullet1"/>
      </w:pPr>
      <w:r>
        <w:t>Referral pathways</w:t>
      </w:r>
      <w:r w:rsidR="00F7632B">
        <w:t xml:space="preserve"> from the IAA website</w:t>
      </w:r>
      <w:r>
        <w:t>.</w:t>
      </w:r>
    </w:p>
    <w:p w14:paraId="09BDDE6A" w14:textId="77777777" w:rsidR="00B43607" w:rsidRPr="00B43607" w:rsidRDefault="00B43607" w:rsidP="00396654">
      <w:pPr>
        <w:pStyle w:val="Paragraph"/>
      </w:pPr>
      <w:r w:rsidRPr="00B43607">
        <w:t>Each of these elements is discussed in the following sections.</w:t>
      </w:r>
    </w:p>
    <w:p w14:paraId="540A335E" w14:textId="77777777" w:rsidR="00B43607" w:rsidRPr="00B43607" w:rsidRDefault="00B43607" w:rsidP="009E7FAC">
      <w:pPr>
        <w:pStyle w:val="Heading3"/>
      </w:pPr>
      <w:r w:rsidRPr="00B43607">
        <w:lastRenderedPageBreak/>
        <w:t>1800 information line</w:t>
      </w:r>
    </w:p>
    <w:p w14:paraId="26617318" w14:textId="7B4AF214" w:rsidR="00B43607" w:rsidRPr="00B43607" w:rsidRDefault="00B43607" w:rsidP="00CB376F">
      <w:pPr>
        <w:pStyle w:val="Paragraph"/>
        <w:rPr>
          <w:rFonts w:asciiTheme="minorHAnsi" w:hAnsiTheme="minorHAnsi"/>
        </w:rPr>
      </w:pPr>
      <w:r w:rsidRPr="00B43607">
        <w:rPr>
          <w:rFonts w:asciiTheme="minorHAnsi" w:hAnsiTheme="minorHAnsi"/>
        </w:rPr>
        <w:t xml:space="preserve">The </w:t>
      </w:r>
      <w:r w:rsidR="008B0955">
        <w:rPr>
          <w:rFonts w:asciiTheme="minorHAnsi" w:hAnsiTheme="minorHAnsi"/>
        </w:rPr>
        <w:t xml:space="preserve">Reform </w:t>
      </w:r>
      <w:r w:rsidRPr="00B43607">
        <w:rPr>
          <w:rFonts w:asciiTheme="minorHAnsi" w:hAnsiTheme="minorHAnsi"/>
        </w:rPr>
        <w:t xml:space="preserve">Implementation Plan milestones and deliverables </w:t>
      </w:r>
      <w:r w:rsidR="00F5093A">
        <w:fldChar w:fldCharType="begin" w:fldLock="1"/>
      </w:r>
      <w:r w:rsidR="00F5093A">
        <w:instrText>ADDIN CSL_CITATION { "citationItems" : [ { "id" : "ITEM-1", "itemData" : { "author" : [ { "dropping-particle" : "", "family" : "Department", "given" : "Australian Government Department of Social Services and Attorney-General's", "non-dropping-particle" : "", "parse-names" : false, "suffix" : "" } ], "id" : "ITEM-1", "issued" : { "date-parts" : [ [ "2015" ] ] }, "publisher-place" : "Canberra", "title" : "Intercountry Adoption Reform: Implementation Plan", "type" : "report" }, "prefix" : "Intercountry Adoption Reform: Implementation Plan", "suppress-author" : 1, "uris" : [ "http://www.mendeley.com/documents/?uuid=c63de2ba-0b90-4802-a065-fb47ac7ca77f" ] } ], "mendeley" : { "formattedCitation" : "(Intercountry Adoption Reform: Implementation Plan 2015)", "plainTextFormattedCitation" : "(Intercountry Adoption Reform: Implementation Plan 2015)", "previouslyFormattedCitation" : "(Intercountry Adoption Reform: Implementation Plan 2015)" }, "properties" : { "noteIndex" : 0 }, "schema" : "https://github.com/citation-style-language/schema/raw/master/csl-citation.json" }</w:instrText>
      </w:r>
      <w:r w:rsidR="00F5093A">
        <w:fldChar w:fldCharType="separate"/>
      </w:r>
      <w:r w:rsidR="00F5093A" w:rsidRPr="006812F2">
        <w:rPr>
          <w:i/>
          <w:noProof/>
        </w:rPr>
        <w:t xml:space="preserve">(Intercountry Adoption Reform: Implementation Plan </w:t>
      </w:r>
      <w:r w:rsidR="00F5093A" w:rsidRPr="006812F2">
        <w:rPr>
          <w:noProof/>
        </w:rPr>
        <w:t>2015)</w:t>
      </w:r>
      <w:r w:rsidR="00F5093A">
        <w:fldChar w:fldCharType="end"/>
      </w:r>
      <w:r w:rsidRPr="00B43607">
        <w:t xml:space="preserve"> </w:t>
      </w:r>
      <w:r w:rsidRPr="00B43607">
        <w:rPr>
          <w:rFonts w:asciiTheme="minorHAnsi" w:hAnsiTheme="minorHAnsi"/>
        </w:rPr>
        <w:t xml:space="preserve">applicable to the 1800 information line are listed in </w:t>
      </w:r>
      <w:r w:rsidRPr="00B43607">
        <w:fldChar w:fldCharType="begin"/>
      </w:r>
      <w:r w:rsidRPr="00B43607">
        <w:instrText xml:space="preserve"> REF _Ref462645139 \h  \* MERGEFORMAT </w:instrText>
      </w:r>
      <w:r w:rsidRPr="00B43607">
        <w:fldChar w:fldCharType="separate"/>
      </w:r>
      <w:r w:rsidR="00487073" w:rsidRPr="00487073">
        <w:rPr>
          <w:i/>
          <w:iCs/>
        </w:rPr>
        <w:t>Table 5</w:t>
      </w:r>
      <w:r w:rsidR="00487073" w:rsidRPr="00487073">
        <w:rPr>
          <w:i/>
          <w:iCs/>
        </w:rPr>
        <w:noBreakHyphen/>
        <w:t>1</w:t>
      </w:r>
      <w:r w:rsidRPr="00B43607">
        <w:fldChar w:fldCharType="end"/>
      </w:r>
      <w:r w:rsidR="00CB376F">
        <w:rPr>
          <w:rFonts w:asciiTheme="minorHAnsi" w:hAnsiTheme="minorHAnsi"/>
        </w:rPr>
        <w:t>.</w:t>
      </w:r>
    </w:p>
    <w:p w14:paraId="03892050" w14:textId="622599BD" w:rsidR="00B43607" w:rsidRPr="00B43607" w:rsidRDefault="00B43607" w:rsidP="00CB376F">
      <w:pPr>
        <w:pStyle w:val="Caption"/>
      </w:pPr>
      <w:bookmarkStart w:id="75" w:name="_Ref462645139"/>
      <w:bookmarkStart w:id="76" w:name="_Toc490481651"/>
      <w:r w:rsidRPr="00B43607">
        <w:t xml:space="preserve">Table </w:t>
      </w:r>
      <w:r w:rsidR="00644B63">
        <w:fldChar w:fldCharType="begin"/>
      </w:r>
      <w:r w:rsidR="00644B63">
        <w:instrText xml:space="preserve"> STYLEREF 1 \s </w:instrText>
      </w:r>
      <w:r w:rsidR="00644B63">
        <w:fldChar w:fldCharType="separate"/>
      </w:r>
      <w:r w:rsidR="00487073">
        <w:rPr>
          <w:noProof/>
        </w:rPr>
        <w:t>5</w:t>
      </w:r>
      <w:r w:rsidR="00644B63">
        <w:fldChar w:fldCharType="end"/>
      </w:r>
      <w:r w:rsidR="00644B63">
        <w:noBreakHyphen/>
      </w:r>
      <w:r w:rsidR="00644B63">
        <w:fldChar w:fldCharType="begin"/>
      </w:r>
      <w:r w:rsidR="00644B63">
        <w:instrText xml:space="preserve"> SEQ Table \* ARABIC \s 1 </w:instrText>
      </w:r>
      <w:r w:rsidR="00644B63">
        <w:fldChar w:fldCharType="separate"/>
      </w:r>
      <w:r w:rsidR="00487073">
        <w:rPr>
          <w:noProof/>
        </w:rPr>
        <w:t>1</w:t>
      </w:r>
      <w:r w:rsidR="00644B63">
        <w:fldChar w:fldCharType="end"/>
      </w:r>
      <w:bookmarkEnd w:id="75"/>
      <w:r w:rsidR="00E07D8E">
        <w:t>:</w:t>
      </w:r>
      <w:r w:rsidR="00E07D8E">
        <w:tab/>
      </w:r>
      <w:r w:rsidRPr="00B43607">
        <w:t>Milestones/deliverables applicable to 1800 information line</w:t>
      </w:r>
      <w:bookmarkEnd w:id="76"/>
    </w:p>
    <w:tbl>
      <w:tblPr>
        <w:tblStyle w:val="TableGrid"/>
        <w:tblW w:w="0" w:type="auto"/>
        <w:tblInd w:w="107"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Description w:val="Table 5 1: Milestones/deliverables applicable to 1800 information line"/>
      </w:tblPr>
      <w:tblGrid>
        <w:gridCol w:w="7564"/>
        <w:gridCol w:w="1684"/>
      </w:tblGrid>
      <w:tr w:rsidR="00CB376F" w:rsidRPr="00B43607" w14:paraId="6A3A7F0F" w14:textId="77777777" w:rsidTr="00CB376F">
        <w:trPr>
          <w:tblHeader/>
        </w:trPr>
        <w:tc>
          <w:tcPr>
            <w:tcW w:w="7661" w:type="dxa"/>
            <w:shd w:val="clear" w:color="auto" w:fill="0079C1" w:themeFill="text2"/>
          </w:tcPr>
          <w:p w14:paraId="3EA94034" w14:textId="77777777" w:rsidR="00B43607" w:rsidRPr="00B43607" w:rsidRDefault="00B43607" w:rsidP="00CB376F">
            <w:pPr>
              <w:pStyle w:val="TableHeading1"/>
            </w:pPr>
            <w:r w:rsidRPr="00B43607">
              <w:t>Milestone/deliverable</w:t>
            </w:r>
          </w:p>
        </w:tc>
        <w:tc>
          <w:tcPr>
            <w:tcW w:w="1696" w:type="dxa"/>
            <w:shd w:val="clear" w:color="auto" w:fill="0079C1" w:themeFill="text2"/>
          </w:tcPr>
          <w:p w14:paraId="7E10EBFF" w14:textId="77777777" w:rsidR="00B43607" w:rsidRPr="00B43607" w:rsidRDefault="00B43607" w:rsidP="00CB376F">
            <w:pPr>
              <w:pStyle w:val="TableHeading1Centred"/>
            </w:pPr>
            <w:r w:rsidRPr="00B43607">
              <w:t>Timeline</w:t>
            </w:r>
          </w:p>
        </w:tc>
      </w:tr>
      <w:tr w:rsidR="00CB376F" w:rsidRPr="00B43607" w14:paraId="463E4D0D" w14:textId="77777777" w:rsidTr="00CB376F">
        <w:tc>
          <w:tcPr>
            <w:tcW w:w="7661" w:type="dxa"/>
            <w:shd w:val="clear" w:color="auto" w:fill="auto"/>
          </w:tcPr>
          <w:p w14:paraId="6129522A" w14:textId="2EF6C819" w:rsidR="00B43607" w:rsidRPr="00B43607" w:rsidRDefault="00B43607" w:rsidP="00CB376F">
            <w:pPr>
              <w:pStyle w:val="TableText"/>
            </w:pPr>
            <w:r w:rsidRPr="00B43607">
              <w:t>Develop infrastructure to support the information line, including a SharePoint site containing deta</w:t>
            </w:r>
            <w:r w:rsidR="00316B2B">
              <w:t>iled information to respond to e</w:t>
            </w:r>
            <w:r w:rsidRPr="00B43607">
              <w:t xml:space="preserve">nquiries (‘knowledge base’) and data collection tools </w:t>
            </w:r>
          </w:p>
        </w:tc>
        <w:tc>
          <w:tcPr>
            <w:tcW w:w="1696" w:type="dxa"/>
            <w:shd w:val="clear" w:color="auto" w:fill="auto"/>
          </w:tcPr>
          <w:p w14:paraId="09420ECC" w14:textId="77777777" w:rsidR="00B43607" w:rsidRPr="00B43607" w:rsidRDefault="00B43607" w:rsidP="00CB376F">
            <w:pPr>
              <w:pStyle w:val="TableTextCentred"/>
            </w:pPr>
            <w:r w:rsidRPr="00B43607">
              <w:t xml:space="preserve">Jan–Apr 2015 </w:t>
            </w:r>
          </w:p>
        </w:tc>
      </w:tr>
      <w:tr w:rsidR="00CB376F" w:rsidRPr="00B43607" w14:paraId="71BF6E31" w14:textId="77777777" w:rsidTr="00CB376F">
        <w:tc>
          <w:tcPr>
            <w:tcW w:w="7661" w:type="dxa"/>
            <w:shd w:val="clear" w:color="auto" w:fill="auto"/>
          </w:tcPr>
          <w:p w14:paraId="5F1EB440" w14:textId="77777777" w:rsidR="00B43607" w:rsidRPr="00B43607" w:rsidRDefault="00B43607" w:rsidP="00CB376F">
            <w:pPr>
              <w:pStyle w:val="TableText"/>
            </w:pPr>
            <w:r w:rsidRPr="00B43607">
              <w:t xml:space="preserve">Develop protocols for the information line (e.g. complaints protocols, privacy and disclosure guidelines, retention strategy, business continuity plan) </w:t>
            </w:r>
          </w:p>
        </w:tc>
        <w:tc>
          <w:tcPr>
            <w:tcW w:w="1696" w:type="dxa"/>
            <w:shd w:val="clear" w:color="auto" w:fill="auto"/>
          </w:tcPr>
          <w:p w14:paraId="37F5F4DC" w14:textId="77777777" w:rsidR="00B43607" w:rsidRPr="00B43607" w:rsidRDefault="00B43607" w:rsidP="00CB376F">
            <w:pPr>
              <w:pStyle w:val="TableTextCentred"/>
            </w:pPr>
            <w:r w:rsidRPr="00B43607">
              <w:t>Jan–Apr 2015</w:t>
            </w:r>
          </w:p>
        </w:tc>
      </w:tr>
      <w:tr w:rsidR="00CB376F" w:rsidRPr="00B43607" w14:paraId="098B1BCE" w14:textId="77777777" w:rsidTr="00CB376F">
        <w:tc>
          <w:tcPr>
            <w:tcW w:w="7661" w:type="dxa"/>
            <w:shd w:val="clear" w:color="auto" w:fill="auto"/>
          </w:tcPr>
          <w:p w14:paraId="57F33893" w14:textId="77777777" w:rsidR="00B43607" w:rsidRPr="00B43607" w:rsidRDefault="00B43607" w:rsidP="00CB376F">
            <w:pPr>
              <w:pStyle w:val="TableText"/>
            </w:pPr>
            <w:r w:rsidRPr="00B43607">
              <w:t xml:space="preserve">Develop operational guidelines for the information line, including hours of operation </w:t>
            </w:r>
          </w:p>
        </w:tc>
        <w:tc>
          <w:tcPr>
            <w:tcW w:w="1696" w:type="dxa"/>
            <w:shd w:val="clear" w:color="auto" w:fill="auto"/>
          </w:tcPr>
          <w:p w14:paraId="28CE3319" w14:textId="77777777" w:rsidR="00B43607" w:rsidRPr="00B43607" w:rsidRDefault="00B43607" w:rsidP="00CB376F">
            <w:pPr>
              <w:pStyle w:val="TableTextCentred"/>
            </w:pPr>
            <w:r w:rsidRPr="00B43607">
              <w:t>Mar–Apr 2015</w:t>
            </w:r>
          </w:p>
        </w:tc>
      </w:tr>
      <w:tr w:rsidR="00CB376F" w:rsidRPr="00B43607" w14:paraId="60F4000E" w14:textId="77777777" w:rsidTr="00CB376F">
        <w:tc>
          <w:tcPr>
            <w:tcW w:w="7661" w:type="dxa"/>
            <w:shd w:val="clear" w:color="auto" w:fill="auto"/>
          </w:tcPr>
          <w:p w14:paraId="38B65985" w14:textId="1B6A7273" w:rsidR="00B43607" w:rsidRPr="00B43607" w:rsidRDefault="00B43607" w:rsidP="00CB376F">
            <w:pPr>
              <w:pStyle w:val="TableText"/>
            </w:pPr>
            <w:r w:rsidRPr="00B43607">
              <w:t xml:space="preserve">Develop </w:t>
            </w:r>
            <w:r w:rsidR="00316B2B">
              <w:t xml:space="preserve">a </w:t>
            </w:r>
            <w:r w:rsidRPr="00B43607">
              <w:t xml:space="preserve">privacy approach for the information line, including a pre-recorded privacy message </w:t>
            </w:r>
          </w:p>
        </w:tc>
        <w:tc>
          <w:tcPr>
            <w:tcW w:w="1696" w:type="dxa"/>
            <w:shd w:val="clear" w:color="auto" w:fill="auto"/>
          </w:tcPr>
          <w:p w14:paraId="4695192F" w14:textId="77777777" w:rsidR="00B43607" w:rsidRPr="00B43607" w:rsidRDefault="00B43607" w:rsidP="00CB376F">
            <w:pPr>
              <w:pStyle w:val="TableTextCentred"/>
            </w:pPr>
            <w:r w:rsidRPr="00B43607">
              <w:t>Mar–Apr 2015</w:t>
            </w:r>
          </w:p>
        </w:tc>
      </w:tr>
      <w:tr w:rsidR="00CB376F" w:rsidRPr="00B43607" w14:paraId="587F9DCC" w14:textId="77777777" w:rsidTr="00CB376F">
        <w:tc>
          <w:tcPr>
            <w:tcW w:w="7661" w:type="dxa"/>
            <w:shd w:val="clear" w:color="auto" w:fill="auto"/>
          </w:tcPr>
          <w:p w14:paraId="0BB30D14" w14:textId="77777777" w:rsidR="00B43607" w:rsidRPr="00B43607" w:rsidRDefault="00B43607" w:rsidP="00CB376F">
            <w:pPr>
              <w:pStyle w:val="TableText"/>
            </w:pPr>
            <w:r w:rsidRPr="00B43607">
              <w:t>Recruit qualified social workers</w:t>
            </w:r>
          </w:p>
        </w:tc>
        <w:tc>
          <w:tcPr>
            <w:tcW w:w="1696" w:type="dxa"/>
            <w:shd w:val="clear" w:color="auto" w:fill="auto"/>
          </w:tcPr>
          <w:p w14:paraId="6F0972A2" w14:textId="77777777" w:rsidR="00B43607" w:rsidRPr="00B43607" w:rsidRDefault="00B43607" w:rsidP="00CB376F">
            <w:pPr>
              <w:pStyle w:val="TableTextCentred"/>
            </w:pPr>
            <w:r w:rsidRPr="00B43607">
              <w:t>Feb–Mar 2015</w:t>
            </w:r>
          </w:p>
        </w:tc>
      </w:tr>
      <w:tr w:rsidR="00CB376F" w:rsidRPr="00B43607" w14:paraId="7678F08A" w14:textId="77777777" w:rsidTr="00CB376F">
        <w:tc>
          <w:tcPr>
            <w:tcW w:w="7661" w:type="dxa"/>
            <w:shd w:val="clear" w:color="auto" w:fill="auto"/>
          </w:tcPr>
          <w:p w14:paraId="32D57925" w14:textId="77777777" w:rsidR="00B43607" w:rsidRPr="00B43607" w:rsidRDefault="00B43607" w:rsidP="00CB376F">
            <w:pPr>
              <w:pStyle w:val="TableText"/>
            </w:pPr>
            <w:r w:rsidRPr="00B43607">
              <w:t>Develop a training package for the social workers</w:t>
            </w:r>
          </w:p>
        </w:tc>
        <w:tc>
          <w:tcPr>
            <w:tcW w:w="1696" w:type="dxa"/>
            <w:shd w:val="clear" w:color="auto" w:fill="auto"/>
          </w:tcPr>
          <w:p w14:paraId="429558B5" w14:textId="77777777" w:rsidR="00B43607" w:rsidRPr="00B43607" w:rsidRDefault="00B43607" w:rsidP="00CB376F">
            <w:pPr>
              <w:pStyle w:val="TableTextCentred"/>
            </w:pPr>
            <w:r w:rsidRPr="00B43607">
              <w:t>Mar–Apr 2015</w:t>
            </w:r>
          </w:p>
        </w:tc>
      </w:tr>
      <w:tr w:rsidR="00CB376F" w:rsidRPr="00B43607" w14:paraId="356450BB" w14:textId="77777777" w:rsidTr="00CB376F">
        <w:tc>
          <w:tcPr>
            <w:tcW w:w="7661" w:type="dxa"/>
            <w:shd w:val="clear" w:color="auto" w:fill="auto"/>
          </w:tcPr>
          <w:p w14:paraId="18B0E7B4" w14:textId="77777777" w:rsidR="00B43607" w:rsidRPr="00B43607" w:rsidRDefault="00B43607" w:rsidP="00CB376F">
            <w:pPr>
              <w:pStyle w:val="TableText"/>
            </w:pPr>
            <w:r w:rsidRPr="00B43607">
              <w:t>Train qualified social workers in readiness for delivering the information line</w:t>
            </w:r>
          </w:p>
        </w:tc>
        <w:tc>
          <w:tcPr>
            <w:tcW w:w="1696" w:type="dxa"/>
            <w:shd w:val="clear" w:color="auto" w:fill="auto"/>
          </w:tcPr>
          <w:p w14:paraId="55B5AABF" w14:textId="77777777" w:rsidR="00B43607" w:rsidRPr="00B43607" w:rsidRDefault="00B43607" w:rsidP="00CB376F">
            <w:pPr>
              <w:pStyle w:val="TableTextCentred"/>
            </w:pPr>
            <w:r w:rsidRPr="00B43607">
              <w:t>Mar–Apr 2015</w:t>
            </w:r>
          </w:p>
        </w:tc>
      </w:tr>
      <w:tr w:rsidR="00CB376F" w:rsidRPr="00B43607" w14:paraId="6AC39DED" w14:textId="77777777" w:rsidTr="00CB376F">
        <w:tc>
          <w:tcPr>
            <w:tcW w:w="7661" w:type="dxa"/>
            <w:shd w:val="clear" w:color="auto" w:fill="auto"/>
          </w:tcPr>
          <w:p w14:paraId="6479ECA0" w14:textId="77777777" w:rsidR="00B43607" w:rsidRPr="00B43607" w:rsidRDefault="00B43607" w:rsidP="00CB376F">
            <w:pPr>
              <w:pStyle w:val="TableText"/>
            </w:pPr>
            <w:r w:rsidRPr="00B43607">
              <w:t>Develop scripts for social workers</w:t>
            </w:r>
          </w:p>
        </w:tc>
        <w:tc>
          <w:tcPr>
            <w:tcW w:w="1696" w:type="dxa"/>
            <w:shd w:val="clear" w:color="auto" w:fill="auto"/>
          </w:tcPr>
          <w:p w14:paraId="34779609" w14:textId="77777777" w:rsidR="00B43607" w:rsidRPr="00B43607" w:rsidRDefault="00B43607" w:rsidP="00CB376F">
            <w:pPr>
              <w:pStyle w:val="TableTextCentred"/>
            </w:pPr>
            <w:r w:rsidRPr="00B43607">
              <w:t>Mar–Apr 2015</w:t>
            </w:r>
          </w:p>
        </w:tc>
      </w:tr>
      <w:tr w:rsidR="00CB376F" w:rsidRPr="00B43607" w14:paraId="4C215D50" w14:textId="77777777" w:rsidTr="00CB376F">
        <w:tc>
          <w:tcPr>
            <w:tcW w:w="7661" w:type="dxa"/>
            <w:shd w:val="clear" w:color="auto" w:fill="auto"/>
          </w:tcPr>
          <w:p w14:paraId="6D8E71F3" w14:textId="77777777" w:rsidR="00B43607" w:rsidRPr="00B43607" w:rsidRDefault="00B43607" w:rsidP="00CB376F">
            <w:pPr>
              <w:pStyle w:val="TableText"/>
            </w:pPr>
            <w:r w:rsidRPr="00B43607">
              <w:t>1800 information line operational</w:t>
            </w:r>
          </w:p>
        </w:tc>
        <w:tc>
          <w:tcPr>
            <w:tcW w:w="1696" w:type="dxa"/>
            <w:shd w:val="clear" w:color="auto" w:fill="auto"/>
          </w:tcPr>
          <w:p w14:paraId="0CB663DA" w14:textId="77777777" w:rsidR="00B43607" w:rsidRPr="00B43607" w:rsidRDefault="00B43607" w:rsidP="00CB376F">
            <w:pPr>
              <w:pStyle w:val="TableTextCentred"/>
            </w:pPr>
            <w:r w:rsidRPr="00B43607">
              <w:t>27 April 2015</w:t>
            </w:r>
          </w:p>
        </w:tc>
      </w:tr>
    </w:tbl>
    <w:p w14:paraId="3705ABF7" w14:textId="77777777" w:rsidR="00B43607" w:rsidRPr="00B43607" w:rsidRDefault="00B43607" w:rsidP="00CB376F">
      <w:pPr>
        <w:pStyle w:val="Paragraph"/>
        <w:rPr>
          <w:lang w:val="en-AU" w:eastAsia="en-AU"/>
        </w:rPr>
      </w:pPr>
      <w:r w:rsidRPr="00B43607">
        <w:rPr>
          <w:lang w:val="en-AU" w:eastAsia="en-AU"/>
        </w:rPr>
        <w:t xml:space="preserve">Discussions with internal stakeholders indicated that all milestones/deliverables related to the 1800 information line were delivered within the specified timelines.  </w:t>
      </w:r>
    </w:p>
    <w:p w14:paraId="6FA2FDC4" w14:textId="77777777" w:rsidR="00B43607" w:rsidRPr="00B43607" w:rsidRDefault="00B43607" w:rsidP="00CB376F">
      <w:pPr>
        <w:pStyle w:val="ParagraphKeep"/>
        <w:rPr>
          <w:lang w:val="en-AU" w:eastAsia="en-AU"/>
        </w:rPr>
      </w:pPr>
      <w:r w:rsidRPr="00B43607">
        <w:rPr>
          <w:lang w:val="en-AU" w:eastAsia="en-AU"/>
        </w:rPr>
        <w:t>These milestones/deliverables were achieved despite the following challenges:</w:t>
      </w:r>
    </w:p>
    <w:p w14:paraId="5AEE3CA4" w14:textId="6D06C770" w:rsidR="00B43607" w:rsidRPr="00B43607" w:rsidRDefault="00B43607" w:rsidP="00CB376F">
      <w:pPr>
        <w:pStyle w:val="Bullet1"/>
      </w:pPr>
      <w:r w:rsidRPr="00B43607">
        <w:rPr>
          <w:b/>
          <w:bCs/>
        </w:rPr>
        <w:t>The IAA service being a new model of engagement for DSS</w:t>
      </w:r>
      <w:r w:rsidRPr="00B43607">
        <w:t>.  As internal stakeholders repeatedly highlighted,</w:t>
      </w:r>
      <w:r w:rsidR="00AC49FF">
        <w:t xml:space="preserve"> </w:t>
      </w:r>
      <w:r w:rsidRPr="00B43607">
        <w:rPr>
          <w:i/>
          <w:iCs/>
        </w:rPr>
        <w:t>“delivering a service internally …isn’t our usual core business”</w:t>
      </w:r>
      <w:r w:rsidRPr="00B43607">
        <w:t xml:space="preserve">.  Consequently, the service was </w:t>
      </w:r>
      <w:r w:rsidR="00C74849">
        <w:t>established i</w:t>
      </w:r>
      <w:r w:rsidRPr="00B43607">
        <w:t xml:space="preserve">n an environment where no prior blueprint for delivering a direct client service existed </w:t>
      </w:r>
    </w:p>
    <w:p w14:paraId="009943E9" w14:textId="77777777" w:rsidR="00B43607" w:rsidRPr="00B43607" w:rsidRDefault="00B43607" w:rsidP="00CB376F">
      <w:pPr>
        <w:pStyle w:val="Bullet1"/>
        <w:rPr>
          <w:lang w:val="en-AU"/>
        </w:rPr>
      </w:pPr>
      <w:r w:rsidRPr="00B43607">
        <w:rPr>
          <w:b/>
          <w:bCs/>
        </w:rPr>
        <w:t>The restricted timeframes imposed</w:t>
      </w:r>
      <w:r w:rsidRPr="00B43607">
        <w:t>.  The team was allocated only six months to establish the service.  During this time, they successfully managed to:</w:t>
      </w:r>
    </w:p>
    <w:p w14:paraId="12CEFD71" w14:textId="77777777" w:rsidR="00B43607" w:rsidRPr="00B43607" w:rsidRDefault="00B43607" w:rsidP="00CC39E6">
      <w:pPr>
        <w:pStyle w:val="Bullet2"/>
        <w:rPr>
          <w:lang w:val="en-AU"/>
        </w:rPr>
      </w:pPr>
      <w:r w:rsidRPr="00B43607">
        <w:rPr>
          <w:lang w:val="en-AU"/>
        </w:rPr>
        <w:t>Recruit and train staff</w:t>
      </w:r>
    </w:p>
    <w:p w14:paraId="29DD8995" w14:textId="77777777" w:rsidR="00B43607" w:rsidRPr="00B43607" w:rsidRDefault="00B43607" w:rsidP="00CC39E6">
      <w:pPr>
        <w:pStyle w:val="Bullet2"/>
        <w:rPr>
          <w:lang w:val="en-AU"/>
        </w:rPr>
      </w:pPr>
      <w:r w:rsidRPr="00B43607">
        <w:rPr>
          <w:lang w:val="en-AU"/>
        </w:rPr>
        <w:t>Establish the necessary infrastructure</w:t>
      </w:r>
    </w:p>
    <w:p w14:paraId="32F3DA94" w14:textId="412E1D63" w:rsidR="00B43607" w:rsidRPr="00B43607" w:rsidRDefault="00B43607" w:rsidP="00CC39E6">
      <w:pPr>
        <w:pStyle w:val="Bullet2"/>
      </w:pPr>
      <w:r w:rsidRPr="00B43607">
        <w:rPr>
          <w:lang w:val="en-AU"/>
        </w:rPr>
        <w:t xml:space="preserve">Develop </w:t>
      </w:r>
      <w:r w:rsidRPr="00B43607">
        <w:t>systems, operational guidelines, policies</w:t>
      </w:r>
      <w:r w:rsidR="00F31E0D">
        <w:t xml:space="preserve"> and response protocols.</w:t>
      </w:r>
    </w:p>
    <w:tbl>
      <w:tblPr>
        <w:tblStyle w:val="TableGrid"/>
        <w:tblW w:w="0" w:type="auto"/>
        <w:tblInd w:w="108" w:type="dxa"/>
        <w:tblBorders>
          <w:top w:val="single" w:sz="4" w:space="0" w:color="0079C1" w:themeColor="text2"/>
          <w:left w:val="single" w:sz="4" w:space="0" w:color="0079C1" w:themeColor="text2"/>
          <w:bottom w:val="single" w:sz="4" w:space="0" w:color="0079C1" w:themeColor="text2"/>
          <w:right w:val="single" w:sz="4" w:space="0" w:color="0079C1" w:themeColor="text2"/>
          <w:insideH w:val="none" w:sz="0" w:space="0" w:color="auto"/>
          <w:insideV w:val="none" w:sz="0" w:space="0" w:color="auto"/>
        </w:tblBorders>
        <w:shd w:val="clear" w:color="auto" w:fill="E2F4FF" w:themeFill="accent1" w:themeFillTint="33"/>
        <w:tblLook w:val="04A0" w:firstRow="1" w:lastRow="0" w:firstColumn="1" w:lastColumn="0" w:noHBand="0" w:noVBand="1"/>
        <w:tblCaption w:val="Key finding:"/>
        <w:tblDescription w:val="Key finding:&#10;All milestones/deliverables related to the 1800 information line were successfully delivered &#10;"/>
      </w:tblPr>
      <w:tblGrid>
        <w:gridCol w:w="9237"/>
      </w:tblGrid>
      <w:tr w:rsidR="00B43607" w:rsidRPr="00B43607" w14:paraId="5BA2C068" w14:textId="77777777" w:rsidTr="008E7495">
        <w:trPr>
          <w:tblHeader/>
        </w:trPr>
        <w:tc>
          <w:tcPr>
            <w:tcW w:w="9353" w:type="dxa"/>
            <w:shd w:val="clear" w:color="auto" w:fill="E2F4FF" w:themeFill="accent1" w:themeFillTint="33"/>
          </w:tcPr>
          <w:p w14:paraId="50153FDC" w14:textId="06E7BA7F" w:rsidR="00B43607" w:rsidRPr="008A1452" w:rsidRDefault="00FC1C77" w:rsidP="006767C1">
            <w:pPr>
              <w:pStyle w:val="Heading4"/>
              <w:outlineLvl w:val="3"/>
              <w:rPr>
                <w:color w:val="auto"/>
                <w:lang w:val="en-AU"/>
              </w:rPr>
            </w:pPr>
            <w:r w:rsidRPr="008A1452">
              <w:rPr>
                <w:color w:val="auto"/>
                <w:lang w:val="en-AU"/>
              </w:rPr>
              <w:t>Key finding</w:t>
            </w:r>
            <w:r w:rsidR="00B43607" w:rsidRPr="008A1452">
              <w:rPr>
                <w:color w:val="auto"/>
                <w:lang w:val="en-AU"/>
              </w:rPr>
              <w:t>:</w:t>
            </w:r>
          </w:p>
          <w:p w14:paraId="5A3FC62E" w14:textId="66E413B8" w:rsidR="00B43607" w:rsidRPr="00B43607" w:rsidRDefault="00B43607" w:rsidP="00D2747A">
            <w:pPr>
              <w:pStyle w:val="Bullet1"/>
              <w:rPr>
                <w:lang w:val="en-AU"/>
              </w:rPr>
            </w:pPr>
            <w:r w:rsidRPr="00B43607">
              <w:rPr>
                <w:lang w:val="en-AU"/>
              </w:rPr>
              <w:t xml:space="preserve">All milestones/deliverables related to the 1800 information line were successfully delivered </w:t>
            </w:r>
          </w:p>
        </w:tc>
      </w:tr>
    </w:tbl>
    <w:p w14:paraId="3927440E" w14:textId="77777777" w:rsidR="002F39DE" w:rsidRDefault="002F39DE" w:rsidP="002F39DE"/>
    <w:p w14:paraId="0708BD9C" w14:textId="77777777" w:rsidR="00B43607" w:rsidRPr="00B43607" w:rsidRDefault="00B43607" w:rsidP="00CC39E6">
      <w:pPr>
        <w:pStyle w:val="Heading3"/>
      </w:pPr>
      <w:r w:rsidRPr="00B43607">
        <w:lastRenderedPageBreak/>
        <w:t>IAA website</w:t>
      </w:r>
    </w:p>
    <w:p w14:paraId="755EC816" w14:textId="58C8F22F" w:rsidR="00B43607" w:rsidRPr="00B43607" w:rsidRDefault="00B43607" w:rsidP="006767C1">
      <w:pPr>
        <w:pStyle w:val="Paragraph"/>
        <w:rPr>
          <w:rFonts w:asciiTheme="minorHAnsi" w:hAnsiTheme="minorHAnsi"/>
        </w:rPr>
      </w:pPr>
      <w:r w:rsidRPr="00B43607">
        <w:rPr>
          <w:rFonts w:asciiTheme="minorHAnsi" w:hAnsiTheme="minorHAnsi"/>
        </w:rPr>
        <w:t xml:space="preserve">The </w:t>
      </w:r>
      <w:r w:rsidR="008B0955">
        <w:t>Reform</w:t>
      </w:r>
      <w:r w:rsidR="008B0955" w:rsidRPr="00B43607">
        <w:rPr>
          <w:rFonts w:asciiTheme="minorHAnsi" w:hAnsiTheme="minorHAnsi"/>
        </w:rPr>
        <w:t xml:space="preserve"> </w:t>
      </w:r>
      <w:r w:rsidRPr="00B43607">
        <w:rPr>
          <w:rFonts w:asciiTheme="minorHAnsi" w:hAnsiTheme="minorHAnsi"/>
        </w:rPr>
        <w:t xml:space="preserve">Implementation Plan milestones and deliverables </w:t>
      </w:r>
      <w:r w:rsidR="00F5093A">
        <w:fldChar w:fldCharType="begin" w:fldLock="1"/>
      </w:r>
      <w:r w:rsidR="00F5093A">
        <w:instrText>ADDIN CSL_CITATION { "citationItems" : [ { "id" : "ITEM-1", "itemData" : { "author" : [ { "dropping-particle" : "", "family" : "Department", "given" : "Australian Government Department of Social Services and Attorney-General's", "non-dropping-particle" : "", "parse-names" : false, "suffix" : "" } ], "id" : "ITEM-1", "issued" : { "date-parts" : [ [ "2015" ] ] }, "publisher-place" : "Canberra", "title" : "Intercountry Adoption Reform: Implementation Plan", "type" : "report" }, "prefix" : "Intercountry Adoption Reform: Implementation Plan", "suppress-author" : 1, "uris" : [ "http://www.mendeley.com/documents/?uuid=c63de2ba-0b90-4802-a065-fb47ac7ca77f" ] } ], "mendeley" : { "formattedCitation" : "(Intercountry Adoption Reform: Implementation Plan 2015)", "plainTextFormattedCitation" : "(Intercountry Adoption Reform: Implementation Plan 2015)", "previouslyFormattedCitation" : "(Intercountry Adoption Reform: Implementation Plan 2015)" }, "properties" : { "noteIndex" : 0 }, "schema" : "https://github.com/citation-style-language/schema/raw/master/csl-citation.json" }</w:instrText>
      </w:r>
      <w:r w:rsidR="00F5093A">
        <w:fldChar w:fldCharType="separate"/>
      </w:r>
      <w:r w:rsidR="00F5093A" w:rsidRPr="006812F2">
        <w:rPr>
          <w:i/>
          <w:noProof/>
        </w:rPr>
        <w:t xml:space="preserve">(Intercountry Adoption Reform: Implementation Plan </w:t>
      </w:r>
      <w:r w:rsidR="00F5093A" w:rsidRPr="006812F2">
        <w:rPr>
          <w:noProof/>
        </w:rPr>
        <w:t>2015)</w:t>
      </w:r>
      <w:r w:rsidR="00F5093A">
        <w:fldChar w:fldCharType="end"/>
      </w:r>
      <w:r w:rsidR="00316B2B">
        <w:t xml:space="preserve"> </w:t>
      </w:r>
      <w:r w:rsidRPr="00B43607">
        <w:rPr>
          <w:rFonts w:asciiTheme="minorHAnsi" w:hAnsiTheme="minorHAnsi"/>
        </w:rPr>
        <w:t xml:space="preserve">applicable to the IAA website are listed in </w:t>
      </w:r>
      <w:r w:rsidRPr="00B43607">
        <w:fldChar w:fldCharType="begin"/>
      </w:r>
      <w:r w:rsidRPr="00B43607">
        <w:instrText xml:space="preserve"> REF _Ref462585831 \h  \* MERGEFORMAT </w:instrText>
      </w:r>
      <w:r w:rsidRPr="00B43607">
        <w:fldChar w:fldCharType="separate"/>
      </w:r>
      <w:r w:rsidR="00487073" w:rsidRPr="00487073">
        <w:rPr>
          <w:i/>
        </w:rPr>
        <w:t>Table 5</w:t>
      </w:r>
      <w:r w:rsidR="00487073" w:rsidRPr="00487073">
        <w:rPr>
          <w:i/>
        </w:rPr>
        <w:noBreakHyphen/>
        <w:t>2</w:t>
      </w:r>
      <w:r w:rsidRPr="00B43607">
        <w:fldChar w:fldCharType="end"/>
      </w:r>
      <w:r w:rsidR="00F31E0D">
        <w:rPr>
          <w:rFonts w:asciiTheme="minorHAnsi" w:hAnsiTheme="minorHAnsi"/>
        </w:rPr>
        <w:t>.</w:t>
      </w:r>
    </w:p>
    <w:p w14:paraId="502ED998" w14:textId="0E329344" w:rsidR="00B43607" w:rsidRPr="00B43607" w:rsidRDefault="00B43607" w:rsidP="00F31E0D">
      <w:pPr>
        <w:pStyle w:val="Caption"/>
      </w:pPr>
      <w:bookmarkStart w:id="77" w:name="_Ref462585831"/>
      <w:bookmarkStart w:id="78" w:name="_Ref462585826"/>
      <w:bookmarkStart w:id="79" w:name="_Toc490481652"/>
      <w:r w:rsidRPr="00B43607">
        <w:t xml:space="preserve">Table </w:t>
      </w:r>
      <w:r w:rsidR="00644B63">
        <w:fldChar w:fldCharType="begin"/>
      </w:r>
      <w:r w:rsidR="00644B63">
        <w:instrText xml:space="preserve"> STYLEREF 1 \s </w:instrText>
      </w:r>
      <w:r w:rsidR="00644B63">
        <w:fldChar w:fldCharType="separate"/>
      </w:r>
      <w:r w:rsidR="00487073">
        <w:rPr>
          <w:noProof/>
        </w:rPr>
        <w:t>5</w:t>
      </w:r>
      <w:r w:rsidR="00644B63">
        <w:fldChar w:fldCharType="end"/>
      </w:r>
      <w:r w:rsidR="00644B63">
        <w:noBreakHyphen/>
      </w:r>
      <w:r w:rsidR="00644B63">
        <w:fldChar w:fldCharType="begin"/>
      </w:r>
      <w:r w:rsidR="00644B63">
        <w:instrText xml:space="preserve"> SEQ Table \* ARABIC \s 1 </w:instrText>
      </w:r>
      <w:r w:rsidR="00644B63">
        <w:fldChar w:fldCharType="separate"/>
      </w:r>
      <w:r w:rsidR="00487073">
        <w:rPr>
          <w:noProof/>
        </w:rPr>
        <w:t>2</w:t>
      </w:r>
      <w:r w:rsidR="00644B63">
        <w:fldChar w:fldCharType="end"/>
      </w:r>
      <w:bookmarkEnd w:id="77"/>
      <w:r w:rsidR="00F31E0D">
        <w:t>:</w:t>
      </w:r>
      <w:r w:rsidR="00F31E0D">
        <w:tab/>
      </w:r>
      <w:r w:rsidRPr="00B43607">
        <w:t>Milestones/deliverables applicable to IAA website</w:t>
      </w:r>
      <w:bookmarkEnd w:id="78"/>
      <w:bookmarkEnd w:id="79"/>
      <w:r w:rsidRPr="00B43607">
        <w:t xml:space="preserve"> </w:t>
      </w:r>
    </w:p>
    <w:tbl>
      <w:tblPr>
        <w:tblStyle w:val="TableGrid"/>
        <w:tblW w:w="9391" w:type="dxa"/>
        <w:tblInd w:w="113"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Description w:val="Table 5 2: Milestones/deliverables applicable to IAA website "/>
      </w:tblPr>
      <w:tblGrid>
        <w:gridCol w:w="7839"/>
        <w:gridCol w:w="1552"/>
      </w:tblGrid>
      <w:tr w:rsidR="00F31E0D" w:rsidRPr="00B43607" w14:paraId="2041D899" w14:textId="77777777" w:rsidTr="00F31E0D">
        <w:trPr>
          <w:tblHeader/>
        </w:trPr>
        <w:tc>
          <w:tcPr>
            <w:tcW w:w="7839" w:type="dxa"/>
            <w:shd w:val="clear" w:color="auto" w:fill="0079C1" w:themeFill="text2"/>
          </w:tcPr>
          <w:p w14:paraId="305E81BF" w14:textId="77777777" w:rsidR="00B43607" w:rsidRPr="00B43607" w:rsidRDefault="00B43607" w:rsidP="00CC39E6">
            <w:pPr>
              <w:pStyle w:val="TableHeading1"/>
            </w:pPr>
            <w:r w:rsidRPr="00B43607">
              <w:t>Milestone/deliverable</w:t>
            </w:r>
          </w:p>
        </w:tc>
        <w:tc>
          <w:tcPr>
            <w:tcW w:w="1552" w:type="dxa"/>
            <w:shd w:val="clear" w:color="auto" w:fill="0079C1" w:themeFill="text2"/>
          </w:tcPr>
          <w:p w14:paraId="34A45AF2" w14:textId="77777777" w:rsidR="00B43607" w:rsidRPr="00B43607" w:rsidRDefault="00B43607" w:rsidP="00DD0CFC">
            <w:pPr>
              <w:pStyle w:val="TableHeading1Centred"/>
            </w:pPr>
            <w:r w:rsidRPr="00B43607">
              <w:t>Timeline</w:t>
            </w:r>
          </w:p>
        </w:tc>
      </w:tr>
      <w:tr w:rsidR="00F31E0D" w:rsidRPr="00B43607" w14:paraId="2F050A4C" w14:textId="77777777" w:rsidTr="00F31E0D">
        <w:tc>
          <w:tcPr>
            <w:tcW w:w="7839" w:type="dxa"/>
            <w:shd w:val="clear" w:color="auto" w:fill="auto"/>
          </w:tcPr>
          <w:p w14:paraId="191F2187" w14:textId="77777777" w:rsidR="00B43607" w:rsidRPr="00B43607" w:rsidRDefault="00B43607" w:rsidP="00F31E0D">
            <w:pPr>
              <w:pStyle w:val="TableText"/>
            </w:pPr>
            <w:r w:rsidRPr="00B43607">
              <w:t>Engage external provider to develop website concept and structure, and undertake user testing</w:t>
            </w:r>
          </w:p>
        </w:tc>
        <w:tc>
          <w:tcPr>
            <w:tcW w:w="1552" w:type="dxa"/>
            <w:shd w:val="clear" w:color="auto" w:fill="auto"/>
          </w:tcPr>
          <w:p w14:paraId="5A55F782" w14:textId="2313D794" w:rsidR="00B43607" w:rsidRPr="00B43607" w:rsidRDefault="00B43607" w:rsidP="00F31E0D">
            <w:pPr>
              <w:pStyle w:val="TableTextCentred"/>
            </w:pPr>
            <w:r w:rsidRPr="00B43607">
              <w:t>Feb-Mar 2015</w:t>
            </w:r>
          </w:p>
        </w:tc>
      </w:tr>
      <w:tr w:rsidR="00F31E0D" w:rsidRPr="00B43607" w14:paraId="41E2B452" w14:textId="77777777" w:rsidTr="00F31E0D">
        <w:tc>
          <w:tcPr>
            <w:tcW w:w="7839" w:type="dxa"/>
            <w:shd w:val="clear" w:color="auto" w:fill="auto"/>
          </w:tcPr>
          <w:p w14:paraId="6F68D7CE" w14:textId="77777777" w:rsidR="00B43607" w:rsidRPr="00B43607" w:rsidRDefault="00B43607" w:rsidP="00F31E0D">
            <w:pPr>
              <w:pStyle w:val="TableText"/>
            </w:pPr>
            <w:r w:rsidRPr="00B43607">
              <w:t xml:space="preserve">Identify website links and develop/collate content for the website </w:t>
            </w:r>
          </w:p>
        </w:tc>
        <w:tc>
          <w:tcPr>
            <w:tcW w:w="1552" w:type="dxa"/>
            <w:shd w:val="clear" w:color="auto" w:fill="auto"/>
          </w:tcPr>
          <w:p w14:paraId="242BDDA4" w14:textId="77777777" w:rsidR="00B43607" w:rsidRPr="00B43607" w:rsidRDefault="00B43607" w:rsidP="00DD0CFC">
            <w:pPr>
              <w:pStyle w:val="TableTextCentred"/>
            </w:pPr>
            <w:r w:rsidRPr="00B43607">
              <w:t>Feb–Apr 2015</w:t>
            </w:r>
          </w:p>
        </w:tc>
      </w:tr>
      <w:tr w:rsidR="00F31E0D" w:rsidRPr="00B43607" w14:paraId="3FF69E03" w14:textId="77777777" w:rsidTr="00F31E0D">
        <w:tc>
          <w:tcPr>
            <w:tcW w:w="7839" w:type="dxa"/>
            <w:shd w:val="clear" w:color="auto" w:fill="auto"/>
          </w:tcPr>
          <w:p w14:paraId="312C7C2A" w14:textId="77777777" w:rsidR="00B43607" w:rsidRPr="00B43607" w:rsidRDefault="00B43607" w:rsidP="00F31E0D">
            <w:pPr>
              <w:pStyle w:val="TableText"/>
            </w:pPr>
            <w:r w:rsidRPr="00B43607">
              <w:t>Finalise website concept and design based on user testing</w:t>
            </w:r>
          </w:p>
        </w:tc>
        <w:tc>
          <w:tcPr>
            <w:tcW w:w="1552" w:type="dxa"/>
            <w:shd w:val="clear" w:color="auto" w:fill="auto"/>
          </w:tcPr>
          <w:p w14:paraId="12A430F3" w14:textId="77777777" w:rsidR="00B43607" w:rsidRPr="00B43607" w:rsidRDefault="00B43607" w:rsidP="00DD0CFC">
            <w:pPr>
              <w:pStyle w:val="TableTextCentred"/>
            </w:pPr>
            <w:r w:rsidRPr="00B43607">
              <w:t>Mar 2015</w:t>
            </w:r>
          </w:p>
        </w:tc>
      </w:tr>
      <w:tr w:rsidR="00F31E0D" w:rsidRPr="00B43607" w14:paraId="627FC485" w14:textId="77777777" w:rsidTr="00F31E0D">
        <w:tc>
          <w:tcPr>
            <w:tcW w:w="7839" w:type="dxa"/>
            <w:shd w:val="clear" w:color="auto" w:fill="auto"/>
          </w:tcPr>
          <w:p w14:paraId="7318BAB8" w14:textId="77777777" w:rsidR="00B43607" w:rsidRPr="00B43607" w:rsidRDefault="00B43607" w:rsidP="00F31E0D">
            <w:pPr>
              <w:pStyle w:val="TableText"/>
            </w:pPr>
            <w:r w:rsidRPr="00B43607">
              <w:t xml:space="preserve">Develop protocols for the website (e.g. privacy and information and complaints protocols) </w:t>
            </w:r>
          </w:p>
        </w:tc>
        <w:tc>
          <w:tcPr>
            <w:tcW w:w="1552" w:type="dxa"/>
            <w:shd w:val="clear" w:color="auto" w:fill="auto"/>
          </w:tcPr>
          <w:p w14:paraId="16C018B0" w14:textId="77777777" w:rsidR="00B43607" w:rsidRPr="00B43607" w:rsidRDefault="00B43607" w:rsidP="00DD0CFC">
            <w:pPr>
              <w:pStyle w:val="TableTextCentred"/>
            </w:pPr>
            <w:r w:rsidRPr="00B43607">
              <w:t>Mar–Apr 2015</w:t>
            </w:r>
          </w:p>
        </w:tc>
      </w:tr>
      <w:tr w:rsidR="00F31E0D" w:rsidRPr="00B43607" w14:paraId="0A883205" w14:textId="77777777" w:rsidTr="00F31E0D">
        <w:tc>
          <w:tcPr>
            <w:tcW w:w="7839" w:type="dxa"/>
            <w:shd w:val="clear" w:color="auto" w:fill="auto"/>
          </w:tcPr>
          <w:p w14:paraId="5AA2FF14" w14:textId="77777777" w:rsidR="00B43607" w:rsidRPr="00B43607" w:rsidRDefault="00B43607" w:rsidP="00F31E0D">
            <w:pPr>
              <w:pStyle w:val="TableText"/>
            </w:pPr>
            <w:r w:rsidRPr="00B43607">
              <w:t xml:space="preserve">Establish a website address </w:t>
            </w:r>
          </w:p>
        </w:tc>
        <w:tc>
          <w:tcPr>
            <w:tcW w:w="1552" w:type="dxa"/>
            <w:shd w:val="clear" w:color="auto" w:fill="auto"/>
          </w:tcPr>
          <w:p w14:paraId="3A207729" w14:textId="77777777" w:rsidR="00B43607" w:rsidRPr="00B43607" w:rsidRDefault="00B43607" w:rsidP="00DD0CFC">
            <w:pPr>
              <w:pStyle w:val="TableTextCentred"/>
            </w:pPr>
            <w:r w:rsidRPr="00B43607">
              <w:t>Apr 2015</w:t>
            </w:r>
          </w:p>
        </w:tc>
      </w:tr>
      <w:tr w:rsidR="00F31E0D" w:rsidRPr="00B43607" w14:paraId="0A30F764" w14:textId="77777777" w:rsidTr="00F31E0D">
        <w:tc>
          <w:tcPr>
            <w:tcW w:w="7839" w:type="dxa"/>
            <w:shd w:val="clear" w:color="auto" w:fill="auto"/>
          </w:tcPr>
          <w:p w14:paraId="25F3A04B" w14:textId="77777777" w:rsidR="00B43607" w:rsidRPr="00B43607" w:rsidRDefault="00B43607" w:rsidP="00F31E0D">
            <w:pPr>
              <w:pStyle w:val="TableText"/>
            </w:pPr>
            <w:r w:rsidRPr="00B43607">
              <w:t xml:space="preserve">Transfer content from AGD website to the new website </w:t>
            </w:r>
          </w:p>
        </w:tc>
        <w:tc>
          <w:tcPr>
            <w:tcW w:w="1552" w:type="dxa"/>
            <w:shd w:val="clear" w:color="auto" w:fill="auto"/>
          </w:tcPr>
          <w:p w14:paraId="0E5912C0" w14:textId="77777777" w:rsidR="00B43607" w:rsidRPr="00B43607" w:rsidRDefault="00B43607" w:rsidP="00DD0CFC">
            <w:pPr>
              <w:pStyle w:val="TableTextCentred"/>
            </w:pPr>
            <w:r w:rsidRPr="00B43607">
              <w:t>Mar–Apr 2015</w:t>
            </w:r>
          </w:p>
        </w:tc>
      </w:tr>
      <w:tr w:rsidR="00F31E0D" w:rsidRPr="00B43607" w14:paraId="2B5C1BB3" w14:textId="77777777" w:rsidTr="00F31E0D">
        <w:tc>
          <w:tcPr>
            <w:tcW w:w="7839" w:type="dxa"/>
            <w:shd w:val="clear" w:color="auto" w:fill="auto"/>
          </w:tcPr>
          <w:p w14:paraId="138F6E2E" w14:textId="77777777" w:rsidR="00B43607" w:rsidRPr="00B43607" w:rsidRDefault="00B43607" w:rsidP="00F31E0D">
            <w:pPr>
              <w:pStyle w:val="TableText"/>
            </w:pPr>
            <w:r w:rsidRPr="00B43607">
              <w:t xml:space="preserve">Upload all content and links onto the website in readiness for launch </w:t>
            </w:r>
          </w:p>
        </w:tc>
        <w:tc>
          <w:tcPr>
            <w:tcW w:w="1552" w:type="dxa"/>
            <w:shd w:val="clear" w:color="auto" w:fill="auto"/>
          </w:tcPr>
          <w:p w14:paraId="00828CB1" w14:textId="77777777" w:rsidR="00B43607" w:rsidRPr="00B43607" w:rsidRDefault="00B43607" w:rsidP="00DD0CFC">
            <w:pPr>
              <w:pStyle w:val="TableTextCentred"/>
            </w:pPr>
            <w:r w:rsidRPr="00B43607">
              <w:t>Apr 2015</w:t>
            </w:r>
          </w:p>
        </w:tc>
      </w:tr>
      <w:tr w:rsidR="00F31E0D" w:rsidRPr="00B43607" w14:paraId="6D481CA7" w14:textId="77777777" w:rsidTr="00F31E0D">
        <w:tc>
          <w:tcPr>
            <w:tcW w:w="7839" w:type="dxa"/>
            <w:shd w:val="clear" w:color="auto" w:fill="auto"/>
          </w:tcPr>
          <w:p w14:paraId="079F5AC1" w14:textId="77777777" w:rsidR="00B43607" w:rsidRPr="00B43607" w:rsidRDefault="00B43607" w:rsidP="00F31E0D">
            <w:pPr>
              <w:pStyle w:val="TableText"/>
            </w:pPr>
            <w:r w:rsidRPr="00B43607">
              <w:t xml:space="preserve">Website operational </w:t>
            </w:r>
          </w:p>
        </w:tc>
        <w:tc>
          <w:tcPr>
            <w:tcW w:w="1552" w:type="dxa"/>
            <w:shd w:val="clear" w:color="auto" w:fill="auto"/>
          </w:tcPr>
          <w:p w14:paraId="076949FD" w14:textId="77777777" w:rsidR="00B43607" w:rsidRPr="00B43607" w:rsidRDefault="00B43607" w:rsidP="00DD0CFC">
            <w:pPr>
              <w:pStyle w:val="TableTextCentred"/>
            </w:pPr>
            <w:r w:rsidRPr="00B43607">
              <w:t>27 April 2015</w:t>
            </w:r>
          </w:p>
        </w:tc>
      </w:tr>
    </w:tbl>
    <w:p w14:paraId="465F69A2" w14:textId="33DC049D" w:rsidR="00C8090B" w:rsidRDefault="00B43607" w:rsidP="00555633">
      <w:pPr>
        <w:pStyle w:val="Paragraph"/>
        <w:rPr>
          <w:i/>
          <w:iCs/>
        </w:rPr>
      </w:pPr>
      <w:r w:rsidRPr="00B43607">
        <w:t xml:space="preserve">Stakeholder consultations confirmed that the milestones and deliverables listed in </w:t>
      </w:r>
      <w:r w:rsidRPr="00B43607">
        <w:fldChar w:fldCharType="begin"/>
      </w:r>
      <w:r w:rsidRPr="00B43607">
        <w:instrText xml:space="preserve"> REF _Ref462585831 \h  \* MERGEFORMAT </w:instrText>
      </w:r>
      <w:r w:rsidRPr="00B43607">
        <w:fldChar w:fldCharType="separate"/>
      </w:r>
      <w:r w:rsidR="00487073" w:rsidRPr="00487073">
        <w:rPr>
          <w:i/>
          <w:iCs/>
        </w:rPr>
        <w:t>Table 5</w:t>
      </w:r>
      <w:r w:rsidR="00487073" w:rsidRPr="00487073">
        <w:rPr>
          <w:i/>
          <w:iCs/>
        </w:rPr>
        <w:noBreakHyphen/>
        <w:t>2</w:t>
      </w:r>
      <w:r w:rsidRPr="00B43607">
        <w:fldChar w:fldCharType="end"/>
      </w:r>
      <w:r w:rsidRPr="00B43607">
        <w:rPr>
          <w:i/>
          <w:iCs/>
        </w:rPr>
        <w:t xml:space="preserve"> </w:t>
      </w:r>
      <w:r w:rsidRPr="00B43607">
        <w:t>were successfully implemented</w:t>
      </w:r>
      <w:r w:rsidR="00C8090B">
        <w:t xml:space="preserve">.  Some timeframes were modified to accommodate delays in </w:t>
      </w:r>
      <w:r w:rsidR="00D302A8">
        <w:t>receiving</w:t>
      </w:r>
      <w:r w:rsidR="00C8090B" w:rsidRPr="00C8090B">
        <w:t xml:space="preserve"> </w:t>
      </w:r>
      <w:r w:rsidR="00C8090B">
        <w:t>agreement to commence operation</w:t>
      </w:r>
      <w:r w:rsidRPr="00B43607">
        <w:rPr>
          <w:i/>
          <w:iCs/>
        </w:rPr>
        <w:t xml:space="preserve">.  </w:t>
      </w:r>
    </w:p>
    <w:p w14:paraId="02801B89" w14:textId="57BB461F" w:rsidR="00B43607" w:rsidRPr="00B43607" w:rsidRDefault="00B43607" w:rsidP="00F31E0D">
      <w:pPr>
        <w:pStyle w:val="ParagraphKeep"/>
      </w:pPr>
      <w:r w:rsidRPr="00B43607">
        <w:t>The extensive input of the implementation team i</w:t>
      </w:r>
      <w:r w:rsidR="00513294">
        <w:t>nto</w:t>
      </w:r>
      <w:r w:rsidRPr="00B43607">
        <w:t xml:space="preserve"> </w:t>
      </w:r>
      <w:r w:rsidR="00513294">
        <w:t xml:space="preserve">the development of </w:t>
      </w:r>
      <w:r w:rsidRPr="00B43607">
        <w:t xml:space="preserve">website </w:t>
      </w:r>
      <w:r w:rsidR="00513294">
        <w:t xml:space="preserve">content </w:t>
      </w:r>
      <w:r w:rsidRPr="00B43607">
        <w:t>was recognised</w:t>
      </w:r>
      <w:r w:rsidR="00F31E0D">
        <w:t xml:space="preserve"> by all internal stakeholders:</w:t>
      </w:r>
    </w:p>
    <w:p w14:paraId="07ACFF03" w14:textId="5E996173" w:rsidR="00B43607" w:rsidRPr="00B43607" w:rsidRDefault="00B43607" w:rsidP="00F31E0D">
      <w:pPr>
        <w:pStyle w:val="Quote"/>
      </w:pPr>
      <w:r w:rsidRPr="00B43607">
        <w:t xml:space="preserve">“We had to take information in a very technical language and make it accessible to </w:t>
      </w:r>
      <w:r w:rsidR="00AA60D0">
        <w:t>prospective adoptive parents</w:t>
      </w:r>
      <w:r w:rsidRPr="00B43607">
        <w:t xml:space="preserve"> and keep </w:t>
      </w:r>
      <w:r w:rsidR="00FC1C77">
        <w:t>it sensitive for past adoptees”</w:t>
      </w:r>
    </w:p>
    <w:p w14:paraId="12BFB7F6" w14:textId="76329D5F" w:rsidR="00B43607" w:rsidRPr="00B43607" w:rsidRDefault="00B43607" w:rsidP="00F31E0D">
      <w:pPr>
        <w:pStyle w:val="Quote"/>
        <w:rPr>
          <w:lang w:eastAsia="en-AU"/>
        </w:rPr>
      </w:pPr>
      <w:r w:rsidRPr="00B43607">
        <w:t>“The implementation team had to pull together a lot of information from the AGD and STCA</w:t>
      </w:r>
      <w:r w:rsidR="00FC1C77">
        <w:t>s in a very condensed timeframe</w:t>
      </w:r>
      <w:r w:rsidR="00F31E0D">
        <w:rPr>
          <w:lang w:eastAsia="en-AU"/>
        </w:rPr>
        <w:t>”</w:t>
      </w:r>
      <w:r w:rsidR="00FC1C77">
        <w:rPr>
          <w:lang w:eastAsia="en-AU"/>
        </w:rPr>
        <w:t>.</w:t>
      </w:r>
    </w:p>
    <w:tbl>
      <w:tblPr>
        <w:tblStyle w:val="TableGrid"/>
        <w:tblW w:w="9361" w:type="dxa"/>
        <w:tblInd w:w="108" w:type="dxa"/>
        <w:tblBorders>
          <w:top w:val="single" w:sz="4" w:space="0" w:color="0079C1" w:themeColor="text2"/>
          <w:left w:val="single" w:sz="4" w:space="0" w:color="0079C1" w:themeColor="text2"/>
          <w:bottom w:val="single" w:sz="4" w:space="0" w:color="0079C1" w:themeColor="text2"/>
          <w:right w:val="single" w:sz="4" w:space="0" w:color="0079C1" w:themeColor="text2"/>
          <w:insideH w:val="none" w:sz="0" w:space="0" w:color="auto"/>
          <w:insideV w:val="none" w:sz="0" w:space="0" w:color="auto"/>
        </w:tblBorders>
        <w:shd w:val="clear" w:color="auto" w:fill="E2F4FF" w:themeFill="accent1" w:themeFillTint="33"/>
        <w:tblLook w:val="04A0" w:firstRow="1" w:lastRow="0" w:firstColumn="1" w:lastColumn="0" w:noHBand="0" w:noVBand="1"/>
        <w:tblCaption w:val="Key finding:"/>
        <w:tblDescription w:val="Key finding:&#10;All milestones/deliverables related to the IAA website were delivered. &#10;"/>
      </w:tblPr>
      <w:tblGrid>
        <w:gridCol w:w="9361"/>
      </w:tblGrid>
      <w:tr w:rsidR="00B43607" w:rsidRPr="00B43607" w14:paraId="47DD82E3" w14:textId="77777777" w:rsidTr="004E43C8">
        <w:trPr>
          <w:tblHeader/>
        </w:trPr>
        <w:tc>
          <w:tcPr>
            <w:tcW w:w="9361" w:type="dxa"/>
            <w:shd w:val="clear" w:color="auto" w:fill="E2F4FF" w:themeFill="accent1" w:themeFillTint="33"/>
          </w:tcPr>
          <w:p w14:paraId="2737C4BD" w14:textId="49B01C49" w:rsidR="00B43607" w:rsidRPr="008A1452" w:rsidRDefault="00FC1C77" w:rsidP="002F39DE">
            <w:pPr>
              <w:pStyle w:val="Heading4"/>
              <w:outlineLvl w:val="3"/>
              <w:rPr>
                <w:color w:val="auto"/>
                <w:lang w:val="en-AU"/>
              </w:rPr>
            </w:pPr>
            <w:r w:rsidRPr="008A1452">
              <w:rPr>
                <w:color w:val="auto"/>
                <w:lang w:val="en-AU"/>
              </w:rPr>
              <w:t>Key finding</w:t>
            </w:r>
            <w:r w:rsidR="00B43607" w:rsidRPr="008A1452">
              <w:rPr>
                <w:color w:val="auto"/>
                <w:lang w:val="en-AU"/>
              </w:rPr>
              <w:t>:</w:t>
            </w:r>
          </w:p>
          <w:p w14:paraId="21835EEE" w14:textId="741B1F8A" w:rsidR="00B43607" w:rsidRPr="00B43607" w:rsidRDefault="00B43607" w:rsidP="00C8090B">
            <w:pPr>
              <w:pStyle w:val="Bullet1"/>
              <w:rPr>
                <w:lang w:val="en-AU"/>
              </w:rPr>
            </w:pPr>
            <w:r w:rsidRPr="00B43607">
              <w:rPr>
                <w:lang w:val="en-AU"/>
              </w:rPr>
              <w:t>All milestones/deliverables related to the IAA website were delivered</w:t>
            </w:r>
            <w:r w:rsidR="002C7449">
              <w:rPr>
                <w:lang w:val="en-AU"/>
              </w:rPr>
              <w:t>.</w:t>
            </w:r>
            <w:r w:rsidRPr="00B43607">
              <w:rPr>
                <w:lang w:val="en-AU"/>
              </w:rPr>
              <w:t xml:space="preserve"> </w:t>
            </w:r>
          </w:p>
        </w:tc>
      </w:tr>
    </w:tbl>
    <w:p w14:paraId="6852EE4B" w14:textId="46C72E38" w:rsidR="005C5685" w:rsidRDefault="005C5685" w:rsidP="005C5685"/>
    <w:p w14:paraId="6244E2DF" w14:textId="77777777" w:rsidR="005C5685" w:rsidRDefault="005C5685">
      <w:r>
        <w:br w:type="page"/>
      </w:r>
    </w:p>
    <w:p w14:paraId="655F89D7" w14:textId="6FE9684B" w:rsidR="00B43607" w:rsidRPr="00B43607" w:rsidRDefault="00B43607" w:rsidP="00CC39E6">
      <w:pPr>
        <w:pStyle w:val="Heading3"/>
      </w:pPr>
      <w:r w:rsidRPr="00B43607">
        <w:lastRenderedPageBreak/>
        <w:t>Referral Pathways</w:t>
      </w:r>
      <w:r w:rsidR="00F7632B">
        <w:t xml:space="preserve"> from the IAA website </w:t>
      </w:r>
    </w:p>
    <w:p w14:paraId="046B65E0" w14:textId="51321B2F" w:rsidR="008329E3" w:rsidRPr="00F31E0D" w:rsidRDefault="00B43607" w:rsidP="006767C1">
      <w:pPr>
        <w:pStyle w:val="Paragraph"/>
      </w:pPr>
      <w:r w:rsidRPr="00B43607">
        <w:rPr>
          <w:rFonts w:asciiTheme="minorHAnsi" w:hAnsiTheme="minorHAnsi"/>
        </w:rPr>
        <w:t>The</w:t>
      </w:r>
      <w:r w:rsidR="008B0955" w:rsidRPr="008B0955">
        <w:t xml:space="preserve"> </w:t>
      </w:r>
      <w:r w:rsidR="008B0955">
        <w:t>Reform</w:t>
      </w:r>
      <w:r w:rsidRPr="00B43607">
        <w:rPr>
          <w:rFonts w:asciiTheme="minorHAnsi" w:hAnsiTheme="minorHAnsi"/>
        </w:rPr>
        <w:t xml:space="preserve"> Implementation Plan milestones and deliverables </w:t>
      </w:r>
      <w:r w:rsidR="00F5093A">
        <w:fldChar w:fldCharType="begin" w:fldLock="1"/>
      </w:r>
      <w:r w:rsidR="00F5093A">
        <w:instrText>ADDIN CSL_CITATION { "citationItems" : [ { "id" : "ITEM-1", "itemData" : { "author" : [ { "dropping-particle" : "", "family" : "Department", "given" : "Australian Government Department of Social Services and Attorney-General's", "non-dropping-particle" : "", "parse-names" : false, "suffix" : "" } ], "id" : "ITEM-1", "issued" : { "date-parts" : [ [ "2015" ] ] }, "publisher-place" : "Canberra", "title" : "Intercountry Adoption Reform: Implementation Plan", "type" : "report" }, "prefix" : "Intercountry Adoption Reform: Implementation Plan", "suppress-author" : 1, "uris" : [ "http://www.mendeley.com/documents/?uuid=c63de2ba-0b90-4802-a065-fb47ac7ca77f" ] } ], "mendeley" : { "formattedCitation" : "(Intercountry Adoption Reform: Implementation Plan 2015)", "plainTextFormattedCitation" : "(Intercountry Adoption Reform: Implementation Plan 2015)", "previouslyFormattedCitation" : "(Intercountry Adoption Reform: Implementation Plan 2015)" }, "properties" : { "noteIndex" : 0 }, "schema" : "https://github.com/citation-style-language/schema/raw/master/csl-citation.json" }</w:instrText>
      </w:r>
      <w:r w:rsidR="00F5093A">
        <w:fldChar w:fldCharType="separate"/>
      </w:r>
      <w:r w:rsidR="00F5093A" w:rsidRPr="006812F2">
        <w:rPr>
          <w:i/>
          <w:noProof/>
        </w:rPr>
        <w:t xml:space="preserve">(Intercountry Adoption Reform: Implementation Plan </w:t>
      </w:r>
      <w:r w:rsidR="00F5093A" w:rsidRPr="006812F2">
        <w:rPr>
          <w:noProof/>
        </w:rPr>
        <w:t>2015)</w:t>
      </w:r>
      <w:r w:rsidR="00F5093A">
        <w:fldChar w:fldCharType="end"/>
      </w:r>
      <w:r w:rsidR="00316B2B">
        <w:t xml:space="preserve"> </w:t>
      </w:r>
      <w:r w:rsidRPr="00B43607">
        <w:rPr>
          <w:rFonts w:asciiTheme="minorHAnsi" w:hAnsiTheme="minorHAnsi"/>
        </w:rPr>
        <w:t xml:space="preserve">applicable to the referral pathways are listed in </w:t>
      </w:r>
      <w:r w:rsidRPr="00B43607">
        <w:fldChar w:fldCharType="begin"/>
      </w:r>
      <w:r w:rsidRPr="00B43607">
        <w:instrText xml:space="preserve"> REF _Ref462588553 \h  \* MERGEFORMAT </w:instrText>
      </w:r>
      <w:r w:rsidRPr="00B43607">
        <w:fldChar w:fldCharType="separate"/>
      </w:r>
      <w:r w:rsidR="00487073" w:rsidRPr="00487073">
        <w:rPr>
          <w:rFonts w:asciiTheme="minorHAnsi" w:hAnsiTheme="minorHAnsi"/>
          <w:i/>
        </w:rPr>
        <w:t>Table 5</w:t>
      </w:r>
      <w:r w:rsidR="00487073" w:rsidRPr="00487073">
        <w:rPr>
          <w:rFonts w:asciiTheme="minorHAnsi" w:hAnsiTheme="minorHAnsi"/>
          <w:i/>
        </w:rPr>
        <w:noBreakHyphen/>
        <w:t>3</w:t>
      </w:r>
      <w:r w:rsidRPr="00B43607">
        <w:fldChar w:fldCharType="end"/>
      </w:r>
      <w:r w:rsidRPr="00B43607">
        <w:t>.</w:t>
      </w:r>
    </w:p>
    <w:p w14:paraId="0576CE79" w14:textId="61323307" w:rsidR="00B43607" w:rsidRPr="00B43607" w:rsidRDefault="00B43607" w:rsidP="00F31E0D">
      <w:pPr>
        <w:pStyle w:val="Caption"/>
      </w:pPr>
      <w:bookmarkStart w:id="80" w:name="_Ref462588553"/>
      <w:bookmarkStart w:id="81" w:name="_Toc490481653"/>
      <w:r w:rsidRPr="00B43607">
        <w:t xml:space="preserve">Table </w:t>
      </w:r>
      <w:r w:rsidR="00644B63">
        <w:fldChar w:fldCharType="begin"/>
      </w:r>
      <w:r w:rsidR="00644B63">
        <w:instrText xml:space="preserve"> STYLEREF 1 \s </w:instrText>
      </w:r>
      <w:r w:rsidR="00644B63">
        <w:fldChar w:fldCharType="separate"/>
      </w:r>
      <w:r w:rsidR="00487073">
        <w:rPr>
          <w:noProof/>
        </w:rPr>
        <w:t>5</w:t>
      </w:r>
      <w:r w:rsidR="00644B63">
        <w:fldChar w:fldCharType="end"/>
      </w:r>
      <w:r w:rsidR="00644B63">
        <w:noBreakHyphen/>
      </w:r>
      <w:r w:rsidR="00644B63">
        <w:fldChar w:fldCharType="begin"/>
      </w:r>
      <w:r w:rsidR="00644B63">
        <w:instrText xml:space="preserve"> SEQ Table \* ARABIC \s 1 </w:instrText>
      </w:r>
      <w:r w:rsidR="00644B63">
        <w:fldChar w:fldCharType="separate"/>
      </w:r>
      <w:r w:rsidR="00487073">
        <w:rPr>
          <w:noProof/>
        </w:rPr>
        <w:t>3</w:t>
      </w:r>
      <w:r w:rsidR="00644B63">
        <w:fldChar w:fldCharType="end"/>
      </w:r>
      <w:bookmarkEnd w:id="80"/>
      <w:r w:rsidR="0060625D">
        <w:t>:</w:t>
      </w:r>
      <w:r w:rsidR="0060625D">
        <w:tab/>
      </w:r>
      <w:r w:rsidRPr="00B43607">
        <w:t>Milestones/deliverables applicable to referral pathways</w:t>
      </w:r>
      <w:bookmarkEnd w:id="81"/>
    </w:p>
    <w:tbl>
      <w:tblPr>
        <w:tblStyle w:val="TableGrid"/>
        <w:tblW w:w="9397" w:type="dxa"/>
        <w:tblInd w:w="107"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Description w:val="Table 5 3: Milestones/deliverables applicable to referral pathways"/>
      </w:tblPr>
      <w:tblGrid>
        <w:gridCol w:w="7562"/>
        <w:gridCol w:w="1835"/>
      </w:tblGrid>
      <w:tr w:rsidR="0060625D" w:rsidRPr="00B43607" w14:paraId="67F79B2B" w14:textId="77777777" w:rsidTr="00336B35">
        <w:trPr>
          <w:cantSplit/>
          <w:tblHeader/>
        </w:trPr>
        <w:tc>
          <w:tcPr>
            <w:tcW w:w="7562" w:type="dxa"/>
            <w:shd w:val="clear" w:color="auto" w:fill="0079C1" w:themeFill="text2"/>
          </w:tcPr>
          <w:p w14:paraId="39DBB181" w14:textId="77777777" w:rsidR="00B43607" w:rsidRPr="00B43607" w:rsidRDefault="00B43607" w:rsidP="00F31E0D">
            <w:pPr>
              <w:pStyle w:val="TableHeading1"/>
            </w:pPr>
            <w:r w:rsidRPr="00B43607">
              <w:t>Milestone/deliverable</w:t>
            </w:r>
          </w:p>
        </w:tc>
        <w:tc>
          <w:tcPr>
            <w:tcW w:w="1835" w:type="dxa"/>
            <w:shd w:val="clear" w:color="auto" w:fill="0079C1" w:themeFill="text2"/>
          </w:tcPr>
          <w:p w14:paraId="3C356885" w14:textId="77777777" w:rsidR="00B43607" w:rsidRPr="00B43607" w:rsidRDefault="00B43607" w:rsidP="00F31E0D">
            <w:pPr>
              <w:pStyle w:val="TableHeading1Centred"/>
            </w:pPr>
            <w:r w:rsidRPr="00B43607">
              <w:t>Timeline</w:t>
            </w:r>
          </w:p>
        </w:tc>
      </w:tr>
      <w:tr w:rsidR="0060625D" w:rsidRPr="00B43607" w14:paraId="5C6C5A30" w14:textId="77777777" w:rsidTr="00336B35">
        <w:trPr>
          <w:cantSplit/>
        </w:trPr>
        <w:tc>
          <w:tcPr>
            <w:tcW w:w="7562" w:type="dxa"/>
            <w:shd w:val="clear" w:color="auto" w:fill="auto"/>
          </w:tcPr>
          <w:p w14:paraId="2108AD32" w14:textId="77777777" w:rsidR="00B43607" w:rsidRPr="00B43607" w:rsidRDefault="00B43607" w:rsidP="006767C1">
            <w:pPr>
              <w:pStyle w:val="TableTextKeep"/>
            </w:pPr>
            <w:r w:rsidRPr="00B43607">
              <w:t>Conduct consultations with relevant Commonwealth and state and territory agencies about website content and information line referral pathways</w:t>
            </w:r>
            <w:r w:rsidRPr="00B43607">
              <w:rPr>
                <w:lang w:val="en-AU"/>
              </w:rPr>
              <w:t xml:space="preserve"> </w:t>
            </w:r>
          </w:p>
        </w:tc>
        <w:tc>
          <w:tcPr>
            <w:tcW w:w="1835" w:type="dxa"/>
            <w:shd w:val="clear" w:color="auto" w:fill="auto"/>
          </w:tcPr>
          <w:p w14:paraId="64E91235" w14:textId="77777777" w:rsidR="00B43607" w:rsidRPr="00B43607" w:rsidRDefault="00B43607" w:rsidP="00F31E0D">
            <w:pPr>
              <w:pStyle w:val="TableTextCentred"/>
            </w:pPr>
            <w:r w:rsidRPr="00B43607">
              <w:t xml:space="preserve">Jan–Apr 2015 </w:t>
            </w:r>
          </w:p>
        </w:tc>
      </w:tr>
      <w:tr w:rsidR="0060625D" w:rsidRPr="00B43607" w14:paraId="69D2F2DB" w14:textId="77777777" w:rsidTr="00336B35">
        <w:trPr>
          <w:cantSplit/>
        </w:trPr>
        <w:tc>
          <w:tcPr>
            <w:tcW w:w="7562" w:type="dxa"/>
            <w:shd w:val="clear" w:color="auto" w:fill="auto"/>
          </w:tcPr>
          <w:p w14:paraId="43CCC299" w14:textId="77777777" w:rsidR="00B43607" w:rsidRPr="00B43607" w:rsidRDefault="00B43607" w:rsidP="00F31E0D">
            <w:pPr>
              <w:pStyle w:val="TableText"/>
            </w:pPr>
            <w:r w:rsidRPr="00B43607">
              <w:t xml:space="preserve">Receive content for the website and establish referral pathways for the information line with Commonwealth agencies, including AGD, DIBP, DFAT, DHS and NDIS </w:t>
            </w:r>
          </w:p>
        </w:tc>
        <w:tc>
          <w:tcPr>
            <w:tcW w:w="1835" w:type="dxa"/>
            <w:shd w:val="clear" w:color="auto" w:fill="auto"/>
          </w:tcPr>
          <w:p w14:paraId="21523549" w14:textId="77777777" w:rsidR="00B43607" w:rsidRPr="00B43607" w:rsidRDefault="00B43607" w:rsidP="00F31E0D">
            <w:pPr>
              <w:pStyle w:val="TableTextCentred"/>
            </w:pPr>
            <w:r w:rsidRPr="00B43607">
              <w:t>Mid-Apr 2015</w:t>
            </w:r>
          </w:p>
        </w:tc>
      </w:tr>
      <w:tr w:rsidR="0060625D" w:rsidRPr="00B43607" w14:paraId="3E85E218" w14:textId="77777777" w:rsidTr="00336B35">
        <w:trPr>
          <w:cantSplit/>
        </w:trPr>
        <w:tc>
          <w:tcPr>
            <w:tcW w:w="7562" w:type="dxa"/>
            <w:shd w:val="clear" w:color="auto" w:fill="auto"/>
          </w:tcPr>
          <w:p w14:paraId="5CBBA462" w14:textId="77777777" w:rsidR="00B43607" w:rsidRPr="00B43607" w:rsidRDefault="00B43607" w:rsidP="00F31E0D">
            <w:pPr>
              <w:pStyle w:val="TableText"/>
            </w:pPr>
            <w:r w:rsidRPr="00B43607">
              <w:t xml:space="preserve">State and territory government support to use links to their websites on the new website and establish referral pathways with them for the information line </w:t>
            </w:r>
          </w:p>
        </w:tc>
        <w:tc>
          <w:tcPr>
            <w:tcW w:w="1835" w:type="dxa"/>
            <w:shd w:val="clear" w:color="auto" w:fill="auto"/>
          </w:tcPr>
          <w:p w14:paraId="259E21DD" w14:textId="77777777" w:rsidR="00B43607" w:rsidRPr="00B43607" w:rsidRDefault="00B43607" w:rsidP="00F31E0D">
            <w:pPr>
              <w:pStyle w:val="TableTextCentred"/>
            </w:pPr>
            <w:r w:rsidRPr="00B43607">
              <w:t>Early Apr 2015</w:t>
            </w:r>
          </w:p>
        </w:tc>
      </w:tr>
      <w:tr w:rsidR="0060625D" w:rsidRPr="00B43607" w14:paraId="79F471B8" w14:textId="77777777" w:rsidTr="00336B35">
        <w:trPr>
          <w:cantSplit/>
        </w:trPr>
        <w:tc>
          <w:tcPr>
            <w:tcW w:w="7562" w:type="dxa"/>
            <w:shd w:val="clear" w:color="auto" w:fill="auto"/>
          </w:tcPr>
          <w:p w14:paraId="313F7F26" w14:textId="77777777" w:rsidR="00B43607" w:rsidRPr="00B43607" w:rsidRDefault="00B43607" w:rsidP="00F31E0D">
            <w:pPr>
              <w:pStyle w:val="TableText"/>
            </w:pPr>
            <w:r w:rsidRPr="00B43607">
              <w:t>Receive website links and establish referral pathways for the information line with state and territory governments</w:t>
            </w:r>
          </w:p>
        </w:tc>
        <w:tc>
          <w:tcPr>
            <w:tcW w:w="1835" w:type="dxa"/>
            <w:shd w:val="clear" w:color="auto" w:fill="auto"/>
          </w:tcPr>
          <w:p w14:paraId="6BFD92C5" w14:textId="77777777" w:rsidR="00B43607" w:rsidRPr="00B43607" w:rsidRDefault="00B43607" w:rsidP="00F31E0D">
            <w:pPr>
              <w:pStyle w:val="TableTextCentred"/>
            </w:pPr>
            <w:r w:rsidRPr="00B43607">
              <w:t>Mid-Apr 2015</w:t>
            </w:r>
          </w:p>
        </w:tc>
      </w:tr>
      <w:tr w:rsidR="0060625D" w:rsidRPr="00B43607" w14:paraId="35AB04CB" w14:textId="77777777" w:rsidTr="00C8090B">
        <w:trPr>
          <w:cantSplit/>
        </w:trPr>
        <w:tc>
          <w:tcPr>
            <w:tcW w:w="7562" w:type="dxa"/>
            <w:shd w:val="clear" w:color="auto" w:fill="auto"/>
          </w:tcPr>
          <w:p w14:paraId="31BB9E40" w14:textId="77777777" w:rsidR="00B43607" w:rsidRPr="00B43607" w:rsidRDefault="00B43607" w:rsidP="00F31E0D">
            <w:pPr>
              <w:pStyle w:val="TableText"/>
            </w:pPr>
            <w:r w:rsidRPr="00B43607">
              <w:t xml:space="preserve">Approach relevant non-government service providers about providing and receiving referrals to and from the new service </w:t>
            </w:r>
          </w:p>
        </w:tc>
        <w:tc>
          <w:tcPr>
            <w:tcW w:w="1835" w:type="dxa"/>
            <w:shd w:val="clear" w:color="auto" w:fill="auto"/>
          </w:tcPr>
          <w:p w14:paraId="05B2C137" w14:textId="77777777" w:rsidR="00B43607" w:rsidRPr="00B43607" w:rsidRDefault="00B43607" w:rsidP="00F31E0D">
            <w:pPr>
              <w:pStyle w:val="TableTextCentred"/>
            </w:pPr>
            <w:r w:rsidRPr="00B43607">
              <w:t>Late Apr-Jun 2015</w:t>
            </w:r>
          </w:p>
        </w:tc>
      </w:tr>
    </w:tbl>
    <w:p w14:paraId="7CE3A0DB" w14:textId="192FD8BE" w:rsidR="00B43607" w:rsidRPr="00B43607" w:rsidRDefault="00B43607" w:rsidP="00BC7F4E">
      <w:pPr>
        <w:pStyle w:val="Paragraph"/>
        <w:rPr>
          <w:lang w:val="en-AU"/>
        </w:rPr>
      </w:pPr>
      <w:r w:rsidRPr="00B43607">
        <w:rPr>
          <w:lang w:val="en-AU"/>
        </w:rPr>
        <w:t>Consultations with internal stakeholders indicated that consultations were undertaken with Commonwealth agencies and STCA</w:t>
      </w:r>
      <w:r w:rsidR="00A0475C">
        <w:rPr>
          <w:lang w:val="en-AU"/>
        </w:rPr>
        <w:t>s</w:t>
      </w:r>
      <w:r w:rsidRPr="00B43607">
        <w:rPr>
          <w:lang w:val="en-AU"/>
        </w:rPr>
        <w:t xml:space="preserve"> regarding web content and this was subsequently received and included on the IAA website. </w:t>
      </w:r>
      <w:r w:rsidR="00A0475C">
        <w:rPr>
          <w:lang w:val="en-AU"/>
        </w:rPr>
        <w:t xml:space="preserve"> T</w:t>
      </w:r>
      <w:r w:rsidRPr="00B43607">
        <w:rPr>
          <w:lang w:val="en-AU"/>
        </w:rPr>
        <w:t>he IAA website also provides links to each of the STCA websites as well as Australian Government sup</w:t>
      </w:r>
      <w:r w:rsidR="00A0475C">
        <w:rPr>
          <w:lang w:val="en-AU"/>
        </w:rPr>
        <w:t>ports including Department of Hu</w:t>
      </w:r>
      <w:r w:rsidRPr="00B43607">
        <w:rPr>
          <w:lang w:val="en-AU"/>
        </w:rPr>
        <w:t>man Services, the National Disability Insurance Scheme (NDIS) and Fam</w:t>
      </w:r>
      <w:r w:rsidR="00C8090B">
        <w:rPr>
          <w:lang w:val="en-AU"/>
        </w:rPr>
        <w:t>ily and Relationships Services.</w:t>
      </w:r>
    </w:p>
    <w:p w14:paraId="439EEBD7" w14:textId="0F8C38B1" w:rsidR="00B43607" w:rsidRDefault="00B43607" w:rsidP="00BC7F4E">
      <w:pPr>
        <w:pStyle w:val="Paragraph"/>
        <w:rPr>
          <w:lang w:val="en-AU"/>
        </w:rPr>
      </w:pPr>
      <w:r w:rsidRPr="00B43607">
        <w:rPr>
          <w:lang w:val="en-AU"/>
        </w:rPr>
        <w:t xml:space="preserve">However, as outlined in </w:t>
      </w:r>
      <w:r w:rsidRPr="00B43607">
        <w:fldChar w:fldCharType="begin"/>
      </w:r>
      <w:r w:rsidRPr="00B43607">
        <w:instrText xml:space="preserve"> REF _Ref462645321 \h  \* MERGEFORMAT </w:instrText>
      </w:r>
      <w:r w:rsidRPr="00B43607">
        <w:fldChar w:fldCharType="separate"/>
      </w:r>
      <w:r w:rsidR="00487073" w:rsidRPr="00487073">
        <w:rPr>
          <w:i/>
          <w:iCs/>
        </w:rPr>
        <w:t>Table 3</w:t>
      </w:r>
      <w:r w:rsidR="00487073" w:rsidRPr="00487073">
        <w:rPr>
          <w:i/>
          <w:iCs/>
        </w:rPr>
        <w:noBreakHyphen/>
        <w:t>3</w:t>
      </w:r>
      <w:r w:rsidRPr="00B43607">
        <w:fldChar w:fldCharType="end"/>
      </w:r>
      <w:r w:rsidRPr="00B43607">
        <w:rPr>
          <w:lang w:val="en-AU"/>
        </w:rPr>
        <w:t xml:space="preserve"> </w:t>
      </w:r>
      <w:r w:rsidR="00F7632B">
        <w:rPr>
          <w:lang w:val="en-AU"/>
        </w:rPr>
        <w:t xml:space="preserve">, </w:t>
      </w:r>
      <w:r w:rsidRPr="00B43607">
        <w:rPr>
          <w:lang w:val="en-AU"/>
        </w:rPr>
        <w:t>links to the IAA website were not provided by all STCAs</w:t>
      </w:r>
      <w:r w:rsidR="00F7632B">
        <w:rPr>
          <w:lang w:val="en-AU"/>
        </w:rPr>
        <w:t xml:space="preserve">.  In some cases, those providing links </w:t>
      </w:r>
      <w:r w:rsidRPr="00B43607">
        <w:rPr>
          <w:lang w:val="en-AU"/>
        </w:rPr>
        <w:t xml:space="preserve">misnamed the </w:t>
      </w:r>
      <w:r w:rsidR="00F7632B">
        <w:rPr>
          <w:lang w:val="en-AU"/>
        </w:rPr>
        <w:t xml:space="preserve">IAA </w:t>
      </w:r>
      <w:r w:rsidRPr="00B43607">
        <w:rPr>
          <w:lang w:val="en-AU"/>
        </w:rPr>
        <w:t>service.</w:t>
      </w:r>
    </w:p>
    <w:p w14:paraId="6AD66D72" w14:textId="61D4E227" w:rsidR="00C8090B" w:rsidRDefault="00C8090B" w:rsidP="00BC7F4E">
      <w:pPr>
        <w:pStyle w:val="Paragraph"/>
        <w:rPr>
          <w:lang w:val="en-AU"/>
        </w:rPr>
      </w:pPr>
      <w:r w:rsidRPr="00C8090B">
        <w:rPr>
          <w:lang w:val="en-AU"/>
        </w:rPr>
        <w:t>Lifeline was approached as an appropriate referral for those clients who were in crisis and may need additional support outside of IAA operating hours.  Referrals have been made to Lifeline.  Some service providers (e</w:t>
      </w:r>
      <w:r w:rsidR="002C7449">
        <w:rPr>
          <w:lang w:val="en-AU"/>
        </w:rPr>
        <w:t>.</w:t>
      </w:r>
      <w:r w:rsidRPr="00C8090B">
        <w:rPr>
          <w:lang w:val="en-AU"/>
        </w:rPr>
        <w:t>g</w:t>
      </w:r>
      <w:r w:rsidR="002C7449">
        <w:rPr>
          <w:lang w:val="en-AU"/>
        </w:rPr>
        <w:t>.</w:t>
      </w:r>
      <w:r w:rsidRPr="00C8090B">
        <w:rPr>
          <w:lang w:val="en-AU"/>
        </w:rPr>
        <w:t xml:space="preserve"> R</w:t>
      </w:r>
      <w:r w:rsidR="002C7449">
        <w:rPr>
          <w:lang w:val="en-AU"/>
        </w:rPr>
        <w:t>elationships Australia South Australia (RASA)</w:t>
      </w:r>
      <w:r w:rsidRPr="00C8090B">
        <w:rPr>
          <w:lang w:val="en-AU"/>
        </w:rPr>
        <w:t>) were also involved in the initial training of IAA staff.</w:t>
      </w:r>
    </w:p>
    <w:p w14:paraId="541DD95F" w14:textId="4B8185C9" w:rsidR="00C8090B" w:rsidRPr="00B43607" w:rsidRDefault="002C7449" w:rsidP="00C8090B">
      <w:pPr>
        <w:pStyle w:val="Paragraph"/>
        <w:rPr>
          <w:lang w:val="en-AU"/>
        </w:rPr>
      </w:pPr>
      <w:r>
        <w:rPr>
          <w:lang w:val="en-AU"/>
        </w:rPr>
        <w:t xml:space="preserve">Key </w:t>
      </w:r>
      <w:r w:rsidR="00C8090B" w:rsidRPr="00C8090B">
        <w:rPr>
          <w:lang w:val="en-AU"/>
        </w:rPr>
        <w:t xml:space="preserve">primary service providers </w:t>
      </w:r>
      <w:r w:rsidR="00C8090B">
        <w:rPr>
          <w:lang w:val="en-AU"/>
        </w:rPr>
        <w:t>IAA</w:t>
      </w:r>
      <w:r w:rsidR="00C8090B" w:rsidRPr="00C8090B">
        <w:rPr>
          <w:lang w:val="en-AU"/>
        </w:rPr>
        <w:t xml:space="preserve"> engage</w:t>
      </w:r>
      <w:r>
        <w:rPr>
          <w:lang w:val="en-AU"/>
        </w:rPr>
        <w:t>s</w:t>
      </w:r>
      <w:r w:rsidR="00C8090B" w:rsidRPr="00C8090B">
        <w:rPr>
          <w:lang w:val="en-AU"/>
        </w:rPr>
        <w:t xml:space="preserve"> </w:t>
      </w:r>
      <w:r w:rsidR="00C74849">
        <w:rPr>
          <w:lang w:val="en-AU"/>
        </w:rPr>
        <w:t xml:space="preserve">with </w:t>
      </w:r>
      <w:r>
        <w:rPr>
          <w:lang w:val="en-AU"/>
        </w:rPr>
        <w:t>include organisations with specialist adoption expertise such as Post Adoption Services Queensland (</w:t>
      </w:r>
      <w:r w:rsidR="00C8090B" w:rsidRPr="00C8090B">
        <w:rPr>
          <w:lang w:val="en-AU"/>
        </w:rPr>
        <w:t>PASQ</w:t>
      </w:r>
      <w:r>
        <w:rPr>
          <w:lang w:val="en-AU"/>
        </w:rPr>
        <w:t>)</w:t>
      </w:r>
      <w:r w:rsidR="00C8090B" w:rsidRPr="00C8090B">
        <w:rPr>
          <w:lang w:val="en-AU"/>
        </w:rPr>
        <w:t>,</w:t>
      </w:r>
      <w:r w:rsidRPr="002C7449">
        <w:t xml:space="preserve"> </w:t>
      </w:r>
      <w:r>
        <w:rPr>
          <w:lang w:val="en-AU"/>
        </w:rPr>
        <w:t>t</w:t>
      </w:r>
      <w:r w:rsidRPr="002C7449">
        <w:rPr>
          <w:lang w:val="en-AU"/>
        </w:rPr>
        <w:t>he NSW Post Adoption Resource Centre</w:t>
      </w:r>
      <w:r w:rsidR="00C8090B" w:rsidRPr="00C8090B">
        <w:rPr>
          <w:lang w:val="en-AU"/>
        </w:rPr>
        <w:t xml:space="preserve"> </w:t>
      </w:r>
      <w:r>
        <w:rPr>
          <w:lang w:val="en-AU"/>
        </w:rPr>
        <w:t>(</w:t>
      </w:r>
      <w:r w:rsidR="00C8090B" w:rsidRPr="00C8090B">
        <w:rPr>
          <w:lang w:val="en-AU"/>
        </w:rPr>
        <w:t>PARC</w:t>
      </w:r>
      <w:r>
        <w:rPr>
          <w:lang w:val="en-AU"/>
        </w:rPr>
        <w:t>)</w:t>
      </w:r>
      <w:r w:rsidR="00BC5470">
        <w:rPr>
          <w:lang w:val="en-AU"/>
        </w:rPr>
        <w:t xml:space="preserve">, RASA </w:t>
      </w:r>
      <w:r w:rsidR="00C8090B" w:rsidRPr="00C8090B">
        <w:rPr>
          <w:lang w:val="en-AU"/>
        </w:rPr>
        <w:t xml:space="preserve">as well as the newly funded LifeWorks service (in </w:t>
      </w:r>
      <w:r w:rsidR="00AA1E22">
        <w:rPr>
          <w:lang w:val="en-AU"/>
        </w:rPr>
        <w:t>partnership</w:t>
      </w:r>
      <w:r w:rsidR="00AA1E22" w:rsidRPr="00C8090B">
        <w:rPr>
          <w:lang w:val="en-AU"/>
        </w:rPr>
        <w:t xml:space="preserve"> </w:t>
      </w:r>
      <w:r w:rsidR="00C8090B" w:rsidRPr="00C8090B">
        <w:rPr>
          <w:lang w:val="en-AU"/>
        </w:rPr>
        <w:t>with ISS), and the separate ISS tracing/reunification service</w:t>
      </w:r>
      <w:r>
        <w:rPr>
          <w:lang w:val="en-AU"/>
        </w:rPr>
        <w:t xml:space="preserve"> (</w:t>
      </w:r>
      <w:r w:rsidRPr="00F7632B">
        <w:rPr>
          <w:rStyle w:val="Emphasis"/>
        </w:rPr>
        <w:t xml:space="preserve">see Section </w:t>
      </w:r>
      <w:r w:rsidR="00F7632B" w:rsidRPr="00F7632B">
        <w:rPr>
          <w:rStyle w:val="Emphasis"/>
        </w:rPr>
        <w:fldChar w:fldCharType="begin"/>
      </w:r>
      <w:r w:rsidR="00F7632B" w:rsidRPr="00F7632B">
        <w:rPr>
          <w:rStyle w:val="Emphasis"/>
        </w:rPr>
        <w:instrText xml:space="preserve"> REF _Ref462938878 \r \h </w:instrText>
      </w:r>
      <w:r w:rsidR="00F7632B">
        <w:rPr>
          <w:rStyle w:val="Emphasis"/>
        </w:rPr>
        <w:instrText xml:space="preserve"> \* MERGEFORMAT </w:instrText>
      </w:r>
      <w:r w:rsidR="00F7632B" w:rsidRPr="00F7632B">
        <w:rPr>
          <w:rStyle w:val="Emphasis"/>
        </w:rPr>
      </w:r>
      <w:r w:rsidR="00F7632B" w:rsidRPr="00F7632B">
        <w:rPr>
          <w:rStyle w:val="Emphasis"/>
        </w:rPr>
        <w:fldChar w:fldCharType="separate"/>
      </w:r>
      <w:r w:rsidR="00487073">
        <w:rPr>
          <w:rStyle w:val="Emphasis"/>
        </w:rPr>
        <w:t>6.5.2</w:t>
      </w:r>
      <w:r w:rsidR="00F7632B" w:rsidRPr="00F7632B">
        <w:rPr>
          <w:rStyle w:val="Emphasis"/>
        </w:rPr>
        <w:fldChar w:fldCharType="end"/>
      </w:r>
      <w:r>
        <w:rPr>
          <w:lang w:val="en-AU"/>
        </w:rPr>
        <w:t>)</w:t>
      </w:r>
      <w:r w:rsidR="00C8090B" w:rsidRPr="00C8090B">
        <w:rPr>
          <w:lang w:val="en-AU"/>
        </w:rPr>
        <w:t xml:space="preserve">.  </w:t>
      </w:r>
      <w:r>
        <w:rPr>
          <w:lang w:val="en-AU"/>
        </w:rPr>
        <w:t xml:space="preserve">Each </w:t>
      </w:r>
      <w:r w:rsidR="00C8090B" w:rsidRPr="00C8090B">
        <w:rPr>
          <w:lang w:val="en-AU"/>
        </w:rPr>
        <w:t xml:space="preserve">of these services </w:t>
      </w:r>
      <w:r w:rsidRPr="00C8090B">
        <w:rPr>
          <w:lang w:val="en-AU"/>
        </w:rPr>
        <w:t>has</w:t>
      </w:r>
      <w:r w:rsidR="00C8090B" w:rsidRPr="00C8090B">
        <w:rPr>
          <w:lang w:val="en-AU"/>
        </w:rPr>
        <w:t xml:space="preserve"> strong local links to a range of other supports</w:t>
      </w:r>
      <w:r>
        <w:rPr>
          <w:lang w:val="en-AU"/>
        </w:rPr>
        <w:t xml:space="preserve">, which is a contract </w:t>
      </w:r>
      <w:r w:rsidR="00C8090B" w:rsidRPr="00C8090B">
        <w:rPr>
          <w:lang w:val="en-AU"/>
        </w:rPr>
        <w:t xml:space="preserve">requirement </w:t>
      </w:r>
      <w:r>
        <w:rPr>
          <w:lang w:val="en-AU"/>
        </w:rPr>
        <w:t>for</w:t>
      </w:r>
      <w:r w:rsidR="00C8090B" w:rsidRPr="00C8090B">
        <w:rPr>
          <w:lang w:val="en-AU"/>
        </w:rPr>
        <w:t xml:space="preserve"> </w:t>
      </w:r>
      <w:r>
        <w:rPr>
          <w:lang w:val="en-AU"/>
        </w:rPr>
        <w:t>DSS-funded services. R</w:t>
      </w:r>
      <w:r w:rsidR="00C8090B" w:rsidRPr="00C8090B">
        <w:rPr>
          <w:lang w:val="en-AU"/>
        </w:rPr>
        <w:t xml:space="preserve">eferrals </w:t>
      </w:r>
      <w:r>
        <w:rPr>
          <w:lang w:val="en-AU"/>
        </w:rPr>
        <w:t xml:space="preserve">are also made </w:t>
      </w:r>
      <w:r w:rsidR="00C8090B" w:rsidRPr="00C8090B">
        <w:rPr>
          <w:lang w:val="en-AU"/>
        </w:rPr>
        <w:t>to p</w:t>
      </w:r>
      <w:r>
        <w:rPr>
          <w:lang w:val="en-AU"/>
        </w:rPr>
        <w:t>arent support groups and other C</w:t>
      </w:r>
      <w:r w:rsidR="00C8090B" w:rsidRPr="00C8090B">
        <w:rPr>
          <w:lang w:val="en-AU"/>
        </w:rPr>
        <w:t>ommonwealth/state agencies.</w:t>
      </w:r>
    </w:p>
    <w:tbl>
      <w:tblPr>
        <w:tblStyle w:val="TableGrid"/>
        <w:tblW w:w="9361" w:type="dxa"/>
        <w:tblInd w:w="108" w:type="dxa"/>
        <w:tblBorders>
          <w:top w:val="single" w:sz="4" w:space="0" w:color="0079C1" w:themeColor="text2"/>
          <w:left w:val="single" w:sz="4" w:space="0" w:color="0079C1" w:themeColor="text2"/>
          <w:bottom w:val="single" w:sz="4" w:space="0" w:color="0079C1" w:themeColor="text2"/>
          <w:right w:val="single" w:sz="4" w:space="0" w:color="0079C1" w:themeColor="text2"/>
          <w:insideH w:val="none" w:sz="0" w:space="0" w:color="auto"/>
          <w:insideV w:val="none" w:sz="0" w:space="0" w:color="auto"/>
        </w:tblBorders>
        <w:shd w:val="clear" w:color="auto" w:fill="E2F4FF" w:themeFill="accent1" w:themeFillTint="33"/>
        <w:tblLook w:val="04A0" w:firstRow="1" w:lastRow="0" w:firstColumn="1" w:lastColumn="0" w:noHBand="0" w:noVBand="1"/>
        <w:tblCaption w:val="Key findings:"/>
        <w:tblDescription w:val="Key findings:&#10;• All milestones/deliverables related to referral pathways from the IAA website were delivered&#10;• While listed as a requirement in the Reform Implementation Plan, links to the IAA website were not provided by all STCAs.  In some cases, those providing links misnamed the IAA service. &#10;"/>
      </w:tblPr>
      <w:tblGrid>
        <w:gridCol w:w="9361"/>
      </w:tblGrid>
      <w:tr w:rsidR="00B43607" w:rsidRPr="00B43607" w14:paraId="38548C64" w14:textId="77777777" w:rsidTr="00402C12">
        <w:trPr>
          <w:tblHeader/>
        </w:trPr>
        <w:tc>
          <w:tcPr>
            <w:tcW w:w="9361" w:type="dxa"/>
            <w:shd w:val="clear" w:color="auto" w:fill="E2F4FF" w:themeFill="accent1" w:themeFillTint="33"/>
          </w:tcPr>
          <w:p w14:paraId="42CA81BB" w14:textId="77777777" w:rsidR="00B43607" w:rsidRPr="008A1452" w:rsidRDefault="00B43607" w:rsidP="00336B35">
            <w:pPr>
              <w:pStyle w:val="Heading4"/>
              <w:outlineLvl w:val="3"/>
              <w:rPr>
                <w:color w:val="auto"/>
                <w:lang w:val="en-AU"/>
              </w:rPr>
            </w:pPr>
            <w:r w:rsidRPr="008A1452">
              <w:rPr>
                <w:color w:val="auto"/>
                <w:lang w:val="en-AU"/>
              </w:rPr>
              <w:t>Key findings:</w:t>
            </w:r>
          </w:p>
          <w:p w14:paraId="3CAF2BF6" w14:textId="6DCC6972" w:rsidR="00B43607" w:rsidRDefault="00B43607" w:rsidP="00F7632B">
            <w:pPr>
              <w:pStyle w:val="Bullet1"/>
              <w:rPr>
                <w:lang w:val="en-AU"/>
              </w:rPr>
            </w:pPr>
            <w:r w:rsidRPr="00B43607">
              <w:rPr>
                <w:lang w:val="en-AU"/>
              </w:rPr>
              <w:t>All milestones/deliverables related to</w:t>
            </w:r>
            <w:r w:rsidR="00F7632B">
              <w:rPr>
                <w:lang w:val="en-AU"/>
              </w:rPr>
              <w:t xml:space="preserve"> referral pathways from the IAA website were delivered</w:t>
            </w:r>
          </w:p>
          <w:p w14:paraId="6DDFA89D" w14:textId="339644B3" w:rsidR="00F7632B" w:rsidRPr="00B43607" w:rsidRDefault="00D824BD" w:rsidP="00D824BD">
            <w:pPr>
              <w:pStyle w:val="Bullet1"/>
              <w:rPr>
                <w:lang w:val="en-AU"/>
              </w:rPr>
            </w:pPr>
            <w:r>
              <w:rPr>
                <w:lang w:val="en-AU"/>
              </w:rPr>
              <w:t xml:space="preserve">While listed as a requirement in the </w:t>
            </w:r>
            <w:r w:rsidR="008B0955">
              <w:t>Reform</w:t>
            </w:r>
            <w:r w:rsidR="008B0955">
              <w:rPr>
                <w:lang w:val="en-AU"/>
              </w:rPr>
              <w:t xml:space="preserve"> </w:t>
            </w:r>
            <w:r w:rsidR="00E910E7">
              <w:rPr>
                <w:lang w:val="en-AU"/>
              </w:rPr>
              <w:t>Implementation</w:t>
            </w:r>
            <w:r>
              <w:rPr>
                <w:lang w:val="en-AU"/>
              </w:rPr>
              <w:t xml:space="preserve"> Plan, l</w:t>
            </w:r>
            <w:r w:rsidR="00F7632B" w:rsidRPr="00F7632B">
              <w:rPr>
                <w:lang w:val="en-AU"/>
              </w:rPr>
              <w:t>inks to the IAA website were not provided by all STCAs</w:t>
            </w:r>
            <w:r w:rsidR="00F7632B">
              <w:rPr>
                <w:lang w:val="en-AU"/>
              </w:rPr>
              <w:t xml:space="preserve">. </w:t>
            </w:r>
            <w:r>
              <w:rPr>
                <w:lang w:val="en-AU"/>
              </w:rPr>
              <w:t xml:space="preserve"> </w:t>
            </w:r>
            <w:r w:rsidR="00F7632B" w:rsidRPr="00F7632B">
              <w:rPr>
                <w:lang w:val="en-AU"/>
              </w:rPr>
              <w:t>In some cases, those providing links misnamed the IAA service</w:t>
            </w:r>
            <w:r w:rsidR="00FC1C77">
              <w:rPr>
                <w:lang w:val="en-AU"/>
              </w:rPr>
              <w:t>.</w:t>
            </w:r>
            <w:r w:rsidR="00AA60D0">
              <w:rPr>
                <w:lang w:val="en-AU"/>
              </w:rPr>
              <w:t xml:space="preserve"> </w:t>
            </w:r>
          </w:p>
        </w:tc>
      </w:tr>
    </w:tbl>
    <w:p w14:paraId="0FDAAE93" w14:textId="77777777" w:rsidR="00336B35" w:rsidRDefault="00336B35" w:rsidP="00336B35"/>
    <w:p w14:paraId="2F0B34CC" w14:textId="59465449" w:rsidR="00B43607" w:rsidRPr="00B43607" w:rsidRDefault="00B43607" w:rsidP="00BC7F4E">
      <w:pPr>
        <w:pStyle w:val="Heading2"/>
      </w:pPr>
      <w:bookmarkStart w:id="82" w:name="_Ref463005123"/>
      <w:bookmarkStart w:id="83" w:name="_Toc490481626"/>
      <w:r w:rsidRPr="00B43607">
        <w:lastRenderedPageBreak/>
        <w:t>Achieveme</w:t>
      </w:r>
      <w:r w:rsidR="00E23AE1">
        <w:t>nts against measures of success</w:t>
      </w:r>
      <w:bookmarkEnd w:id="82"/>
      <w:bookmarkEnd w:id="83"/>
    </w:p>
    <w:p w14:paraId="5BF531FA" w14:textId="105B5B81" w:rsidR="00B43607" w:rsidRPr="00B43607" w:rsidRDefault="00241993" w:rsidP="00BC7F4E">
      <w:pPr>
        <w:pStyle w:val="ParagraphKeep"/>
        <w:rPr>
          <w:lang w:eastAsia="en-AU"/>
        </w:rPr>
      </w:pPr>
      <w:r>
        <w:t>In the</w:t>
      </w:r>
      <w:r w:rsidR="008B0955">
        <w:t xml:space="preserve"> Reform</w:t>
      </w:r>
      <w:r>
        <w:t xml:space="preserve"> Implementation Plan, </w:t>
      </w:r>
      <w:r w:rsidR="002F6F1C">
        <w:t>fifteen</w:t>
      </w:r>
      <w:r w:rsidR="00B43607" w:rsidRPr="00B43607">
        <w:t xml:space="preserve"> measures of success are specified that directly or indirectly apply to the IAA service </w:t>
      </w:r>
      <w:r w:rsidR="00F5093A">
        <w:fldChar w:fldCharType="begin" w:fldLock="1"/>
      </w:r>
      <w:r w:rsidR="00F5093A">
        <w:instrText>ADDIN CSL_CITATION { "citationItems" : [ { "id" : "ITEM-1", "itemData" : { "author" : [ { "dropping-particle" : "", "family" : "Department", "given" : "Australian Government Department of Social Services and Attorney-General's", "non-dropping-particle" : "", "parse-names" : false, "suffix" : "" } ], "id" : "ITEM-1", "issued" : { "date-parts" : [ [ "2015" ] ] }, "publisher-place" : "Canberra", "title" : "Intercountry Adoption Reform: Implementation Plan", "type" : "report" }, "prefix" : "Intercountry Adoption Reform: Implementation Plan", "suppress-author" : 1, "uris" : [ "http://www.mendeley.com/documents/?uuid=c63de2ba-0b90-4802-a065-fb47ac7ca77f" ] } ], "mendeley" : { "formattedCitation" : "(Intercountry Adoption Reform: Implementation Plan 2015)", "plainTextFormattedCitation" : "(Intercountry Adoption Reform: Implementation Plan 2015)", "previouslyFormattedCitation" : "(Intercountry Adoption Reform: Implementation Plan 2015)" }, "properties" : { "noteIndex" : 0 }, "schema" : "https://github.com/citation-style-language/schema/raw/master/csl-citation.json" }</w:instrText>
      </w:r>
      <w:r w:rsidR="00F5093A">
        <w:fldChar w:fldCharType="separate"/>
      </w:r>
      <w:r w:rsidR="00F5093A" w:rsidRPr="006812F2">
        <w:rPr>
          <w:i/>
          <w:noProof/>
        </w:rPr>
        <w:t xml:space="preserve">(Intercountry Adoption Reform: Implementation Plan </w:t>
      </w:r>
      <w:r w:rsidR="00F5093A" w:rsidRPr="006812F2">
        <w:rPr>
          <w:noProof/>
        </w:rPr>
        <w:t>2015)</w:t>
      </w:r>
      <w:r w:rsidR="00F5093A">
        <w:fldChar w:fldCharType="end"/>
      </w:r>
      <w:r w:rsidR="00B43607" w:rsidRPr="00B43607">
        <w:t>.  For the purposes of discussion, these measures have been categorised</w:t>
      </w:r>
      <w:r w:rsidR="00B43607" w:rsidRPr="00B43607">
        <w:rPr>
          <w:lang w:eastAsia="en-AU"/>
        </w:rPr>
        <w:t xml:space="preserve"> into the following f</w:t>
      </w:r>
      <w:r w:rsidR="00B70A5B">
        <w:rPr>
          <w:lang w:eastAsia="en-AU"/>
        </w:rPr>
        <w:t>our</w:t>
      </w:r>
      <w:r w:rsidR="00B43607" w:rsidRPr="00B43607">
        <w:rPr>
          <w:lang w:eastAsia="en-AU"/>
        </w:rPr>
        <w:t xml:space="preserve"> groups, as shown in </w:t>
      </w:r>
      <w:r w:rsidR="00B43607" w:rsidRPr="00B43607">
        <w:rPr>
          <w:rFonts w:ascii="Arial" w:hAnsi="Arial"/>
          <w:sz w:val="24"/>
          <w:szCs w:val="24"/>
          <w:lang w:val="en-AU" w:eastAsia="en-AU"/>
        </w:rPr>
        <w:fldChar w:fldCharType="begin"/>
      </w:r>
      <w:r w:rsidR="00B43607" w:rsidRPr="00B43607">
        <w:rPr>
          <w:rFonts w:ascii="Arial" w:hAnsi="Arial"/>
          <w:sz w:val="24"/>
          <w:szCs w:val="24"/>
          <w:lang w:val="en-AU" w:eastAsia="en-AU"/>
        </w:rPr>
        <w:instrText xml:space="preserve"> REF _Ref462589047 \h  \* MERGEFORMAT </w:instrText>
      </w:r>
      <w:r w:rsidR="00B43607" w:rsidRPr="00B43607">
        <w:rPr>
          <w:rFonts w:ascii="Arial" w:hAnsi="Arial"/>
          <w:sz w:val="24"/>
          <w:szCs w:val="24"/>
          <w:lang w:val="en-AU" w:eastAsia="en-AU"/>
        </w:rPr>
      </w:r>
      <w:r w:rsidR="00B43607" w:rsidRPr="00B43607">
        <w:rPr>
          <w:rFonts w:ascii="Arial" w:hAnsi="Arial"/>
          <w:sz w:val="24"/>
          <w:szCs w:val="24"/>
          <w:lang w:val="en-AU" w:eastAsia="en-AU"/>
        </w:rPr>
        <w:fldChar w:fldCharType="separate"/>
      </w:r>
      <w:r w:rsidR="00487073" w:rsidRPr="00487073">
        <w:rPr>
          <w:i/>
          <w:iCs/>
          <w:lang w:eastAsia="en-AU"/>
        </w:rPr>
        <w:t>Table 5</w:t>
      </w:r>
      <w:r w:rsidR="00487073" w:rsidRPr="00487073">
        <w:rPr>
          <w:i/>
          <w:iCs/>
          <w:lang w:eastAsia="en-AU"/>
        </w:rPr>
        <w:noBreakHyphen/>
        <w:t>4</w:t>
      </w:r>
      <w:r w:rsidR="00B43607" w:rsidRPr="00B43607">
        <w:rPr>
          <w:rFonts w:ascii="Arial" w:hAnsi="Arial"/>
          <w:sz w:val="24"/>
          <w:szCs w:val="24"/>
          <w:lang w:val="en-AU" w:eastAsia="en-AU"/>
        </w:rPr>
        <w:fldChar w:fldCharType="end"/>
      </w:r>
      <w:r w:rsidR="00B43607" w:rsidRPr="00B43607">
        <w:rPr>
          <w:lang w:eastAsia="en-AU"/>
        </w:rPr>
        <w:t>:</w:t>
      </w:r>
    </w:p>
    <w:p w14:paraId="688B22AD" w14:textId="77777777" w:rsidR="00B43607" w:rsidRPr="00B43607" w:rsidRDefault="00B43607" w:rsidP="006767C1">
      <w:pPr>
        <w:pStyle w:val="Bullet1"/>
      </w:pPr>
      <w:r w:rsidRPr="00B43607">
        <w:t>Service uptake</w:t>
      </w:r>
    </w:p>
    <w:p w14:paraId="3CBE4567" w14:textId="77777777" w:rsidR="00B43607" w:rsidRPr="00B43607" w:rsidRDefault="00B43607" w:rsidP="006767C1">
      <w:pPr>
        <w:pStyle w:val="Bullet1"/>
      </w:pPr>
      <w:r w:rsidRPr="00B43607">
        <w:t>Operational parameters</w:t>
      </w:r>
    </w:p>
    <w:p w14:paraId="6A79523D" w14:textId="77777777" w:rsidR="00B43607" w:rsidRPr="00B43607" w:rsidRDefault="00B43607" w:rsidP="006767C1">
      <w:pPr>
        <w:pStyle w:val="Bullet1"/>
      </w:pPr>
      <w:r w:rsidRPr="00B43607">
        <w:t>Client satisfaction</w:t>
      </w:r>
    </w:p>
    <w:p w14:paraId="4B54D57C" w14:textId="6343EE5C" w:rsidR="00B43607" w:rsidRPr="00B43607" w:rsidRDefault="00B43607" w:rsidP="006767C1">
      <w:pPr>
        <w:pStyle w:val="Bullet1"/>
      </w:pPr>
      <w:r w:rsidRPr="00B43607">
        <w:t>STCA feedback</w:t>
      </w:r>
      <w:r w:rsidR="007C3336">
        <w:t>.</w:t>
      </w:r>
    </w:p>
    <w:p w14:paraId="34BD8819" w14:textId="3EFA3D1A" w:rsidR="00B43607" w:rsidRPr="00B43607" w:rsidRDefault="00B43607" w:rsidP="00BC7F4E">
      <w:pPr>
        <w:pStyle w:val="Paragraph"/>
        <w:rPr>
          <w:lang w:eastAsia="en-AU"/>
        </w:rPr>
      </w:pPr>
      <w:r w:rsidRPr="00B43607">
        <w:t>Achievements related to each of group of measures are discussed in the following sections.</w:t>
      </w:r>
    </w:p>
    <w:p w14:paraId="661B051D" w14:textId="77777777" w:rsidR="00B43607" w:rsidRPr="00B43607" w:rsidRDefault="00B43607" w:rsidP="00B43607">
      <w:pPr>
        <w:spacing w:before="120" w:after="120" w:line="264" w:lineRule="auto"/>
        <w:ind w:left="720" w:hanging="360"/>
        <w:rPr>
          <w:lang w:eastAsia="en-AU"/>
        </w:rPr>
        <w:sectPr w:rsidR="00B43607" w:rsidRPr="00B43607" w:rsidSect="006D60E3">
          <w:pgSz w:w="11907" w:h="16840" w:code="9"/>
          <w:pgMar w:top="993" w:right="1134" w:bottom="993" w:left="1418" w:header="567" w:footer="567" w:gutter="0"/>
          <w:cols w:space="680"/>
          <w:docGrid w:linePitch="299"/>
        </w:sectPr>
      </w:pPr>
    </w:p>
    <w:p w14:paraId="35A0282A" w14:textId="279C9EE5" w:rsidR="00B43607" w:rsidRPr="00B43607" w:rsidRDefault="00B43607" w:rsidP="00BC7F4E">
      <w:pPr>
        <w:pStyle w:val="Caption"/>
      </w:pPr>
      <w:bookmarkStart w:id="84" w:name="_Ref462589047"/>
      <w:bookmarkStart w:id="85" w:name="_Toc490481654"/>
      <w:r w:rsidRPr="00B43607">
        <w:lastRenderedPageBreak/>
        <w:t xml:space="preserve">Table </w:t>
      </w:r>
      <w:r w:rsidR="00644B63">
        <w:fldChar w:fldCharType="begin"/>
      </w:r>
      <w:r w:rsidR="00644B63">
        <w:instrText xml:space="preserve"> STYLEREF 1 \s </w:instrText>
      </w:r>
      <w:r w:rsidR="00644B63">
        <w:fldChar w:fldCharType="separate"/>
      </w:r>
      <w:r w:rsidR="00487073">
        <w:rPr>
          <w:noProof/>
        </w:rPr>
        <w:t>5</w:t>
      </w:r>
      <w:r w:rsidR="00644B63">
        <w:fldChar w:fldCharType="end"/>
      </w:r>
      <w:r w:rsidR="00644B63">
        <w:noBreakHyphen/>
      </w:r>
      <w:r w:rsidR="00644B63">
        <w:fldChar w:fldCharType="begin"/>
      </w:r>
      <w:r w:rsidR="00644B63">
        <w:instrText xml:space="preserve"> SEQ Table \* ARABIC \s 1 </w:instrText>
      </w:r>
      <w:r w:rsidR="00644B63">
        <w:fldChar w:fldCharType="separate"/>
      </w:r>
      <w:r w:rsidR="00487073">
        <w:rPr>
          <w:noProof/>
        </w:rPr>
        <w:t>4</w:t>
      </w:r>
      <w:r w:rsidR="00644B63">
        <w:fldChar w:fldCharType="end"/>
      </w:r>
      <w:bookmarkEnd w:id="84"/>
      <w:r w:rsidR="00BC7F4E">
        <w:t>:</w:t>
      </w:r>
      <w:r w:rsidR="00BC7F4E">
        <w:tab/>
      </w:r>
      <w:r w:rsidRPr="00B43607">
        <w:t xml:space="preserve">Measures of success specified in </w:t>
      </w:r>
      <w:r w:rsidR="008B0955">
        <w:t>Reform</w:t>
      </w:r>
      <w:r w:rsidR="008B0955" w:rsidRPr="00B43607">
        <w:t xml:space="preserve"> </w:t>
      </w:r>
      <w:r w:rsidRPr="00B43607">
        <w:t>Implementation Plan</w:t>
      </w:r>
      <w:bookmarkEnd w:id="85"/>
    </w:p>
    <w:tbl>
      <w:tblPr>
        <w:tblW w:w="4971" w:type="pct"/>
        <w:tblInd w:w="116"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CellMar>
          <w:top w:w="108" w:type="dxa"/>
          <w:bottom w:w="108" w:type="dxa"/>
        </w:tblCellMar>
        <w:tblLook w:val="04A0" w:firstRow="1" w:lastRow="0" w:firstColumn="1" w:lastColumn="0" w:noHBand="0" w:noVBand="1"/>
      </w:tblPr>
      <w:tblGrid>
        <w:gridCol w:w="1110"/>
        <w:gridCol w:w="9120"/>
        <w:gridCol w:w="851"/>
        <w:gridCol w:w="851"/>
        <w:gridCol w:w="851"/>
        <w:gridCol w:w="851"/>
        <w:gridCol w:w="1134"/>
      </w:tblGrid>
      <w:tr w:rsidR="00F070E9" w:rsidRPr="00B43607" w14:paraId="1BCFC254" w14:textId="77777777" w:rsidTr="005950D2">
        <w:trPr>
          <w:cantSplit/>
          <w:tblHeader/>
        </w:trPr>
        <w:tc>
          <w:tcPr>
            <w:tcW w:w="376" w:type="pct"/>
            <w:vMerge w:val="restart"/>
            <w:shd w:val="clear" w:color="auto" w:fill="0079C1" w:themeFill="text2"/>
            <w:vAlign w:val="center"/>
          </w:tcPr>
          <w:p w14:paraId="5C31AC0C" w14:textId="77777777" w:rsidR="00B43607" w:rsidRPr="003529FA" w:rsidRDefault="00B43607" w:rsidP="00483D68">
            <w:pPr>
              <w:pStyle w:val="TableHeading1Centred"/>
              <w:jc w:val="left"/>
            </w:pPr>
            <w:bookmarkStart w:id="86" w:name="_Hlk489884625"/>
            <w:r w:rsidRPr="003529FA">
              <w:t xml:space="preserve">Measure </w:t>
            </w:r>
          </w:p>
        </w:tc>
        <w:tc>
          <w:tcPr>
            <w:tcW w:w="3088" w:type="pct"/>
            <w:vMerge w:val="restart"/>
            <w:shd w:val="clear" w:color="auto" w:fill="0079C1" w:themeFill="text2"/>
            <w:vAlign w:val="center"/>
          </w:tcPr>
          <w:p w14:paraId="78A22B90" w14:textId="77777777" w:rsidR="00B43607" w:rsidRPr="003529FA" w:rsidRDefault="00B43607" w:rsidP="00483D68">
            <w:pPr>
              <w:pStyle w:val="TableHeading1"/>
            </w:pPr>
            <w:r w:rsidRPr="003529FA">
              <w:t>Key performance indicator</w:t>
            </w:r>
          </w:p>
        </w:tc>
        <w:tc>
          <w:tcPr>
            <w:tcW w:w="1535" w:type="pct"/>
            <w:gridSpan w:val="5"/>
            <w:shd w:val="clear" w:color="auto" w:fill="0079C1" w:themeFill="text2"/>
            <w:vAlign w:val="center"/>
          </w:tcPr>
          <w:p w14:paraId="006E200A" w14:textId="77777777" w:rsidR="00B43607" w:rsidRPr="00B43607" w:rsidRDefault="00B43607" w:rsidP="00483D68">
            <w:pPr>
              <w:pStyle w:val="TableHeading1Centred"/>
            </w:pPr>
            <w:r w:rsidRPr="00B43607">
              <w:t>Category</w:t>
            </w:r>
          </w:p>
        </w:tc>
      </w:tr>
      <w:tr w:rsidR="005950D2" w:rsidRPr="00B43607" w14:paraId="531F1915" w14:textId="77777777" w:rsidTr="005950D2">
        <w:trPr>
          <w:cantSplit/>
          <w:trHeight w:val="1218"/>
          <w:tblHeader/>
        </w:trPr>
        <w:tc>
          <w:tcPr>
            <w:tcW w:w="376" w:type="pct"/>
            <w:vMerge/>
            <w:shd w:val="clear" w:color="auto" w:fill="0079C1" w:themeFill="text2"/>
            <w:vAlign w:val="center"/>
          </w:tcPr>
          <w:p w14:paraId="0C5EC7D1" w14:textId="77777777" w:rsidR="00B43607" w:rsidRPr="003529FA" w:rsidRDefault="00B43607" w:rsidP="00483D68">
            <w:pPr>
              <w:pStyle w:val="TableHeading1"/>
            </w:pPr>
          </w:p>
        </w:tc>
        <w:tc>
          <w:tcPr>
            <w:tcW w:w="3088" w:type="pct"/>
            <w:vMerge/>
            <w:shd w:val="clear" w:color="auto" w:fill="0079C1" w:themeFill="text2"/>
            <w:vAlign w:val="center"/>
          </w:tcPr>
          <w:p w14:paraId="2B245DDA" w14:textId="77777777" w:rsidR="00B43607" w:rsidRPr="003529FA" w:rsidRDefault="00B43607" w:rsidP="00483D68">
            <w:pPr>
              <w:pStyle w:val="TableHeading1"/>
            </w:pPr>
          </w:p>
        </w:tc>
        <w:tc>
          <w:tcPr>
            <w:tcW w:w="288" w:type="pct"/>
            <w:shd w:val="clear" w:color="auto" w:fill="0079C1" w:themeFill="text2"/>
            <w:textDirection w:val="btLr"/>
            <w:vAlign w:val="center"/>
          </w:tcPr>
          <w:p w14:paraId="2D3149E1" w14:textId="162E37FC" w:rsidR="00B43607" w:rsidRPr="00B43607" w:rsidRDefault="00B43607" w:rsidP="00483D68">
            <w:pPr>
              <w:pStyle w:val="TableHeading1Centred"/>
            </w:pPr>
            <w:r w:rsidRPr="00B43607">
              <w:t>Service uptake</w:t>
            </w:r>
          </w:p>
        </w:tc>
        <w:tc>
          <w:tcPr>
            <w:tcW w:w="288" w:type="pct"/>
            <w:shd w:val="clear" w:color="auto" w:fill="0079C1" w:themeFill="text2"/>
            <w:textDirection w:val="btLr"/>
            <w:vAlign w:val="center"/>
          </w:tcPr>
          <w:p w14:paraId="56EBF81E" w14:textId="77777777" w:rsidR="00B43607" w:rsidRPr="00B43607" w:rsidRDefault="00B43607" w:rsidP="00483D68">
            <w:pPr>
              <w:pStyle w:val="TableHeading1Centred"/>
            </w:pPr>
            <w:r w:rsidRPr="00B43607">
              <w:t>Operational parameters</w:t>
            </w:r>
          </w:p>
        </w:tc>
        <w:tc>
          <w:tcPr>
            <w:tcW w:w="288" w:type="pct"/>
            <w:shd w:val="clear" w:color="auto" w:fill="0079C1" w:themeFill="text2"/>
            <w:textDirection w:val="btLr"/>
            <w:vAlign w:val="center"/>
          </w:tcPr>
          <w:p w14:paraId="359A8202" w14:textId="77777777" w:rsidR="00B43607" w:rsidRPr="00B43607" w:rsidRDefault="00B43607" w:rsidP="00483D68">
            <w:pPr>
              <w:pStyle w:val="TableHeading1Centred"/>
            </w:pPr>
            <w:r w:rsidRPr="00B43607">
              <w:t>Client satisfaction</w:t>
            </w:r>
          </w:p>
        </w:tc>
        <w:tc>
          <w:tcPr>
            <w:tcW w:w="288" w:type="pct"/>
            <w:shd w:val="clear" w:color="auto" w:fill="0079C1" w:themeFill="text2"/>
            <w:textDirection w:val="btLr"/>
            <w:vAlign w:val="center"/>
          </w:tcPr>
          <w:p w14:paraId="037A667D" w14:textId="77777777" w:rsidR="00B43607" w:rsidRPr="00B43607" w:rsidRDefault="00B43607" w:rsidP="00483D68">
            <w:pPr>
              <w:pStyle w:val="TableHeading1Centred"/>
            </w:pPr>
            <w:r w:rsidRPr="00B43607">
              <w:t>STCA feedback</w:t>
            </w:r>
          </w:p>
        </w:tc>
        <w:tc>
          <w:tcPr>
            <w:tcW w:w="384" w:type="pct"/>
            <w:shd w:val="clear" w:color="auto" w:fill="0079C1" w:themeFill="text2"/>
            <w:textDirection w:val="btLr"/>
            <w:vAlign w:val="center"/>
          </w:tcPr>
          <w:p w14:paraId="09BA8222" w14:textId="062674E0" w:rsidR="00B43607" w:rsidRPr="00B43607" w:rsidRDefault="00B43607" w:rsidP="00483D68">
            <w:pPr>
              <w:pStyle w:val="TableHeading1Centred"/>
            </w:pPr>
            <w:r w:rsidRPr="00B43607">
              <w:t>Other stakeholder feedback</w:t>
            </w:r>
          </w:p>
        </w:tc>
      </w:tr>
      <w:tr w:rsidR="005950D2" w:rsidRPr="00445454" w14:paraId="1A3B869C" w14:textId="77777777" w:rsidTr="005950D2">
        <w:trPr>
          <w:cantSplit/>
        </w:trPr>
        <w:tc>
          <w:tcPr>
            <w:tcW w:w="376" w:type="pct"/>
          </w:tcPr>
          <w:p w14:paraId="6B122673" w14:textId="77777777" w:rsidR="00B43607" w:rsidRPr="00445454" w:rsidRDefault="00B43607" w:rsidP="00F070E9">
            <w:pPr>
              <w:pStyle w:val="TableTextCentred"/>
              <w:rPr>
                <w:sz w:val="20"/>
                <w:szCs w:val="20"/>
              </w:rPr>
            </w:pPr>
            <w:r w:rsidRPr="00445454">
              <w:rPr>
                <w:sz w:val="20"/>
                <w:szCs w:val="20"/>
              </w:rPr>
              <w:t>A1</w:t>
            </w:r>
          </w:p>
        </w:tc>
        <w:tc>
          <w:tcPr>
            <w:tcW w:w="3088" w:type="pct"/>
            <w:shd w:val="clear" w:color="auto" w:fill="auto"/>
          </w:tcPr>
          <w:p w14:paraId="3259F23B" w14:textId="77777777" w:rsidR="00B43607" w:rsidRPr="00445454" w:rsidRDefault="00B43607" w:rsidP="00BC7F4E">
            <w:pPr>
              <w:pStyle w:val="TableText"/>
              <w:rPr>
                <w:sz w:val="20"/>
                <w:szCs w:val="20"/>
              </w:rPr>
            </w:pPr>
            <w:r w:rsidRPr="00445454">
              <w:rPr>
                <w:sz w:val="20"/>
                <w:szCs w:val="20"/>
              </w:rPr>
              <w:t>More than 10 calls per month to the information line</w:t>
            </w:r>
          </w:p>
        </w:tc>
        <w:tc>
          <w:tcPr>
            <w:tcW w:w="288" w:type="pct"/>
          </w:tcPr>
          <w:p w14:paraId="3FAE7D00" w14:textId="77777777" w:rsidR="00B43607" w:rsidRPr="00445454" w:rsidRDefault="00B43607" w:rsidP="00F070E9">
            <w:pPr>
              <w:pStyle w:val="TableTextCentred"/>
              <w:rPr>
                <w:sz w:val="20"/>
                <w:szCs w:val="20"/>
              </w:rPr>
            </w:pPr>
            <w:r w:rsidRPr="00445454">
              <w:rPr>
                <w:sz w:val="20"/>
                <w:szCs w:val="20"/>
              </w:rPr>
              <w:sym w:font="Wingdings 2" w:char="F050"/>
            </w:r>
          </w:p>
        </w:tc>
        <w:tc>
          <w:tcPr>
            <w:tcW w:w="288" w:type="pct"/>
          </w:tcPr>
          <w:p w14:paraId="23FE525A" w14:textId="77777777" w:rsidR="00B43607" w:rsidRPr="00445454" w:rsidRDefault="00B43607" w:rsidP="00F070E9">
            <w:pPr>
              <w:pStyle w:val="TableTextCentred"/>
              <w:rPr>
                <w:sz w:val="20"/>
                <w:szCs w:val="20"/>
              </w:rPr>
            </w:pPr>
          </w:p>
        </w:tc>
        <w:tc>
          <w:tcPr>
            <w:tcW w:w="288" w:type="pct"/>
          </w:tcPr>
          <w:p w14:paraId="6EAA0901" w14:textId="77777777" w:rsidR="00B43607" w:rsidRPr="00445454" w:rsidRDefault="00B43607" w:rsidP="00F070E9">
            <w:pPr>
              <w:pStyle w:val="TableTextCentred"/>
              <w:rPr>
                <w:sz w:val="20"/>
                <w:szCs w:val="20"/>
              </w:rPr>
            </w:pPr>
          </w:p>
        </w:tc>
        <w:tc>
          <w:tcPr>
            <w:tcW w:w="288" w:type="pct"/>
          </w:tcPr>
          <w:p w14:paraId="0C28620E" w14:textId="77777777" w:rsidR="00B43607" w:rsidRPr="00445454" w:rsidRDefault="00B43607" w:rsidP="00F070E9">
            <w:pPr>
              <w:pStyle w:val="TableTextCentred"/>
              <w:rPr>
                <w:sz w:val="20"/>
                <w:szCs w:val="20"/>
              </w:rPr>
            </w:pPr>
          </w:p>
        </w:tc>
        <w:tc>
          <w:tcPr>
            <w:tcW w:w="384" w:type="pct"/>
          </w:tcPr>
          <w:p w14:paraId="04465BC7" w14:textId="77777777" w:rsidR="00B43607" w:rsidRPr="00445454" w:rsidRDefault="00B43607" w:rsidP="00F070E9">
            <w:pPr>
              <w:pStyle w:val="TableTextCentred"/>
              <w:rPr>
                <w:sz w:val="20"/>
                <w:szCs w:val="20"/>
              </w:rPr>
            </w:pPr>
          </w:p>
        </w:tc>
      </w:tr>
      <w:tr w:rsidR="005950D2" w:rsidRPr="00445454" w14:paraId="49F0E487" w14:textId="77777777" w:rsidTr="005950D2">
        <w:trPr>
          <w:cantSplit/>
        </w:trPr>
        <w:tc>
          <w:tcPr>
            <w:tcW w:w="376" w:type="pct"/>
          </w:tcPr>
          <w:p w14:paraId="78A7D3AD" w14:textId="77777777" w:rsidR="00B43607" w:rsidRPr="00445454" w:rsidRDefault="00B43607" w:rsidP="00F070E9">
            <w:pPr>
              <w:pStyle w:val="TableTextCentred"/>
              <w:rPr>
                <w:sz w:val="20"/>
                <w:szCs w:val="20"/>
              </w:rPr>
            </w:pPr>
            <w:r w:rsidRPr="00445454">
              <w:rPr>
                <w:sz w:val="20"/>
                <w:szCs w:val="20"/>
              </w:rPr>
              <w:t>A1</w:t>
            </w:r>
          </w:p>
        </w:tc>
        <w:tc>
          <w:tcPr>
            <w:tcW w:w="3088" w:type="pct"/>
            <w:shd w:val="clear" w:color="auto" w:fill="auto"/>
          </w:tcPr>
          <w:p w14:paraId="59709F37" w14:textId="77777777" w:rsidR="00B43607" w:rsidRPr="00445454" w:rsidRDefault="00B43607" w:rsidP="00BC7F4E">
            <w:pPr>
              <w:pStyle w:val="TableText"/>
              <w:rPr>
                <w:sz w:val="20"/>
                <w:szCs w:val="20"/>
              </w:rPr>
            </w:pPr>
            <w:r w:rsidRPr="00445454">
              <w:rPr>
                <w:sz w:val="20"/>
                <w:szCs w:val="20"/>
              </w:rPr>
              <w:t>More than 50 visits per month to the website</w:t>
            </w:r>
          </w:p>
        </w:tc>
        <w:tc>
          <w:tcPr>
            <w:tcW w:w="288" w:type="pct"/>
          </w:tcPr>
          <w:p w14:paraId="5098D520" w14:textId="77777777" w:rsidR="00B43607" w:rsidRPr="00445454" w:rsidRDefault="00B43607" w:rsidP="00F070E9">
            <w:pPr>
              <w:pStyle w:val="TableTextCentred"/>
              <w:rPr>
                <w:sz w:val="20"/>
                <w:szCs w:val="20"/>
              </w:rPr>
            </w:pPr>
            <w:r w:rsidRPr="00445454">
              <w:rPr>
                <w:sz w:val="20"/>
                <w:szCs w:val="20"/>
              </w:rPr>
              <w:sym w:font="Wingdings 2" w:char="F050"/>
            </w:r>
          </w:p>
        </w:tc>
        <w:tc>
          <w:tcPr>
            <w:tcW w:w="288" w:type="pct"/>
          </w:tcPr>
          <w:p w14:paraId="123505CB" w14:textId="77777777" w:rsidR="00B43607" w:rsidRPr="00445454" w:rsidRDefault="00B43607" w:rsidP="00F070E9">
            <w:pPr>
              <w:pStyle w:val="TableTextCentred"/>
              <w:rPr>
                <w:sz w:val="20"/>
                <w:szCs w:val="20"/>
              </w:rPr>
            </w:pPr>
          </w:p>
        </w:tc>
        <w:tc>
          <w:tcPr>
            <w:tcW w:w="288" w:type="pct"/>
          </w:tcPr>
          <w:p w14:paraId="172BF612" w14:textId="77777777" w:rsidR="00B43607" w:rsidRPr="00445454" w:rsidRDefault="00B43607" w:rsidP="00F070E9">
            <w:pPr>
              <w:pStyle w:val="TableTextCentred"/>
              <w:rPr>
                <w:sz w:val="20"/>
                <w:szCs w:val="20"/>
              </w:rPr>
            </w:pPr>
          </w:p>
        </w:tc>
        <w:tc>
          <w:tcPr>
            <w:tcW w:w="288" w:type="pct"/>
          </w:tcPr>
          <w:p w14:paraId="0C8BC24B" w14:textId="77777777" w:rsidR="00B43607" w:rsidRPr="00445454" w:rsidRDefault="00B43607" w:rsidP="00F070E9">
            <w:pPr>
              <w:pStyle w:val="TableTextCentred"/>
              <w:rPr>
                <w:sz w:val="20"/>
                <w:szCs w:val="20"/>
              </w:rPr>
            </w:pPr>
          </w:p>
        </w:tc>
        <w:tc>
          <w:tcPr>
            <w:tcW w:w="384" w:type="pct"/>
          </w:tcPr>
          <w:p w14:paraId="68A98219" w14:textId="77777777" w:rsidR="00B43607" w:rsidRPr="00445454" w:rsidRDefault="00B43607" w:rsidP="00F070E9">
            <w:pPr>
              <w:pStyle w:val="TableTextCentred"/>
              <w:rPr>
                <w:sz w:val="20"/>
                <w:szCs w:val="20"/>
              </w:rPr>
            </w:pPr>
          </w:p>
        </w:tc>
      </w:tr>
      <w:tr w:rsidR="005950D2" w:rsidRPr="00445454" w14:paraId="540FE73A" w14:textId="77777777" w:rsidTr="005950D2">
        <w:trPr>
          <w:cantSplit/>
        </w:trPr>
        <w:tc>
          <w:tcPr>
            <w:tcW w:w="376" w:type="pct"/>
          </w:tcPr>
          <w:p w14:paraId="397BFB04" w14:textId="77777777" w:rsidR="00B43607" w:rsidRPr="00445454" w:rsidRDefault="00B43607" w:rsidP="00F070E9">
            <w:pPr>
              <w:pStyle w:val="TableTextCentred"/>
              <w:rPr>
                <w:sz w:val="20"/>
                <w:szCs w:val="20"/>
              </w:rPr>
            </w:pPr>
            <w:r w:rsidRPr="00445454">
              <w:rPr>
                <w:sz w:val="20"/>
                <w:szCs w:val="20"/>
              </w:rPr>
              <w:t>A1</w:t>
            </w:r>
          </w:p>
        </w:tc>
        <w:tc>
          <w:tcPr>
            <w:tcW w:w="3088" w:type="pct"/>
            <w:shd w:val="clear" w:color="auto" w:fill="auto"/>
          </w:tcPr>
          <w:p w14:paraId="6459987A" w14:textId="77777777" w:rsidR="00B43607" w:rsidRPr="00445454" w:rsidRDefault="00B43607" w:rsidP="00BC7F4E">
            <w:pPr>
              <w:pStyle w:val="TableText"/>
              <w:rPr>
                <w:sz w:val="20"/>
                <w:szCs w:val="20"/>
              </w:rPr>
            </w:pPr>
            <w:r w:rsidRPr="00445454">
              <w:rPr>
                <w:sz w:val="20"/>
                <w:szCs w:val="20"/>
              </w:rPr>
              <w:t>More than 50 email enquiries per month</w:t>
            </w:r>
          </w:p>
        </w:tc>
        <w:tc>
          <w:tcPr>
            <w:tcW w:w="288" w:type="pct"/>
          </w:tcPr>
          <w:p w14:paraId="5C3B59DC" w14:textId="77777777" w:rsidR="00B43607" w:rsidRPr="00445454" w:rsidRDefault="00B43607" w:rsidP="00F070E9">
            <w:pPr>
              <w:pStyle w:val="TableTextCentred"/>
              <w:rPr>
                <w:sz w:val="20"/>
                <w:szCs w:val="20"/>
              </w:rPr>
            </w:pPr>
            <w:r w:rsidRPr="00445454">
              <w:rPr>
                <w:sz w:val="20"/>
                <w:szCs w:val="20"/>
              </w:rPr>
              <w:sym w:font="Wingdings 2" w:char="F050"/>
            </w:r>
          </w:p>
        </w:tc>
        <w:tc>
          <w:tcPr>
            <w:tcW w:w="288" w:type="pct"/>
          </w:tcPr>
          <w:p w14:paraId="6BF32915" w14:textId="77777777" w:rsidR="00B43607" w:rsidRPr="00445454" w:rsidRDefault="00B43607" w:rsidP="00F070E9">
            <w:pPr>
              <w:pStyle w:val="TableTextCentred"/>
              <w:rPr>
                <w:sz w:val="20"/>
                <w:szCs w:val="20"/>
              </w:rPr>
            </w:pPr>
          </w:p>
        </w:tc>
        <w:tc>
          <w:tcPr>
            <w:tcW w:w="288" w:type="pct"/>
          </w:tcPr>
          <w:p w14:paraId="6A7BF480" w14:textId="77777777" w:rsidR="00B43607" w:rsidRPr="00445454" w:rsidRDefault="00B43607" w:rsidP="00F070E9">
            <w:pPr>
              <w:pStyle w:val="TableTextCentred"/>
              <w:rPr>
                <w:sz w:val="20"/>
                <w:szCs w:val="20"/>
              </w:rPr>
            </w:pPr>
          </w:p>
        </w:tc>
        <w:tc>
          <w:tcPr>
            <w:tcW w:w="288" w:type="pct"/>
          </w:tcPr>
          <w:p w14:paraId="305FC5AB" w14:textId="77777777" w:rsidR="00B43607" w:rsidRPr="00445454" w:rsidRDefault="00B43607" w:rsidP="00F070E9">
            <w:pPr>
              <w:pStyle w:val="TableTextCentred"/>
              <w:rPr>
                <w:sz w:val="20"/>
                <w:szCs w:val="20"/>
              </w:rPr>
            </w:pPr>
          </w:p>
        </w:tc>
        <w:tc>
          <w:tcPr>
            <w:tcW w:w="384" w:type="pct"/>
          </w:tcPr>
          <w:p w14:paraId="652EEB90" w14:textId="77777777" w:rsidR="00B43607" w:rsidRPr="00445454" w:rsidRDefault="00B43607" w:rsidP="00F070E9">
            <w:pPr>
              <w:pStyle w:val="TableTextCentred"/>
              <w:rPr>
                <w:sz w:val="20"/>
                <w:szCs w:val="20"/>
              </w:rPr>
            </w:pPr>
          </w:p>
        </w:tc>
      </w:tr>
      <w:tr w:rsidR="005950D2" w:rsidRPr="00445454" w14:paraId="2F5234F2" w14:textId="77777777" w:rsidTr="005950D2">
        <w:trPr>
          <w:cantSplit/>
        </w:trPr>
        <w:tc>
          <w:tcPr>
            <w:tcW w:w="376" w:type="pct"/>
          </w:tcPr>
          <w:p w14:paraId="012675D7" w14:textId="77777777" w:rsidR="00B43607" w:rsidRPr="00445454" w:rsidRDefault="00B43607" w:rsidP="00F070E9">
            <w:pPr>
              <w:pStyle w:val="TableTextCentred"/>
              <w:rPr>
                <w:sz w:val="20"/>
                <w:szCs w:val="20"/>
              </w:rPr>
            </w:pPr>
            <w:r w:rsidRPr="00445454">
              <w:rPr>
                <w:sz w:val="20"/>
                <w:szCs w:val="20"/>
              </w:rPr>
              <w:t>A1</w:t>
            </w:r>
          </w:p>
        </w:tc>
        <w:tc>
          <w:tcPr>
            <w:tcW w:w="3088" w:type="pct"/>
            <w:shd w:val="clear" w:color="auto" w:fill="auto"/>
          </w:tcPr>
          <w:p w14:paraId="3B835D72" w14:textId="77777777" w:rsidR="00B43607" w:rsidRPr="00445454" w:rsidRDefault="00B43607" w:rsidP="00BC7F4E">
            <w:pPr>
              <w:pStyle w:val="TableText"/>
              <w:rPr>
                <w:sz w:val="20"/>
                <w:szCs w:val="20"/>
              </w:rPr>
            </w:pPr>
            <w:r w:rsidRPr="00445454">
              <w:rPr>
                <w:sz w:val="20"/>
                <w:szCs w:val="20"/>
              </w:rPr>
              <w:t>More than 80% of calls are answered by information line staff within 20 seconds</w:t>
            </w:r>
          </w:p>
        </w:tc>
        <w:tc>
          <w:tcPr>
            <w:tcW w:w="288" w:type="pct"/>
          </w:tcPr>
          <w:p w14:paraId="39A4BBED" w14:textId="77777777" w:rsidR="00B43607" w:rsidRPr="00445454" w:rsidRDefault="00B43607" w:rsidP="00F070E9">
            <w:pPr>
              <w:pStyle w:val="TableTextCentred"/>
              <w:rPr>
                <w:sz w:val="20"/>
                <w:szCs w:val="20"/>
              </w:rPr>
            </w:pPr>
          </w:p>
        </w:tc>
        <w:tc>
          <w:tcPr>
            <w:tcW w:w="288" w:type="pct"/>
          </w:tcPr>
          <w:p w14:paraId="7FCA4C69" w14:textId="77777777" w:rsidR="00B43607" w:rsidRPr="00445454" w:rsidRDefault="00B43607" w:rsidP="00F070E9">
            <w:pPr>
              <w:pStyle w:val="TableTextCentred"/>
              <w:rPr>
                <w:sz w:val="20"/>
                <w:szCs w:val="20"/>
              </w:rPr>
            </w:pPr>
            <w:r w:rsidRPr="00445454">
              <w:rPr>
                <w:sz w:val="20"/>
                <w:szCs w:val="20"/>
              </w:rPr>
              <w:sym w:font="Wingdings 2" w:char="F050"/>
            </w:r>
          </w:p>
        </w:tc>
        <w:tc>
          <w:tcPr>
            <w:tcW w:w="288" w:type="pct"/>
          </w:tcPr>
          <w:p w14:paraId="0EE245C5" w14:textId="77777777" w:rsidR="00B43607" w:rsidRPr="00445454" w:rsidRDefault="00B43607" w:rsidP="00F070E9">
            <w:pPr>
              <w:pStyle w:val="TableTextCentred"/>
              <w:rPr>
                <w:sz w:val="20"/>
                <w:szCs w:val="20"/>
              </w:rPr>
            </w:pPr>
          </w:p>
        </w:tc>
        <w:tc>
          <w:tcPr>
            <w:tcW w:w="288" w:type="pct"/>
          </w:tcPr>
          <w:p w14:paraId="199B4027" w14:textId="77777777" w:rsidR="00B43607" w:rsidRPr="00445454" w:rsidRDefault="00B43607" w:rsidP="00F070E9">
            <w:pPr>
              <w:pStyle w:val="TableTextCentred"/>
              <w:rPr>
                <w:sz w:val="20"/>
                <w:szCs w:val="20"/>
              </w:rPr>
            </w:pPr>
          </w:p>
        </w:tc>
        <w:tc>
          <w:tcPr>
            <w:tcW w:w="384" w:type="pct"/>
          </w:tcPr>
          <w:p w14:paraId="73F8EABC" w14:textId="77777777" w:rsidR="00B43607" w:rsidRPr="00445454" w:rsidRDefault="00B43607" w:rsidP="00F070E9">
            <w:pPr>
              <w:pStyle w:val="TableTextCentred"/>
              <w:rPr>
                <w:sz w:val="20"/>
                <w:szCs w:val="20"/>
              </w:rPr>
            </w:pPr>
          </w:p>
        </w:tc>
      </w:tr>
      <w:tr w:rsidR="005950D2" w:rsidRPr="00445454" w14:paraId="2CBAE276" w14:textId="77777777" w:rsidTr="005950D2">
        <w:trPr>
          <w:cantSplit/>
        </w:trPr>
        <w:tc>
          <w:tcPr>
            <w:tcW w:w="376" w:type="pct"/>
          </w:tcPr>
          <w:p w14:paraId="7FC5EB1F" w14:textId="77777777" w:rsidR="00B43607" w:rsidRPr="00445454" w:rsidRDefault="00B43607" w:rsidP="00F070E9">
            <w:pPr>
              <w:pStyle w:val="TableTextCentred"/>
              <w:rPr>
                <w:sz w:val="20"/>
                <w:szCs w:val="20"/>
              </w:rPr>
            </w:pPr>
            <w:r w:rsidRPr="00445454">
              <w:rPr>
                <w:sz w:val="20"/>
                <w:szCs w:val="20"/>
              </w:rPr>
              <w:t>A1</w:t>
            </w:r>
          </w:p>
        </w:tc>
        <w:tc>
          <w:tcPr>
            <w:tcW w:w="3088" w:type="pct"/>
            <w:shd w:val="clear" w:color="auto" w:fill="auto"/>
          </w:tcPr>
          <w:p w14:paraId="66DA01D7" w14:textId="77777777" w:rsidR="00B43607" w:rsidRPr="00445454" w:rsidRDefault="00B43607" w:rsidP="00BC7F4E">
            <w:pPr>
              <w:pStyle w:val="TableText"/>
              <w:rPr>
                <w:sz w:val="20"/>
                <w:szCs w:val="20"/>
              </w:rPr>
            </w:pPr>
            <w:r w:rsidRPr="00445454">
              <w:rPr>
                <w:sz w:val="20"/>
                <w:szCs w:val="20"/>
              </w:rPr>
              <w:t>More than 50% of clients who contact the information line receive at least one referral</w:t>
            </w:r>
          </w:p>
        </w:tc>
        <w:tc>
          <w:tcPr>
            <w:tcW w:w="288" w:type="pct"/>
          </w:tcPr>
          <w:p w14:paraId="54857F6E" w14:textId="77777777" w:rsidR="00B43607" w:rsidRPr="00445454" w:rsidRDefault="00B43607" w:rsidP="00F070E9">
            <w:pPr>
              <w:pStyle w:val="TableTextCentred"/>
              <w:rPr>
                <w:sz w:val="20"/>
                <w:szCs w:val="20"/>
              </w:rPr>
            </w:pPr>
          </w:p>
        </w:tc>
        <w:tc>
          <w:tcPr>
            <w:tcW w:w="288" w:type="pct"/>
          </w:tcPr>
          <w:p w14:paraId="20766F23" w14:textId="77777777" w:rsidR="00B43607" w:rsidRPr="00445454" w:rsidRDefault="00B43607" w:rsidP="00F070E9">
            <w:pPr>
              <w:pStyle w:val="TableTextCentred"/>
              <w:rPr>
                <w:sz w:val="20"/>
                <w:szCs w:val="20"/>
              </w:rPr>
            </w:pPr>
            <w:r w:rsidRPr="00445454">
              <w:rPr>
                <w:sz w:val="20"/>
                <w:szCs w:val="20"/>
              </w:rPr>
              <w:sym w:font="Wingdings 2" w:char="F050"/>
            </w:r>
          </w:p>
        </w:tc>
        <w:tc>
          <w:tcPr>
            <w:tcW w:w="288" w:type="pct"/>
          </w:tcPr>
          <w:p w14:paraId="7A9252D3" w14:textId="77777777" w:rsidR="00B43607" w:rsidRPr="00445454" w:rsidRDefault="00B43607" w:rsidP="00F070E9">
            <w:pPr>
              <w:pStyle w:val="TableTextCentred"/>
              <w:rPr>
                <w:sz w:val="20"/>
                <w:szCs w:val="20"/>
              </w:rPr>
            </w:pPr>
          </w:p>
        </w:tc>
        <w:tc>
          <w:tcPr>
            <w:tcW w:w="288" w:type="pct"/>
          </w:tcPr>
          <w:p w14:paraId="5A8062EF" w14:textId="77777777" w:rsidR="00B43607" w:rsidRPr="00445454" w:rsidRDefault="00B43607" w:rsidP="00F070E9">
            <w:pPr>
              <w:pStyle w:val="TableTextCentred"/>
              <w:rPr>
                <w:sz w:val="20"/>
                <w:szCs w:val="20"/>
              </w:rPr>
            </w:pPr>
          </w:p>
        </w:tc>
        <w:tc>
          <w:tcPr>
            <w:tcW w:w="384" w:type="pct"/>
          </w:tcPr>
          <w:p w14:paraId="0A605573" w14:textId="77777777" w:rsidR="00B43607" w:rsidRPr="00445454" w:rsidRDefault="00B43607" w:rsidP="00F070E9">
            <w:pPr>
              <w:pStyle w:val="TableTextCentred"/>
              <w:rPr>
                <w:sz w:val="20"/>
                <w:szCs w:val="20"/>
              </w:rPr>
            </w:pPr>
          </w:p>
        </w:tc>
      </w:tr>
      <w:tr w:rsidR="005950D2" w:rsidRPr="00445454" w14:paraId="1B9E5695" w14:textId="77777777" w:rsidTr="005950D2">
        <w:trPr>
          <w:cantSplit/>
        </w:trPr>
        <w:tc>
          <w:tcPr>
            <w:tcW w:w="376" w:type="pct"/>
          </w:tcPr>
          <w:p w14:paraId="188E9FDD" w14:textId="77777777" w:rsidR="00B43607" w:rsidRPr="00445454" w:rsidRDefault="00B43607" w:rsidP="00F070E9">
            <w:pPr>
              <w:pStyle w:val="TableTextCentred"/>
              <w:rPr>
                <w:sz w:val="20"/>
                <w:szCs w:val="20"/>
              </w:rPr>
            </w:pPr>
            <w:r w:rsidRPr="00445454">
              <w:rPr>
                <w:sz w:val="20"/>
                <w:szCs w:val="20"/>
              </w:rPr>
              <w:t>A1</w:t>
            </w:r>
          </w:p>
        </w:tc>
        <w:tc>
          <w:tcPr>
            <w:tcW w:w="3088" w:type="pct"/>
            <w:shd w:val="clear" w:color="auto" w:fill="auto"/>
          </w:tcPr>
          <w:p w14:paraId="32979057" w14:textId="77777777" w:rsidR="00B43607" w:rsidRPr="00445454" w:rsidRDefault="00B43607" w:rsidP="00BC7F4E">
            <w:pPr>
              <w:pStyle w:val="TableText"/>
              <w:rPr>
                <w:sz w:val="20"/>
                <w:szCs w:val="20"/>
              </w:rPr>
            </w:pPr>
            <w:r w:rsidRPr="00445454">
              <w:rPr>
                <w:sz w:val="20"/>
                <w:szCs w:val="20"/>
              </w:rPr>
              <w:t>More than 80% of referrals to Commonwealth agencies are facilitated referrals</w:t>
            </w:r>
          </w:p>
        </w:tc>
        <w:tc>
          <w:tcPr>
            <w:tcW w:w="288" w:type="pct"/>
          </w:tcPr>
          <w:p w14:paraId="7B893623" w14:textId="77777777" w:rsidR="00B43607" w:rsidRPr="00445454" w:rsidRDefault="00B43607" w:rsidP="00F070E9">
            <w:pPr>
              <w:pStyle w:val="TableTextCentred"/>
              <w:rPr>
                <w:sz w:val="20"/>
                <w:szCs w:val="20"/>
              </w:rPr>
            </w:pPr>
          </w:p>
        </w:tc>
        <w:tc>
          <w:tcPr>
            <w:tcW w:w="288" w:type="pct"/>
          </w:tcPr>
          <w:p w14:paraId="59EEE96E" w14:textId="77777777" w:rsidR="00B43607" w:rsidRPr="00445454" w:rsidRDefault="00B43607" w:rsidP="00F070E9">
            <w:pPr>
              <w:pStyle w:val="TableTextCentred"/>
              <w:rPr>
                <w:sz w:val="20"/>
                <w:szCs w:val="20"/>
              </w:rPr>
            </w:pPr>
            <w:r w:rsidRPr="00445454">
              <w:rPr>
                <w:sz w:val="20"/>
                <w:szCs w:val="20"/>
              </w:rPr>
              <w:sym w:font="Wingdings 2" w:char="F050"/>
            </w:r>
          </w:p>
        </w:tc>
        <w:tc>
          <w:tcPr>
            <w:tcW w:w="288" w:type="pct"/>
          </w:tcPr>
          <w:p w14:paraId="3D7DFF99" w14:textId="77777777" w:rsidR="00B43607" w:rsidRPr="00445454" w:rsidRDefault="00B43607" w:rsidP="00F070E9">
            <w:pPr>
              <w:pStyle w:val="TableTextCentred"/>
              <w:rPr>
                <w:sz w:val="20"/>
                <w:szCs w:val="20"/>
              </w:rPr>
            </w:pPr>
          </w:p>
        </w:tc>
        <w:tc>
          <w:tcPr>
            <w:tcW w:w="288" w:type="pct"/>
          </w:tcPr>
          <w:p w14:paraId="25C353DF" w14:textId="77777777" w:rsidR="00B43607" w:rsidRPr="00445454" w:rsidRDefault="00B43607" w:rsidP="00F070E9">
            <w:pPr>
              <w:pStyle w:val="TableTextCentred"/>
              <w:rPr>
                <w:sz w:val="20"/>
                <w:szCs w:val="20"/>
              </w:rPr>
            </w:pPr>
          </w:p>
        </w:tc>
        <w:tc>
          <w:tcPr>
            <w:tcW w:w="384" w:type="pct"/>
          </w:tcPr>
          <w:p w14:paraId="517549D5" w14:textId="77777777" w:rsidR="00B43607" w:rsidRPr="00445454" w:rsidRDefault="00B43607" w:rsidP="00F070E9">
            <w:pPr>
              <w:pStyle w:val="TableTextCentred"/>
              <w:rPr>
                <w:sz w:val="20"/>
                <w:szCs w:val="20"/>
              </w:rPr>
            </w:pPr>
          </w:p>
        </w:tc>
      </w:tr>
      <w:tr w:rsidR="005950D2" w:rsidRPr="00445454" w14:paraId="2E7C0179" w14:textId="77777777" w:rsidTr="005950D2">
        <w:trPr>
          <w:cantSplit/>
        </w:trPr>
        <w:tc>
          <w:tcPr>
            <w:tcW w:w="376" w:type="pct"/>
          </w:tcPr>
          <w:p w14:paraId="246C62AE" w14:textId="77777777" w:rsidR="00B43607" w:rsidRPr="00445454" w:rsidRDefault="00B43607" w:rsidP="00F070E9">
            <w:pPr>
              <w:pStyle w:val="TableTextCentred"/>
              <w:rPr>
                <w:sz w:val="20"/>
                <w:szCs w:val="20"/>
              </w:rPr>
            </w:pPr>
            <w:r w:rsidRPr="00445454">
              <w:rPr>
                <w:sz w:val="20"/>
                <w:szCs w:val="20"/>
              </w:rPr>
              <w:t>A1</w:t>
            </w:r>
          </w:p>
        </w:tc>
        <w:tc>
          <w:tcPr>
            <w:tcW w:w="3088" w:type="pct"/>
            <w:shd w:val="clear" w:color="auto" w:fill="auto"/>
          </w:tcPr>
          <w:p w14:paraId="6D126ACD" w14:textId="77777777" w:rsidR="00B43607" w:rsidRPr="00445454" w:rsidRDefault="00B43607" w:rsidP="00BC7F4E">
            <w:pPr>
              <w:pStyle w:val="TableText"/>
              <w:rPr>
                <w:sz w:val="20"/>
                <w:szCs w:val="20"/>
              </w:rPr>
            </w:pPr>
            <w:r w:rsidRPr="00445454">
              <w:rPr>
                <w:sz w:val="20"/>
                <w:szCs w:val="20"/>
              </w:rPr>
              <w:t>Fewer than 2% of clients report receiving a wrong referral from the new service</w:t>
            </w:r>
          </w:p>
        </w:tc>
        <w:tc>
          <w:tcPr>
            <w:tcW w:w="288" w:type="pct"/>
          </w:tcPr>
          <w:p w14:paraId="76982026" w14:textId="77777777" w:rsidR="00B43607" w:rsidRPr="00445454" w:rsidRDefault="00B43607" w:rsidP="00F070E9">
            <w:pPr>
              <w:pStyle w:val="TableTextCentred"/>
              <w:rPr>
                <w:sz w:val="20"/>
                <w:szCs w:val="20"/>
              </w:rPr>
            </w:pPr>
          </w:p>
        </w:tc>
        <w:tc>
          <w:tcPr>
            <w:tcW w:w="288" w:type="pct"/>
          </w:tcPr>
          <w:p w14:paraId="45163E60" w14:textId="77777777" w:rsidR="00B43607" w:rsidRPr="00445454" w:rsidRDefault="00B43607" w:rsidP="00F070E9">
            <w:pPr>
              <w:pStyle w:val="TableTextCentred"/>
              <w:rPr>
                <w:sz w:val="20"/>
                <w:szCs w:val="20"/>
              </w:rPr>
            </w:pPr>
            <w:r w:rsidRPr="00445454">
              <w:rPr>
                <w:sz w:val="20"/>
                <w:szCs w:val="20"/>
              </w:rPr>
              <w:sym w:font="Wingdings 2" w:char="F050"/>
            </w:r>
          </w:p>
        </w:tc>
        <w:tc>
          <w:tcPr>
            <w:tcW w:w="288" w:type="pct"/>
          </w:tcPr>
          <w:p w14:paraId="0163CA5C" w14:textId="77777777" w:rsidR="00B43607" w:rsidRPr="00445454" w:rsidRDefault="00B43607" w:rsidP="00F070E9">
            <w:pPr>
              <w:pStyle w:val="TableTextCentred"/>
              <w:rPr>
                <w:sz w:val="20"/>
                <w:szCs w:val="20"/>
              </w:rPr>
            </w:pPr>
          </w:p>
        </w:tc>
        <w:tc>
          <w:tcPr>
            <w:tcW w:w="288" w:type="pct"/>
          </w:tcPr>
          <w:p w14:paraId="6C56EAF5" w14:textId="77777777" w:rsidR="00B43607" w:rsidRPr="00445454" w:rsidRDefault="00B43607" w:rsidP="00F070E9">
            <w:pPr>
              <w:pStyle w:val="TableTextCentred"/>
              <w:rPr>
                <w:sz w:val="20"/>
                <w:szCs w:val="20"/>
              </w:rPr>
            </w:pPr>
          </w:p>
        </w:tc>
        <w:tc>
          <w:tcPr>
            <w:tcW w:w="384" w:type="pct"/>
          </w:tcPr>
          <w:p w14:paraId="5D80BA68" w14:textId="77777777" w:rsidR="00B43607" w:rsidRPr="00445454" w:rsidRDefault="00B43607" w:rsidP="00F070E9">
            <w:pPr>
              <w:pStyle w:val="TableTextCentred"/>
              <w:rPr>
                <w:sz w:val="20"/>
                <w:szCs w:val="20"/>
              </w:rPr>
            </w:pPr>
          </w:p>
        </w:tc>
      </w:tr>
      <w:tr w:rsidR="005950D2" w:rsidRPr="00445454" w14:paraId="6BF325D3" w14:textId="77777777" w:rsidTr="005950D2">
        <w:trPr>
          <w:cantSplit/>
        </w:trPr>
        <w:tc>
          <w:tcPr>
            <w:tcW w:w="376" w:type="pct"/>
          </w:tcPr>
          <w:p w14:paraId="665142B1" w14:textId="77777777" w:rsidR="00B43607" w:rsidRPr="00445454" w:rsidRDefault="00B43607" w:rsidP="00F070E9">
            <w:pPr>
              <w:pStyle w:val="TableTextCentred"/>
              <w:rPr>
                <w:sz w:val="20"/>
                <w:szCs w:val="20"/>
              </w:rPr>
            </w:pPr>
            <w:r w:rsidRPr="00445454">
              <w:rPr>
                <w:sz w:val="20"/>
                <w:szCs w:val="20"/>
              </w:rPr>
              <w:t>A1</w:t>
            </w:r>
          </w:p>
        </w:tc>
        <w:tc>
          <w:tcPr>
            <w:tcW w:w="3088" w:type="pct"/>
            <w:shd w:val="clear" w:color="auto" w:fill="auto"/>
          </w:tcPr>
          <w:p w14:paraId="567861EE" w14:textId="77777777" w:rsidR="00B43607" w:rsidRPr="00445454" w:rsidRDefault="00B43607" w:rsidP="00BC7F4E">
            <w:pPr>
              <w:pStyle w:val="TableText"/>
              <w:rPr>
                <w:sz w:val="20"/>
                <w:szCs w:val="20"/>
              </w:rPr>
            </w:pPr>
            <w:r w:rsidRPr="00445454">
              <w:rPr>
                <w:sz w:val="20"/>
                <w:szCs w:val="20"/>
              </w:rPr>
              <w:t>More than 80% of clients who agreed to be followed up received a call or email within 5 working days</w:t>
            </w:r>
          </w:p>
        </w:tc>
        <w:tc>
          <w:tcPr>
            <w:tcW w:w="288" w:type="pct"/>
          </w:tcPr>
          <w:p w14:paraId="6351DB4C" w14:textId="77777777" w:rsidR="00B43607" w:rsidRPr="00445454" w:rsidRDefault="00B43607" w:rsidP="00F070E9">
            <w:pPr>
              <w:pStyle w:val="TableTextCentred"/>
              <w:rPr>
                <w:sz w:val="20"/>
                <w:szCs w:val="20"/>
              </w:rPr>
            </w:pPr>
          </w:p>
        </w:tc>
        <w:tc>
          <w:tcPr>
            <w:tcW w:w="288" w:type="pct"/>
          </w:tcPr>
          <w:p w14:paraId="5656EBC4" w14:textId="77777777" w:rsidR="00B43607" w:rsidRPr="00445454" w:rsidRDefault="00B43607" w:rsidP="00F070E9">
            <w:pPr>
              <w:pStyle w:val="TableTextCentred"/>
              <w:rPr>
                <w:sz w:val="20"/>
                <w:szCs w:val="20"/>
              </w:rPr>
            </w:pPr>
            <w:r w:rsidRPr="00445454">
              <w:rPr>
                <w:sz w:val="20"/>
                <w:szCs w:val="20"/>
              </w:rPr>
              <w:sym w:font="Wingdings 2" w:char="F050"/>
            </w:r>
          </w:p>
        </w:tc>
        <w:tc>
          <w:tcPr>
            <w:tcW w:w="288" w:type="pct"/>
          </w:tcPr>
          <w:p w14:paraId="5F9FB364" w14:textId="77777777" w:rsidR="00B43607" w:rsidRPr="00445454" w:rsidRDefault="00B43607" w:rsidP="00F070E9">
            <w:pPr>
              <w:pStyle w:val="TableTextCentred"/>
              <w:rPr>
                <w:sz w:val="20"/>
                <w:szCs w:val="20"/>
              </w:rPr>
            </w:pPr>
          </w:p>
        </w:tc>
        <w:tc>
          <w:tcPr>
            <w:tcW w:w="288" w:type="pct"/>
          </w:tcPr>
          <w:p w14:paraId="0CB1E078" w14:textId="77777777" w:rsidR="00B43607" w:rsidRPr="00445454" w:rsidRDefault="00B43607" w:rsidP="00F070E9">
            <w:pPr>
              <w:pStyle w:val="TableTextCentred"/>
              <w:rPr>
                <w:sz w:val="20"/>
                <w:szCs w:val="20"/>
              </w:rPr>
            </w:pPr>
          </w:p>
        </w:tc>
        <w:tc>
          <w:tcPr>
            <w:tcW w:w="384" w:type="pct"/>
          </w:tcPr>
          <w:p w14:paraId="1EFD069B" w14:textId="77777777" w:rsidR="00B43607" w:rsidRPr="00445454" w:rsidRDefault="00B43607" w:rsidP="00F070E9">
            <w:pPr>
              <w:pStyle w:val="TableTextCentred"/>
              <w:rPr>
                <w:sz w:val="20"/>
                <w:szCs w:val="20"/>
              </w:rPr>
            </w:pPr>
          </w:p>
        </w:tc>
      </w:tr>
      <w:tr w:rsidR="005950D2" w:rsidRPr="00445454" w14:paraId="42701DAF" w14:textId="77777777" w:rsidTr="005950D2">
        <w:trPr>
          <w:cantSplit/>
        </w:trPr>
        <w:tc>
          <w:tcPr>
            <w:tcW w:w="376" w:type="pct"/>
          </w:tcPr>
          <w:p w14:paraId="69FEEE5C" w14:textId="77777777" w:rsidR="00B43607" w:rsidRPr="00445454" w:rsidRDefault="00B43607" w:rsidP="00F070E9">
            <w:pPr>
              <w:pStyle w:val="TableTextCentred"/>
              <w:rPr>
                <w:sz w:val="20"/>
                <w:szCs w:val="20"/>
              </w:rPr>
            </w:pPr>
            <w:r w:rsidRPr="00445454">
              <w:rPr>
                <w:sz w:val="20"/>
                <w:szCs w:val="20"/>
              </w:rPr>
              <w:t>A1</w:t>
            </w:r>
          </w:p>
        </w:tc>
        <w:tc>
          <w:tcPr>
            <w:tcW w:w="3088" w:type="pct"/>
            <w:shd w:val="clear" w:color="auto" w:fill="auto"/>
          </w:tcPr>
          <w:p w14:paraId="740B3009" w14:textId="77777777" w:rsidR="00B43607" w:rsidRPr="00445454" w:rsidRDefault="00B43607" w:rsidP="00BC7F4E">
            <w:pPr>
              <w:pStyle w:val="TableText"/>
              <w:rPr>
                <w:sz w:val="20"/>
                <w:szCs w:val="20"/>
              </w:rPr>
            </w:pPr>
            <w:r w:rsidRPr="00445454">
              <w:rPr>
                <w:sz w:val="20"/>
                <w:szCs w:val="20"/>
              </w:rPr>
              <w:t>More than 80% of email enquiries are responded to within 5 working days</w:t>
            </w:r>
          </w:p>
        </w:tc>
        <w:tc>
          <w:tcPr>
            <w:tcW w:w="288" w:type="pct"/>
          </w:tcPr>
          <w:p w14:paraId="6C3EC9B2" w14:textId="77777777" w:rsidR="00B43607" w:rsidRPr="00445454" w:rsidRDefault="00B43607" w:rsidP="00F070E9">
            <w:pPr>
              <w:pStyle w:val="TableTextCentred"/>
              <w:rPr>
                <w:sz w:val="20"/>
                <w:szCs w:val="20"/>
              </w:rPr>
            </w:pPr>
          </w:p>
        </w:tc>
        <w:tc>
          <w:tcPr>
            <w:tcW w:w="288" w:type="pct"/>
          </w:tcPr>
          <w:p w14:paraId="3FCC9864" w14:textId="77777777" w:rsidR="00B43607" w:rsidRPr="00445454" w:rsidRDefault="00B43607" w:rsidP="00F070E9">
            <w:pPr>
              <w:pStyle w:val="TableTextCentred"/>
              <w:rPr>
                <w:sz w:val="20"/>
                <w:szCs w:val="20"/>
              </w:rPr>
            </w:pPr>
            <w:r w:rsidRPr="00445454">
              <w:rPr>
                <w:sz w:val="20"/>
                <w:szCs w:val="20"/>
              </w:rPr>
              <w:sym w:font="Wingdings 2" w:char="F050"/>
            </w:r>
          </w:p>
        </w:tc>
        <w:tc>
          <w:tcPr>
            <w:tcW w:w="288" w:type="pct"/>
          </w:tcPr>
          <w:p w14:paraId="26FF0F5E" w14:textId="77777777" w:rsidR="00B43607" w:rsidRPr="00445454" w:rsidRDefault="00B43607" w:rsidP="00F070E9">
            <w:pPr>
              <w:pStyle w:val="TableTextCentred"/>
              <w:rPr>
                <w:sz w:val="20"/>
                <w:szCs w:val="20"/>
              </w:rPr>
            </w:pPr>
          </w:p>
        </w:tc>
        <w:tc>
          <w:tcPr>
            <w:tcW w:w="288" w:type="pct"/>
          </w:tcPr>
          <w:p w14:paraId="21FD573A" w14:textId="77777777" w:rsidR="00B43607" w:rsidRPr="00445454" w:rsidRDefault="00B43607" w:rsidP="00F070E9">
            <w:pPr>
              <w:pStyle w:val="TableTextCentred"/>
              <w:rPr>
                <w:sz w:val="20"/>
                <w:szCs w:val="20"/>
              </w:rPr>
            </w:pPr>
          </w:p>
        </w:tc>
        <w:tc>
          <w:tcPr>
            <w:tcW w:w="384" w:type="pct"/>
          </w:tcPr>
          <w:p w14:paraId="0F0809E4" w14:textId="77777777" w:rsidR="00B43607" w:rsidRPr="00445454" w:rsidRDefault="00B43607" w:rsidP="00F070E9">
            <w:pPr>
              <w:pStyle w:val="TableTextCentred"/>
              <w:rPr>
                <w:sz w:val="20"/>
                <w:szCs w:val="20"/>
              </w:rPr>
            </w:pPr>
          </w:p>
        </w:tc>
      </w:tr>
      <w:tr w:rsidR="005950D2" w:rsidRPr="00445454" w14:paraId="5787DF88" w14:textId="77777777" w:rsidTr="005950D2">
        <w:trPr>
          <w:cantSplit/>
        </w:trPr>
        <w:tc>
          <w:tcPr>
            <w:tcW w:w="376" w:type="pct"/>
          </w:tcPr>
          <w:p w14:paraId="622FA2B5" w14:textId="77777777" w:rsidR="00B43607" w:rsidRPr="00445454" w:rsidRDefault="00B43607" w:rsidP="00F070E9">
            <w:pPr>
              <w:pStyle w:val="TableTextCentred"/>
              <w:rPr>
                <w:sz w:val="20"/>
                <w:szCs w:val="20"/>
              </w:rPr>
            </w:pPr>
            <w:r w:rsidRPr="00445454">
              <w:rPr>
                <w:sz w:val="20"/>
                <w:szCs w:val="20"/>
              </w:rPr>
              <w:t>A1</w:t>
            </w:r>
          </w:p>
        </w:tc>
        <w:tc>
          <w:tcPr>
            <w:tcW w:w="3088" w:type="pct"/>
            <w:shd w:val="clear" w:color="auto" w:fill="auto"/>
          </w:tcPr>
          <w:p w14:paraId="5881D551" w14:textId="77777777" w:rsidR="00B43607" w:rsidRPr="00445454" w:rsidRDefault="00B43607" w:rsidP="00BC7F4E">
            <w:pPr>
              <w:pStyle w:val="TableText"/>
              <w:rPr>
                <w:sz w:val="20"/>
                <w:szCs w:val="20"/>
              </w:rPr>
            </w:pPr>
            <w:r w:rsidRPr="00445454">
              <w:rPr>
                <w:sz w:val="20"/>
                <w:szCs w:val="20"/>
              </w:rPr>
              <w:t>More than 65% of people report the new service was useful, including reducing time spent finding relevant information</w:t>
            </w:r>
          </w:p>
        </w:tc>
        <w:tc>
          <w:tcPr>
            <w:tcW w:w="288" w:type="pct"/>
          </w:tcPr>
          <w:p w14:paraId="07E15CEB" w14:textId="77777777" w:rsidR="00B43607" w:rsidRPr="00445454" w:rsidRDefault="00B43607" w:rsidP="00F070E9">
            <w:pPr>
              <w:pStyle w:val="TableTextCentred"/>
              <w:rPr>
                <w:sz w:val="20"/>
                <w:szCs w:val="20"/>
              </w:rPr>
            </w:pPr>
          </w:p>
        </w:tc>
        <w:tc>
          <w:tcPr>
            <w:tcW w:w="288" w:type="pct"/>
          </w:tcPr>
          <w:p w14:paraId="6BB66AB3" w14:textId="77777777" w:rsidR="00B43607" w:rsidRPr="00445454" w:rsidRDefault="00B43607" w:rsidP="00F070E9">
            <w:pPr>
              <w:pStyle w:val="TableTextCentred"/>
              <w:rPr>
                <w:sz w:val="20"/>
                <w:szCs w:val="20"/>
              </w:rPr>
            </w:pPr>
          </w:p>
        </w:tc>
        <w:tc>
          <w:tcPr>
            <w:tcW w:w="288" w:type="pct"/>
          </w:tcPr>
          <w:p w14:paraId="5028523B" w14:textId="77777777" w:rsidR="00B43607" w:rsidRPr="00445454" w:rsidRDefault="00B43607" w:rsidP="00F070E9">
            <w:pPr>
              <w:pStyle w:val="TableTextCentred"/>
              <w:rPr>
                <w:sz w:val="20"/>
                <w:szCs w:val="20"/>
              </w:rPr>
            </w:pPr>
            <w:r w:rsidRPr="00445454">
              <w:rPr>
                <w:sz w:val="20"/>
                <w:szCs w:val="20"/>
              </w:rPr>
              <w:sym w:font="Wingdings 2" w:char="F050"/>
            </w:r>
          </w:p>
        </w:tc>
        <w:tc>
          <w:tcPr>
            <w:tcW w:w="288" w:type="pct"/>
          </w:tcPr>
          <w:p w14:paraId="35E78F5B" w14:textId="77777777" w:rsidR="00B43607" w:rsidRPr="00445454" w:rsidRDefault="00B43607" w:rsidP="00F070E9">
            <w:pPr>
              <w:pStyle w:val="TableTextCentred"/>
              <w:rPr>
                <w:sz w:val="20"/>
                <w:szCs w:val="20"/>
              </w:rPr>
            </w:pPr>
          </w:p>
        </w:tc>
        <w:tc>
          <w:tcPr>
            <w:tcW w:w="384" w:type="pct"/>
          </w:tcPr>
          <w:p w14:paraId="0F735B72" w14:textId="77777777" w:rsidR="00B43607" w:rsidRPr="00445454" w:rsidRDefault="00B43607" w:rsidP="00F070E9">
            <w:pPr>
              <w:pStyle w:val="TableTextCentred"/>
              <w:rPr>
                <w:sz w:val="20"/>
                <w:szCs w:val="20"/>
              </w:rPr>
            </w:pPr>
          </w:p>
        </w:tc>
      </w:tr>
      <w:tr w:rsidR="005950D2" w:rsidRPr="00445454" w14:paraId="3912F9D0" w14:textId="77777777" w:rsidTr="005950D2">
        <w:trPr>
          <w:cantSplit/>
        </w:trPr>
        <w:tc>
          <w:tcPr>
            <w:tcW w:w="376" w:type="pct"/>
          </w:tcPr>
          <w:p w14:paraId="12974A50" w14:textId="77777777" w:rsidR="00B43607" w:rsidRPr="00445454" w:rsidRDefault="00B43607" w:rsidP="00483D68">
            <w:pPr>
              <w:pStyle w:val="TableTextCentred"/>
              <w:rPr>
                <w:sz w:val="20"/>
                <w:szCs w:val="20"/>
              </w:rPr>
            </w:pPr>
            <w:r w:rsidRPr="00445454">
              <w:rPr>
                <w:sz w:val="20"/>
                <w:szCs w:val="20"/>
              </w:rPr>
              <w:lastRenderedPageBreak/>
              <w:t>A1</w:t>
            </w:r>
          </w:p>
        </w:tc>
        <w:tc>
          <w:tcPr>
            <w:tcW w:w="3088" w:type="pct"/>
            <w:shd w:val="clear" w:color="auto" w:fill="auto"/>
          </w:tcPr>
          <w:p w14:paraId="510A93BD" w14:textId="77777777" w:rsidR="00B43607" w:rsidRPr="00445454" w:rsidRDefault="00B43607" w:rsidP="00BC7F4E">
            <w:pPr>
              <w:pStyle w:val="TableText"/>
              <w:rPr>
                <w:sz w:val="20"/>
                <w:szCs w:val="20"/>
              </w:rPr>
            </w:pPr>
            <w:r w:rsidRPr="00445454">
              <w:rPr>
                <w:sz w:val="20"/>
                <w:szCs w:val="20"/>
              </w:rPr>
              <w:t>Of all the people who access the service at least 80% report satisfaction with:</w:t>
            </w:r>
          </w:p>
          <w:p w14:paraId="1DD287BD" w14:textId="5DECB173" w:rsidR="00B43607" w:rsidRPr="00445454" w:rsidRDefault="00B43607" w:rsidP="00F070E9">
            <w:pPr>
              <w:pStyle w:val="TableBullet1"/>
              <w:rPr>
                <w:sz w:val="20"/>
                <w:szCs w:val="20"/>
              </w:rPr>
            </w:pPr>
            <w:r w:rsidRPr="00445454">
              <w:rPr>
                <w:sz w:val="20"/>
                <w:szCs w:val="20"/>
              </w:rPr>
              <w:t>Information provided</w:t>
            </w:r>
          </w:p>
          <w:p w14:paraId="30AE1B7A" w14:textId="77777777" w:rsidR="00B43607" w:rsidRPr="00445454" w:rsidRDefault="00B43607" w:rsidP="00F070E9">
            <w:pPr>
              <w:pStyle w:val="TableBullet1"/>
              <w:rPr>
                <w:sz w:val="20"/>
                <w:szCs w:val="20"/>
              </w:rPr>
            </w:pPr>
            <w:r w:rsidRPr="00445454">
              <w:rPr>
                <w:sz w:val="20"/>
                <w:szCs w:val="20"/>
              </w:rPr>
              <w:t>Website</w:t>
            </w:r>
          </w:p>
          <w:p w14:paraId="2260EB8B" w14:textId="77777777" w:rsidR="00B43607" w:rsidRPr="00445454" w:rsidRDefault="00B43607" w:rsidP="00F070E9">
            <w:pPr>
              <w:pStyle w:val="TableBullet1"/>
              <w:rPr>
                <w:sz w:val="20"/>
                <w:szCs w:val="20"/>
              </w:rPr>
            </w:pPr>
            <w:r w:rsidRPr="00445454">
              <w:rPr>
                <w:sz w:val="20"/>
                <w:szCs w:val="20"/>
              </w:rPr>
              <w:t>Referral pathways by the information line</w:t>
            </w:r>
          </w:p>
        </w:tc>
        <w:tc>
          <w:tcPr>
            <w:tcW w:w="288" w:type="pct"/>
          </w:tcPr>
          <w:p w14:paraId="7B38ED43" w14:textId="77777777" w:rsidR="00B43607" w:rsidRPr="00445454" w:rsidRDefault="00B43607" w:rsidP="00F070E9">
            <w:pPr>
              <w:pStyle w:val="TableTextCentred"/>
              <w:rPr>
                <w:sz w:val="20"/>
                <w:szCs w:val="20"/>
              </w:rPr>
            </w:pPr>
          </w:p>
        </w:tc>
        <w:tc>
          <w:tcPr>
            <w:tcW w:w="288" w:type="pct"/>
          </w:tcPr>
          <w:p w14:paraId="51F32544" w14:textId="77777777" w:rsidR="00B43607" w:rsidRPr="00445454" w:rsidRDefault="00B43607" w:rsidP="00F070E9">
            <w:pPr>
              <w:pStyle w:val="TableTextCentred"/>
              <w:rPr>
                <w:sz w:val="20"/>
                <w:szCs w:val="20"/>
              </w:rPr>
            </w:pPr>
          </w:p>
        </w:tc>
        <w:tc>
          <w:tcPr>
            <w:tcW w:w="288" w:type="pct"/>
          </w:tcPr>
          <w:p w14:paraId="77E97A57" w14:textId="77777777" w:rsidR="00B43607" w:rsidRPr="00445454" w:rsidRDefault="00B43607" w:rsidP="00F070E9">
            <w:pPr>
              <w:pStyle w:val="TableTextCentred"/>
              <w:rPr>
                <w:sz w:val="20"/>
                <w:szCs w:val="20"/>
              </w:rPr>
            </w:pPr>
            <w:r w:rsidRPr="00445454">
              <w:rPr>
                <w:sz w:val="20"/>
                <w:szCs w:val="20"/>
              </w:rPr>
              <w:sym w:font="Wingdings 2" w:char="F050"/>
            </w:r>
          </w:p>
        </w:tc>
        <w:tc>
          <w:tcPr>
            <w:tcW w:w="288" w:type="pct"/>
          </w:tcPr>
          <w:p w14:paraId="5307573C" w14:textId="77777777" w:rsidR="00B43607" w:rsidRPr="00445454" w:rsidRDefault="00B43607" w:rsidP="00F070E9">
            <w:pPr>
              <w:pStyle w:val="TableTextCentred"/>
              <w:rPr>
                <w:sz w:val="20"/>
                <w:szCs w:val="20"/>
              </w:rPr>
            </w:pPr>
          </w:p>
        </w:tc>
        <w:tc>
          <w:tcPr>
            <w:tcW w:w="384" w:type="pct"/>
          </w:tcPr>
          <w:p w14:paraId="5BAA8DE9" w14:textId="77777777" w:rsidR="00B43607" w:rsidRPr="00445454" w:rsidRDefault="00B43607" w:rsidP="00F070E9">
            <w:pPr>
              <w:pStyle w:val="TableTextCentred"/>
              <w:rPr>
                <w:sz w:val="20"/>
                <w:szCs w:val="20"/>
              </w:rPr>
            </w:pPr>
          </w:p>
        </w:tc>
      </w:tr>
      <w:tr w:rsidR="005950D2" w:rsidRPr="00445454" w14:paraId="5330D350" w14:textId="77777777" w:rsidTr="005950D2">
        <w:trPr>
          <w:cantSplit/>
        </w:trPr>
        <w:tc>
          <w:tcPr>
            <w:tcW w:w="376" w:type="pct"/>
          </w:tcPr>
          <w:p w14:paraId="2806760F" w14:textId="77777777" w:rsidR="00B43607" w:rsidRPr="00445454" w:rsidRDefault="00B43607" w:rsidP="00F070E9">
            <w:pPr>
              <w:pStyle w:val="TableTextCentred"/>
              <w:rPr>
                <w:sz w:val="20"/>
                <w:szCs w:val="20"/>
              </w:rPr>
            </w:pPr>
            <w:r w:rsidRPr="00445454">
              <w:rPr>
                <w:sz w:val="20"/>
                <w:szCs w:val="20"/>
              </w:rPr>
              <w:t>A1</w:t>
            </w:r>
          </w:p>
        </w:tc>
        <w:tc>
          <w:tcPr>
            <w:tcW w:w="3088" w:type="pct"/>
            <w:shd w:val="clear" w:color="auto" w:fill="auto"/>
          </w:tcPr>
          <w:p w14:paraId="1AEBDA98" w14:textId="77777777" w:rsidR="00B43607" w:rsidRPr="00445454" w:rsidRDefault="00B43607" w:rsidP="00BC7F4E">
            <w:pPr>
              <w:pStyle w:val="TableText"/>
              <w:rPr>
                <w:sz w:val="20"/>
                <w:szCs w:val="20"/>
              </w:rPr>
            </w:pPr>
            <w:r w:rsidRPr="00445454">
              <w:rPr>
                <w:sz w:val="20"/>
                <w:szCs w:val="20"/>
              </w:rPr>
              <w:t>At least 250 people subscribe to the IAA mailing list in the first year of operation</w:t>
            </w:r>
          </w:p>
        </w:tc>
        <w:tc>
          <w:tcPr>
            <w:tcW w:w="288" w:type="pct"/>
          </w:tcPr>
          <w:p w14:paraId="652DB516" w14:textId="77777777" w:rsidR="00B43607" w:rsidRPr="00445454" w:rsidRDefault="00B43607" w:rsidP="00F070E9">
            <w:pPr>
              <w:pStyle w:val="TableTextCentred"/>
              <w:rPr>
                <w:sz w:val="20"/>
                <w:szCs w:val="20"/>
              </w:rPr>
            </w:pPr>
            <w:r w:rsidRPr="00445454">
              <w:rPr>
                <w:sz w:val="20"/>
                <w:szCs w:val="20"/>
              </w:rPr>
              <w:sym w:font="Wingdings 2" w:char="F050"/>
            </w:r>
          </w:p>
        </w:tc>
        <w:tc>
          <w:tcPr>
            <w:tcW w:w="288" w:type="pct"/>
          </w:tcPr>
          <w:p w14:paraId="2588EBDA" w14:textId="77777777" w:rsidR="00B43607" w:rsidRPr="00445454" w:rsidRDefault="00B43607" w:rsidP="00F070E9">
            <w:pPr>
              <w:pStyle w:val="TableTextCentred"/>
              <w:rPr>
                <w:sz w:val="20"/>
                <w:szCs w:val="20"/>
              </w:rPr>
            </w:pPr>
          </w:p>
        </w:tc>
        <w:tc>
          <w:tcPr>
            <w:tcW w:w="288" w:type="pct"/>
          </w:tcPr>
          <w:p w14:paraId="10CCE264" w14:textId="77777777" w:rsidR="00B43607" w:rsidRPr="00445454" w:rsidRDefault="00B43607" w:rsidP="00F070E9">
            <w:pPr>
              <w:pStyle w:val="TableTextCentred"/>
              <w:rPr>
                <w:sz w:val="20"/>
                <w:szCs w:val="20"/>
              </w:rPr>
            </w:pPr>
          </w:p>
        </w:tc>
        <w:tc>
          <w:tcPr>
            <w:tcW w:w="288" w:type="pct"/>
          </w:tcPr>
          <w:p w14:paraId="1F15C1CA" w14:textId="77777777" w:rsidR="00B43607" w:rsidRPr="00445454" w:rsidRDefault="00B43607" w:rsidP="00F070E9">
            <w:pPr>
              <w:pStyle w:val="TableTextCentred"/>
              <w:rPr>
                <w:sz w:val="20"/>
                <w:szCs w:val="20"/>
              </w:rPr>
            </w:pPr>
          </w:p>
        </w:tc>
        <w:tc>
          <w:tcPr>
            <w:tcW w:w="384" w:type="pct"/>
          </w:tcPr>
          <w:p w14:paraId="20B82359" w14:textId="77777777" w:rsidR="00B43607" w:rsidRPr="00445454" w:rsidRDefault="00B43607" w:rsidP="00F070E9">
            <w:pPr>
              <w:pStyle w:val="TableTextCentred"/>
              <w:rPr>
                <w:sz w:val="20"/>
                <w:szCs w:val="20"/>
              </w:rPr>
            </w:pPr>
          </w:p>
        </w:tc>
      </w:tr>
      <w:tr w:rsidR="005950D2" w:rsidRPr="00445454" w14:paraId="602911D2" w14:textId="77777777" w:rsidTr="005950D2">
        <w:trPr>
          <w:cantSplit/>
        </w:trPr>
        <w:tc>
          <w:tcPr>
            <w:tcW w:w="376" w:type="pct"/>
          </w:tcPr>
          <w:p w14:paraId="132796EE" w14:textId="77777777" w:rsidR="00B43607" w:rsidRPr="00445454" w:rsidRDefault="00B43607" w:rsidP="00F070E9">
            <w:pPr>
              <w:pStyle w:val="TableTextCentred"/>
              <w:rPr>
                <w:sz w:val="20"/>
                <w:szCs w:val="20"/>
              </w:rPr>
            </w:pPr>
            <w:r w:rsidRPr="00445454">
              <w:rPr>
                <w:sz w:val="20"/>
                <w:szCs w:val="20"/>
              </w:rPr>
              <w:t>A1</w:t>
            </w:r>
          </w:p>
        </w:tc>
        <w:tc>
          <w:tcPr>
            <w:tcW w:w="3088" w:type="pct"/>
            <w:shd w:val="clear" w:color="auto" w:fill="auto"/>
          </w:tcPr>
          <w:p w14:paraId="70D5ED64" w14:textId="77777777" w:rsidR="00B43607" w:rsidRPr="00445454" w:rsidRDefault="00B43607" w:rsidP="00BC7F4E">
            <w:pPr>
              <w:pStyle w:val="TableText"/>
              <w:rPr>
                <w:sz w:val="20"/>
                <w:szCs w:val="20"/>
              </w:rPr>
            </w:pPr>
            <w:r w:rsidRPr="00445454">
              <w:rPr>
                <w:sz w:val="20"/>
                <w:szCs w:val="20"/>
              </w:rPr>
              <w:t>Fewer than 5% of calls or emails are complaints about the service</w:t>
            </w:r>
          </w:p>
        </w:tc>
        <w:tc>
          <w:tcPr>
            <w:tcW w:w="288" w:type="pct"/>
          </w:tcPr>
          <w:p w14:paraId="5A0119BA" w14:textId="77777777" w:rsidR="00B43607" w:rsidRPr="00445454" w:rsidRDefault="00B43607" w:rsidP="00F070E9">
            <w:pPr>
              <w:pStyle w:val="TableTextCentred"/>
              <w:rPr>
                <w:sz w:val="20"/>
                <w:szCs w:val="20"/>
              </w:rPr>
            </w:pPr>
          </w:p>
        </w:tc>
        <w:tc>
          <w:tcPr>
            <w:tcW w:w="288" w:type="pct"/>
          </w:tcPr>
          <w:p w14:paraId="7744CCE8" w14:textId="77777777" w:rsidR="00B43607" w:rsidRPr="00445454" w:rsidRDefault="00B43607" w:rsidP="00F070E9">
            <w:pPr>
              <w:pStyle w:val="TableTextCentred"/>
              <w:rPr>
                <w:sz w:val="20"/>
                <w:szCs w:val="20"/>
              </w:rPr>
            </w:pPr>
          </w:p>
        </w:tc>
        <w:tc>
          <w:tcPr>
            <w:tcW w:w="288" w:type="pct"/>
          </w:tcPr>
          <w:p w14:paraId="2575E668" w14:textId="77777777" w:rsidR="00B43607" w:rsidRPr="00445454" w:rsidRDefault="00B43607" w:rsidP="00F070E9">
            <w:pPr>
              <w:pStyle w:val="TableTextCentred"/>
              <w:rPr>
                <w:sz w:val="20"/>
                <w:szCs w:val="20"/>
              </w:rPr>
            </w:pPr>
            <w:r w:rsidRPr="00445454">
              <w:rPr>
                <w:sz w:val="20"/>
                <w:szCs w:val="20"/>
              </w:rPr>
              <w:sym w:font="Wingdings 2" w:char="F050"/>
            </w:r>
          </w:p>
        </w:tc>
        <w:tc>
          <w:tcPr>
            <w:tcW w:w="288" w:type="pct"/>
          </w:tcPr>
          <w:p w14:paraId="3714DCA7" w14:textId="77777777" w:rsidR="00B43607" w:rsidRPr="00445454" w:rsidRDefault="00B43607" w:rsidP="00F070E9">
            <w:pPr>
              <w:pStyle w:val="TableTextCentred"/>
              <w:rPr>
                <w:sz w:val="20"/>
                <w:szCs w:val="20"/>
              </w:rPr>
            </w:pPr>
          </w:p>
        </w:tc>
        <w:tc>
          <w:tcPr>
            <w:tcW w:w="384" w:type="pct"/>
          </w:tcPr>
          <w:p w14:paraId="3661C756" w14:textId="77777777" w:rsidR="00B43607" w:rsidRPr="00445454" w:rsidRDefault="00B43607" w:rsidP="00F070E9">
            <w:pPr>
              <w:pStyle w:val="TableTextCentred"/>
              <w:rPr>
                <w:sz w:val="20"/>
                <w:szCs w:val="20"/>
              </w:rPr>
            </w:pPr>
          </w:p>
        </w:tc>
      </w:tr>
      <w:tr w:rsidR="005950D2" w:rsidRPr="00445454" w14:paraId="40244359" w14:textId="77777777" w:rsidTr="005950D2">
        <w:trPr>
          <w:cantSplit/>
        </w:trPr>
        <w:tc>
          <w:tcPr>
            <w:tcW w:w="376" w:type="pct"/>
          </w:tcPr>
          <w:p w14:paraId="229D8E7E" w14:textId="77777777" w:rsidR="00B43607" w:rsidRPr="00445454" w:rsidRDefault="00B43607" w:rsidP="00F070E9">
            <w:pPr>
              <w:pStyle w:val="TableTextCentred"/>
              <w:rPr>
                <w:sz w:val="20"/>
                <w:szCs w:val="20"/>
              </w:rPr>
            </w:pPr>
            <w:r w:rsidRPr="00445454">
              <w:rPr>
                <w:sz w:val="20"/>
                <w:szCs w:val="20"/>
              </w:rPr>
              <w:t>A1</w:t>
            </w:r>
          </w:p>
        </w:tc>
        <w:tc>
          <w:tcPr>
            <w:tcW w:w="3088" w:type="pct"/>
            <w:shd w:val="clear" w:color="auto" w:fill="auto"/>
          </w:tcPr>
          <w:p w14:paraId="11702C27" w14:textId="77777777" w:rsidR="00B43607" w:rsidRPr="00445454" w:rsidRDefault="00B43607" w:rsidP="00BC7F4E">
            <w:pPr>
              <w:pStyle w:val="TableText"/>
              <w:rPr>
                <w:sz w:val="20"/>
                <w:szCs w:val="20"/>
              </w:rPr>
            </w:pPr>
            <w:r w:rsidRPr="00445454">
              <w:rPr>
                <w:sz w:val="20"/>
                <w:szCs w:val="20"/>
              </w:rPr>
              <w:t>Fewer than 10% of calls and emails are complaints about ICA processes</w:t>
            </w:r>
          </w:p>
        </w:tc>
        <w:tc>
          <w:tcPr>
            <w:tcW w:w="288" w:type="pct"/>
          </w:tcPr>
          <w:p w14:paraId="175A865F" w14:textId="77777777" w:rsidR="00B43607" w:rsidRPr="00445454" w:rsidRDefault="00B43607" w:rsidP="00F070E9">
            <w:pPr>
              <w:pStyle w:val="TableTextCentred"/>
              <w:rPr>
                <w:sz w:val="20"/>
                <w:szCs w:val="20"/>
              </w:rPr>
            </w:pPr>
          </w:p>
        </w:tc>
        <w:tc>
          <w:tcPr>
            <w:tcW w:w="288" w:type="pct"/>
          </w:tcPr>
          <w:p w14:paraId="06E1B8D1" w14:textId="77777777" w:rsidR="00B43607" w:rsidRPr="00445454" w:rsidRDefault="00B43607" w:rsidP="00F070E9">
            <w:pPr>
              <w:pStyle w:val="TableTextCentred"/>
              <w:rPr>
                <w:sz w:val="20"/>
                <w:szCs w:val="20"/>
              </w:rPr>
            </w:pPr>
          </w:p>
        </w:tc>
        <w:tc>
          <w:tcPr>
            <w:tcW w:w="288" w:type="pct"/>
          </w:tcPr>
          <w:p w14:paraId="1C7BD649" w14:textId="77777777" w:rsidR="00B43607" w:rsidRPr="00445454" w:rsidRDefault="00B43607" w:rsidP="00F070E9">
            <w:pPr>
              <w:pStyle w:val="TableTextCentred"/>
              <w:rPr>
                <w:sz w:val="20"/>
                <w:szCs w:val="20"/>
              </w:rPr>
            </w:pPr>
            <w:r w:rsidRPr="00445454">
              <w:rPr>
                <w:sz w:val="20"/>
                <w:szCs w:val="20"/>
              </w:rPr>
              <w:sym w:font="Wingdings 2" w:char="F050"/>
            </w:r>
          </w:p>
        </w:tc>
        <w:tc>
          <w:tcPr>
            <w:tcW w:w="288" w:type="pct"/>
          </w:tcPr>
          <w:p w14:paraId="55D87660" w14:textId="77777777" w:rsidR="00B43607" w:rsidRPr="00445454" w:rsidRDefault="00B43607" w:rsidP="00F070E9">
            <w:pPr>
              <w:pStyle w:val="TableTextCentred"/>
              <w:rPr>
                <w:sz w:val="20"/>
                <w:szCs w:val="20"/>
              </w:rPr>
            </w:pPr>
          </w:p>
        </w:tc>
        <w:tc>
          <w:tcPr>
            <w:tcW w:w="384" w:type="pct"/>
          </w:tcPr>
          <w:p w14:paraId="6C422221" w14:textId="77777777" w:rsidR="00B43607" w:rsidRPr="00445454" w:rsidRDefault="00B43607" w:rsidP="00F070E9">
            <w:pPr>
              <w:pStyle w:val="TableTextCentred"/>
              <w:rPr>
                <w:sz w:val="20"/>
                <w:szCs w:val="20"/>
              </w:rPr>
            </w:pPr>
          </w:p>
        </w:tc>
      </w:tr>
      <w:tr w:rsidR="005950D2" w:rsidRPr="00445454" w14:paraId="6B5BEF97" w14:textId="77777777" w:rsidTr="005950D2">
        <w:trPr>
          <w:cantSplit/>
        </w:trPr>
        <w:tc>
          <w:tcPr>
            <w:tcW w:w="376" w:type="pct"/>
          </w:tcPr>
          <w:p w14:paraId="4A3894CF" w14:textId="77777777" w:rsidR="00B43607" w:rsidRPr="00445454" w:rsidRDefault="00B43607" w:rsidP="00F070E9">
            <w:pPr>
              <w:pStyle w:val="TableTextCentred"/>
              <w:rPr>
                <w:sz w:val="20"/>
                <w:szCs w:val="20"/>
              </w:rPr>
            </w:pPr>
            <w:r w:rsidRPr="00445454">
              <w:rPr>
                <w:sz w:val="20"/>
                <w:szCs w:val="20"/>
              </w:rPr>
              <w:t>B1</w:t>
            </w:r>
          </w:p>
        </w:tc>
        <w:tc>
          <w:tcPr>
            <w:tcW w:w="3088" w:type="pct"/>
            <w:shd w:val="clear" w:color="auto" w:fill="auto"/>
          </w:tcPr>
          <w:p w14:paraId="77B19D1E" w14:textId="77777777" w:rsidR="00B43607" w:rsidRPr="00445454" w:rsidRDefault="00B43607" w:rsidP="00BC7F4E">
            <w:pPr>
              <w:pStyle w:val="TableText"/>
              <w:rPr>
                <w:sz w:val="20"/>
                <w:szCs w:val="20"/>
              </w:rPr>
            </w:pPr>
            <w:r w:rsidRPr="00445454">
              <w:rPr>
                <w:sz w:val="20"/>
                <w:szCs w:val="20"/>
              </w:rPr>
              <w:t>STCAs report the service is improving people’s understanding and expectations about ICA</w:t>
            </w:r>
          </w:p>
        </w:tc>
        <w:tc>
          <w:tcPr>
            <w:tcW w:w="288" w:type="pct"/>
          </w:tcPr>
          <w:p w14:paraId="73E57285" w14:textId="77777777" w:rsidR="00B43607" w:rsidRPr="00445454" w:rsidRDefault="00B43607" w:rsidP="00F070E9">
            <w:pPr>
              <w:pStyle w:val="TableTextCentred"/>
              <w:rPr>
                <w:sz w:val="20"/>
                <w:szCs w:val="20"/>
              </w:rPr>
            </w:pPr>
          </w:p>
        </w:tc>
        <w:tc>
          <w:tcPr>
            <w:tcW w:w="288" w:type="pct"/>
          </w:tcPr>
          <w:p w14:paraId="44674470" w14:textId="77777777" w:rsidR="00B43607" w:rsidRPr="00445454" w:rsidRDefault="00B43607" w:rsidP="00F070E9">
            <w:pPr>
              <w:pStyle w:val="TableTextCentred"/>
              <w:rPr>
                <w:sz w:val="20"/>
                <w:szCs w:val="20"/>
              </w:rPr>
            </w:pPr>
          </w:p>
        </w:tc>
        <w:tc>
          <w:tcPr>
            <w:tcW w:w="288" w:type="pct"/>
          </w:tcPr>
          <w:p w14:paraId="48B95AB9" w14:textId="77777777" w:rsidR="00B43607" w:rsidRPr="00445454" w:rsidRDefault="00B43607" w:rsidP="00F070E9">
            <w:pPr>
              <w:pStyle w:val="TableTextCentred"/>
              <w:rPr>
                <w:sz w:val="20"/>
                <w:szCs w:val="20"/>
              </w:rPr>
            </w:pPr>
          </w:p>
        </w:tc>
        <w:tc>
          <w:tcPr>
            <w:tcW w:w="288" w:type="pct"/>
          </w:tcPr>
          <w:p w14:paraId="09DA437A" w14:textId="77777777" w:rsidR="00B43607" w:rsidRPr="00445454" w:rsidRDefault="00B43607" w:rsidP="00F070E9">
            <w:pPr>
              <w:pStyle w:val="TableTextCentred"/>
              <w:rPr>
                <w:sz w:val="20"/>
                <w:szCs w:val="20"/>
              </w:rPr>
            </w:pPr>
            <w:r w:rsidRPr="00445454">
              <w:rPr>
                <w:sz w:val="20"/>
                <w:szCs w:val="20"/>
              </w:rPr>
              <w:sym w:font="Wingdings 2" w:char="F050"/>
            </w:r>
          </w:p>
        </w:tc>
        <w:tc>
          <w:tcPr>
            <w:tcW w:w="384" w:type="pct"/>
          </w:tcPr>
          <w:p w14:paraId="155B51C0" w14:textId="77777777" w:rsidR="00B43607" w:rsidRPr="00445454" w:rsidRDefault="00B43607" w:rsidP="00F070E9">
            <w:pPr>
              <w:pStyle w:val="TableTextCentred"/>
              <w:rPr>
                <w:sz w:val="20"/>
                <w:szCs w:val="20"/>
              </w:rPr>
            </w:pPr>
          </w:p>
        </w:tc>
      </w:tr>
      <w:tr w:rsidR="005950D2" w:rsidRPr="00445454" w14:paraId="6DB273C8" w14:textId="77777777" w:rsidTr="005950D2">
        <w:trPr>
          <w:cantSplit/>
        </w:trPr>
        <w:tc>
          <w:tcPr>
            <w:tcW w:w="376" w:type="pct"/>
          </w:tcPr>
          <w:p w14:paraId="41036094" w14:textId="77777777" w:rsidR="00B43607" w:rsidRPr="00445454" w:rsidRDefault="00B43607" w:rsidP="00F070E9">
            <w:pPr>
              <w:pStyle w:val="TableTextCentred"/>
              <w:rPr>
                <w:sz w:val="20"/>
                <w:szCs w:val="20"/>
              </w:rPr>
            </w:pPr>
            <w:r w:rsidRPr="00445454">
              <w:rPr>
                <w:sz w:val="20"/>
                <w:szCs w:val="20"/>
              </w:rPr>
              <w:t>B1</w:t>
            </w:r>
          </w:p>
        </w:tc>
        <w:tc>
          <w:tcPr>
            <w:tcW w:w="3088" w:type="pct"/>
            <w:shd w:val="clear" w:color="auto" w:fill="auto"/>
          </w:tcPr>
          <w:p w14:paraId="399CD6D2" w14:textId="77777777" w:rsidR="00B43607" w:rsidRPr="00445454" w:rsidRDefault="00B43607" w:rsidP="00BC7F4E">
            <w:pPr>
              <w:pStyle w:val="TableText"/>
              <w:rPr>
                <w:sz w:val="20"/>
                <w:szCs w:val="20"/>
              </w:rPr>
            </w:pPr>
            <w:r w:rsidRPr="00445454">
              <w:rPr>
                <w:sz w:val="20"/>
                <w:szCs w:val="20"/>
              </w:rPr>
              <w:t>STCAs report an improvement in their experience of working with the Commonwealth government agencies</w:t>
            </w:r>
          </w:p>
        </w:tc>
        <w:tc>
          <w:tcPr>
            <w:tcW w:w="288" w:type="pct"/>
          </w:tcPr>
          <w:p w14:paraId="50EA13F3" w14:textId="77777777" w:rsidR="00B43607" w:rsidRPr="00445454" w:rsidRDefault="00B43607" w:rsidP="00F070E9">
            <w:pPr>
              <w:pStyle w:val="TableTextCentred"/>
              <w:rPr>
                <w:sz w:val="20"/>
                <w:szCs w:val="20"/>
              </w:rPr>
            </w:pPr>
          </w:p>
        </w:tc>
        <w:tc>
          <w:tcPr>
            <w:tcW w:w="288" w:type="pct"/>
          </w:tcPr>
          <w:p w14:paraId="3F0C2D11" w14:textId="77777777" w:rsidR="00B43607" w:rsidRPr="00445454" w:rsidRDefault="00B43607" w:rsidP="00F070E9">
            <w:pPr>
              <w:pStyle w:val="TableTextCentred"/>
              <w:rPr>
                <w:sz w:val="20"/>
                <w:szCs w:val="20"/>
              </w:rPr>
            </w:pPr>
          </w:p>
        </w:tc>
        <w:tc>
          <w:tcPr>
            <w:tcW w:w="288" w:type="pct"/>
          </w:tcPr>
          <w:p w14:paraId="5129AC35" w14:textId="77777777" w:rsidR="00B43607" w:rsidRPr="00445454" w:rsidRDefault="00B43607" w:rsidP="00F070E9">
            <w:pPr>
              <w:pStyle w:val="TableTextCentred"/>
              <w:rPr>
                <w:sz w:val="20"/>
                <w:szCs w:val="20"/>
              </w:rPr>
            </w:pPr>
          </w:p>
        </w:tc>
        <w:tc>
          <w:tcPr>
            <w:tcW w:w="288" w:type="pct"/>
          </w:tcPr>
          <w:p w14:paraId="46C04E96" w14:textId="77777777" w:rsidR="00B43607" w:rsidRPr="00445454" w:rsidRDefault="00B43607" w:rsidP="00F070E9">
            <w:pPr>
              <w:pStyle w:val="TableTextCentred"/>
              <w:rPr>
                <w:sz w:val="20"/>
                <w:szCs w:val="20"/>
              </w:rPr>
            </w:pPr>
            <w:r w:rsidRPr="00445454">
              <w:rPr>
                <w:sz w:val="20"/>
                <w:szCs w:val="20"/>
              </w:rPr>
              <w:sym w:font="Wingdings 2" w:char="F050"/>
            </w:r>
          </w:p>
        </w:tc>
        <w:tc>
          <w:tcPr>
            <w:tcW w:w="384" w:type="pct"/>
          </w:tcPr>
          <w:p w14:paraId="5A93A875" w14:textId="77777777" w:rsidR="00B43607" w:rsidRPr="00445454" w:rsidRDefault="00B43607" w:rsidP="00F070E9">
            <w:pPr>
              <w:pStyle w:val="TableTextCentred"/>
              <w:rPr>
                <w:sz w:val="20"/>
                <w:szCs w:val="20"/>
              </w:rPr>
            </w:pPr>
          </w:p>
        </w:tc>
      </w:tr>
      <w:tr w:rsidR="005950D2" w:rsidRPr="00445454" w14:paraId="49F7AD17" w14:textId="77777777" w:rsidTr="005950D2">
        <w:trPr>
          <w:cantSplit/>
        </w:trPr>
        <w:tc>
          <w:tcPr>
            <w:tcW w:w="376" w:type="pct"/>
          </w:tcPr>
          <w:p w14:paraId="7210B358" w14:textId="77777777" w:rsidR="00B43607" w:rsidRPr="00445454" w:rsidRDefault="00B43607" w:rsidP="00F070E9">
            <w:pPr>
              <w:pStyle w:val="TableTextCentred"/>
              <w:rPr>
                <w:sz w:val="20"/>
                <w:szCs w:val="20"/>
              </w:rPr>
            </w:pPr>
            <w:r w:rsidRPr="00445454">
              <w:rPr>
                <w:sz w:val="20"/>
                <w:szCs w:val="20"/>
              </w:rPr>
              <w:t>B1</w:t>
            </w:r>
          </w:p>
        </w:tc>
        <w:tc>
          <w:tcPr>
            <w:tcW w:w="3088" w:type="pct"/>
            <w:shd w:val="clear" w:color="auto" w:fill="auto"/>
          </w:tcPr>
          <w:p w14:paraId="05BD2232" w14:textId="77777777" w:rsidR="00B43607" w:rsidRPr="00445454" w:rsidRDefault="00B43607" w:rsidP="00BC7F4E">
            <w:pPr>
              <w:pStyle w:val="TableText"/>
              <w:rPr>
                <w:sz w:val="20"/>
                <w:szCs w:val="20"/>
              </w:rPr>
            </w:pPr>
            <w:r w:rsidRPr="00445454">
              <w:rPr>
                <w:sz w:val="20"/>
                <w:szCs w:val="20"/>
              </w:rPr>
              <w:t>The majority of people report feeling supported through their experience in the ICA process</w:t>
            </w:r>
          </w:p>
        </w:tc>
        <w:tc>
          <w:tcPr>
            <w:tcW w:w="288" w:type="pct"/>
          </w:tcPr>
          <w:p w14:paraId="43D588F1" w14:textId="77777777" w:rsidR="00B43607" w:rsidRPr="00445454" w:rsidRDefault="00B43607" w:rsidP="00F070E9">
            <w:pPr>
              <w:pStyle w:val="TableTextCentred"/>
              <w:rPr>
                <w:sz w:val="20"/>
                <w:szCs w:val="20"/>
              </w:rPr>
            </w:pPr>
          </w:p>
        </w:tc>
        <w:tc>
          <w:tcPr>
            <w:tcW w:w="288" w:type="pct"/>
          </w:tcPr>
          <w:p w14:paraId="71F368E7" w14:textId="77777777" w:rsidR="00B43607" w:rsidRPr="00445454" w:rsidRDefault="00B43607" w:rsidP="00F070E9">
            <w:pPr>
              <w:pStyle w:val="TableTextCentred"/>
              <w:rPr>
                <w:sz w:val="20"/>
                <w:szCs w:val="20"/>
              </w:rPr>
            </w:pPr>
          </w:p>
        </w:tc>
        <w:tc>
          <w:tcPr>
            <w:tcW w:w="288" w:type="pct"/>
          </w:tcPr>
          <w:p w14:paraId="220C6094" w14:textId="77777777" w:rsidR="00B43607" w:rsidRPr="00445454" w:rsidRDefault="00B43607" w:rsidP="00F070E9">
            <w:pPr>
              <w:pStyle w:val="TableTextCentred"/>
              <w:rPr>
                <w:sz w:val="20"/>
                <w:szCs w:val="20"/>
              </w:rPr>
            </w:pPr>
            <w:r w:rsidRPr="00445454">
              <w:rPr>
                <w:sz w:val="20"/>
                <w:szCs w:val="20"/>
              </w:rPr>
              <w:sym w:font="Wingdings 2" w:char="F050"/>
            </w:r>
          </w:p>
        </w:tc>
        <w:tc>
          <w:tcPr>
            <w:tcW w:w="288" w:type="pct"/>
          </w:tcPr>
          <w:p w14:paraId="4FE1CE94" w14:textId="77777777" w:rsidR="00B43607" w:rsidRPr="00445454" w:rsidRDefault="00B43607" w:rsidP="00F070E9">
            <w:pPr>
              <w:pStyle w:val="TableTextCentred"/>
              <w:rPr>
                <w:sz w:val="20"/>
                <w:szCs w:val="20"/>
              </w:rPr>
            </w:pPr>
          </w:p>
        </w:tc>
        <w:tc>
          <w:tcPr>
            <w:tcW w:w="384" w:type="pct"/>
          </w:tcPr>
          <w:p w14:paraId="24BEE22D" w14:textId="77777777" w:rsidR="00B43607" w:rsidRPr="00445454" w:rsidRDefault="00B43607" w:rsidP="00F070E9">
            <w:pPr>
              <w:pStyle w:val="TableTextCentred"/>
              <w:rPr>
                <w:sz w:val="20"/>
                <w:szCs w:val="20"/>
              </w:rPr>
            </w:pPr>
          </w:p>
        </w:tc>
      </w:tr>
      <w:tr w:rsidR="005950D2" w:rsidRPr="00445454" w14:paraId="3B2D4A5C" w14:textId="77777777" w:rsidTr="005950D2">
        <w:trPr>
          <w:cantSplit/>
        </w:trPr>
        <w:tc>
          <w:tcPr>
            <w:tcW w:w="376" w:type="pct"/>
          </w:tcPr>
          <w:p w14:paraId="3DB835E7" w14:textId="77777777" w:rsidR="00B43607" w:rsidRPr="00445454" w:rsidRDefault="00B43607" w:rsidP="00F070E9">
            <w:pPr>
              <w:pStyle w:val="TableTextCentred"/>
              <w:rPr>
                <w:sz w:val="20"/>
                <w:szCs w:val="20"/>
              </w:rPr>
            </w:pPr>
            <w:r w:rsidRPr="00445454">
              <w:rPr>
                <w:sz w:val="20"/>
                <w:szCs w:val="20"/>
              </w:rPr>
              <w:t>B1</w:t>
            </w:r>
          </w:p>
        </w:tc>
        <w:tc>
          <w:tcPr>
            <w:tcW w:w="3088" w:type="pct"/>
            <w:shd w:val="clear" w:color="auto" w:fill="auto"/>
          </w:tcPr>
          <w:p w14:paraId="5EF8C3FF" w14:textId="77777777" w:rsidR="00B43607" w:rsidRPr="00445454" w:rsidRDefault="00B43607" w:rsidP="00BC7F4E">
            <w:pPr>
              <w:pStyle w:val="TableText"/>
              <w:rPr>
                <w:sz w:val="20"/>
                <w:szCs w:val="20"/>
              </w:rPr>
            </w:pPr>
            <w:r w:rsidRPr="00445454">
              <w:rPr>
                <w:sz w:val="20"/>
                <w:szCs w:val="20"/>
              </w:rPr>
              <w:t>Family support service providers report they feel better equipped to help people during the ICA process</w:t>
            </w:r>
          </w:p>
        </w:tc>
        <w:tc>
          <w:tcPr>
            <w:tcW w:w="288" w:type="pct"/>
          </w:tcPr>
          <w:p w14:paraId="0883E8C1" w14:textId="77777777" w:rsidR="00B43607" w:rsidRPr="00445454" w:rsidRDefault="00B43607" w:rsidP="00F070E9">
            <w:pPr>
              <w:pStyle w:val="TableTextCentred"/>
              <w:rPr>
                <w:sz w:val="20"/>
                <w:szCs w:val="20"/>
              </w:rPr>
            </w:pPr>
          </w:p>
        </w:tc>
        <w:tc>
          <w:tcPr>
            <w:tcW w:w="288" w:type="pct"/>
          </w:tcPr>
          <w:p w14:paraId="4784E2CB" w14:textId="77777777" w:rsidR="00B43607" w:rsidRPr="00445454" w:rsidRDefault="00B43607" w:rsidP="00F070E9">
            <w:pPr>
              <w:pStyle w:val="TableTextCentred"/>
              <w:rPr>
                <w:sz w:val="20"/>
                <w:szCs w:val="20"/>
              </w:rPr>
            </w:pPr>
          </w:p>
        </w:tc>
        <w:tc>
          <w:tcPr>
            <w:tcW w:w="288" w:type="pct"/>
          </w:tcPr>
          <w:p w14:paraId="4FFD65CE" w14:textId="77777777" w:rsidR="00B43607" w:rsidRPr="00445454" w:rsidRDefault="00B43607" w:rsidP="00F070E9">
            <w:pPr>
              <w:pStyle w:val="TableTextCentred"/>
              <w:rPr>
                <w:sz w:val="20"/>
                <w:szCs w:val="20"/>
              </w:rPr>
            </w:pPr>
          </w:p>
        </w:tc>
        <w:tc>
          <w:tcPr>
            <w:tcW w:w="288" w:type="pct"/>
          </w:tcPr>
          <w:p w14:paraId="4737646E" w14:textId="77777777" w:rsidR="00B43607" w:rsidRPr="00445454" w:rsidRDefault="00B43607" w:rsidP="00F070E9">
            <w:pPr>
              <w:pStyle w:val="TableTextCentred"/>
              <w:rPr>
                <w:sz w:val="20"/>
                <w:szCs w:val="20"/>
              </w:rPr>
            </w:pPr>
          </w:p>
        </w:tc>
        <w:tc>
          <w:tcPr>
            <w:tcW w:w="384" w:type="pct"/>
          </w:tcPr>
          <w:p w14:paraId="3314AC93" w14:textId="77777777" w:rsidR="00B43607" w:rsidRPr="00445454" w:rsidRDefault="00B43607" w:rsidP="00F070E9">
            <w:pPr>
              <w:pStyle w:val="TableTextCentred"/>
              <w:rPr>
                <w:sz w:val="20"/>
                <w:szCs w:val="20"/>
              </w:rPr>
            </w:pPr>
            <w:r w:rsidRPr="00445454">
              <w:rPr>
                <w:sz w:val="20"/>
                <w:szCs w:val="20"/>
              </w:rPr>
              <w:sym w:font="Wingdings 2" w:char="F050"/>
            </w:r>
          </w:p>
        </w:tc>
      </w:tr>
      <w:bookmarkEnd w:id="86"/>
    </w:tbl>
    <w:p w14:paraId="538A85C9" w14:textId="3FED85AE" w:rsidR="00B43607" w:rsidRDefault="00B43607" w:rsidP="00F070E9">
      <w:pPr>
        <w:rPr>
          <w:lang w:eastAsia="en-AU"/>
        </w:rPr>
      </w:pPr>
    </w:p>
    <w:p w14:paraId="7BB4749B" w14:textId="77777777" w:rsidR="00F070E9" w:rsidRPr="00B43607" w:rsidRDefault="00F070E9" w:rsidP="00B43607">
      <w:pPr>
        <w:autoSpaceDE w:val="0"/>
        <w:autoSpaceDN w:val="0"/>
        <w:adjustRightInd w:val="0"/>
        <w:rPr>
          <w:lang w:eastAsia="en-AU"/>
        </w:rPr>
        <w:sectPr w:rsidR="00F070E9" w:rsidRPr="00B43607" w:rsidSect="006A2912">
          <w:pgSz w:w="16840" w:h="11907" w:orient="landscape" w:code="9"/>
          <w:pgMar w:top="1418" w:right="993" w:bottom="1134" w:left="993" w:header="567" w:footer="567" w:gutter="0"/>
          <w:cols w:space="680"/>
          <w:docGrid w:linePitch="299"/>
        </w:sectPr>
      </w:pPr>
    </w:p>
    <w:p w14:paraId="043B4C1C" w14:textId="77777777" w:rsidR="00B43607" w:rsidRPr="00B43607" w:rsidRDefault="00B43607" w:rsidP="00F070E9">
      <w:pPr>
        <w:pStyle w:val="Heading3"/>
      </w:pPr>
      <w:r w:rsidRPr="00B43607">
        <w:lastRenderedPageBreak/>
        <w:t>Service uptake</w:t>
      </w:r>
    </w:p>
    <w:p w14:paraId="71E38AB6" w14:textId="77777777" w:rsidR="00B43607" w:rsidRPr="00B43607" w:rsidRDefault="00B43607" w:rsidP="00F070E9">
      <w:pPr>
        <w:pStyle w:val="ParagraphKeep"/>
      </w:pPr>
      <w:r w:rsidRPr="00B43607">
        <w:t>Service uptake was assessed using two main data sources:</w:t>
      </w:r>
    </w:p>
    <w:p w14:paraId="414D5F54" w14:textId="40921BD2" w:rsidR="00B43607" w:rsidRPr="00B43607" w:rsidRDefault="00B43607" w:rsidP="00AF27E2">
      <w:pPr>
        <w:pStyle w:val="Bullet1"/>
      </w:pPr>
      <w:r w:rsidRPr="00B43607">
        <w:t>Google web analytics data related to the IAA website for the per</w:t>
      </w:r>
      <w:r w:rsidR="002822C7">
        <w:t>iod 17 May 2015 to 30 June 2016</w:t>
      </w:r>
    </w:p>
    <w:p w14:paraId="504EF30E" w14:textId="77777777" w:rsidR="00B43607" w:rsidRPr="00B43607" w:rsidRDefault="00B43607" w:rsidP="00AF27E2">
      <w:pPr>
        <w:pStyle w:val="Bullet1"/>
      </w:pPr>
      <w:r w:rsidRPr="00B43607">
        <w:t>IAA client data for the period 17 May 2015 to 31 May 2016.</w:t>
      </w:r>
    </w:p>
    <w:p w14:paraId="7FCF3C3F" w14:textId="77777777" w:rsidR="00B43607" w:rsidRPr="00B43607" w:rsidRDefault="00B43607" w:rsidP="00AF27E2">
      <w:pPr>
        <w:pStyle w:val="ParagraphKeep"/>
      </w:pPr>
      <w:r w:rsidRPr="00B43607">
        <w:t>It is important to note that while the Google web analytics data gives an overview of web page traffic:</w:t>
      </w:r>
    </w:p>
    <w:p w14:paraId="4C4726C3" w14:textId="77777777" w:rsidR="00B43607" w:rsidRPr="00B43607" w:rsidRDefault="00B43607" w:rsidP="00AF27E2">
      <w:pPr>
        <w:pStyle w:val="Bullet1"/>
      </w:pPr>
      <w:r w:rsidRPr="00B43607">
        <w:t>Web page traffic may not equate with usage</w:t>
      </w:r>
    </w:p>
    <w:p w14:paraId="60A6D3A4" w14:textId="77777777" w:rsidR="00B43607" w:rsidRPr="00B43607" w:rsidRDefault="00B43607" w:rsidP="00AF27E2">
      <w:pPr>
        <w:pStyle w:val="Bullet1"/>
      </w:pPr>
      <w:r w:rsidRPr="00B43607">
        <w:t>A profile of website users in terms of their stage of adoption, demographics, and reasons(s) for accessing the site is not attainable from this data.</w:t>
      </w:r>
    </w:p>
    <w:p w14:paraId="7B121B62" w14:textId="77777777" w:rsidR="00B43607" w:rsidRPr="00B43607" w:rsidRDefault="00B43607" w:rsidP="00AF27E2">
      <w:pPr>
        <w:pStyle w:val="Heading3"/>
      </w:pPr>
      <w:r w:rsidRPr="00B43607">
        <w:t>Service uptake by geographical region</w:t>
      </w:r>
    </w:p>
    <w:p w14:paraId="00B17285" w14:textId="53332E56" w:rsidR="00B43607" w:rsidRPr="00B43607" w:rsidRDefault="00B43607" w:rsidP="00AF27E2">
      <w:pPr>
        <w:pStyle w:val="Paragraph"/>
        <w:rPr>
          <w:lang w:eastAsia="en-AU"/>
        </w:rPr>
      </w:pPr>
      <w:r w:rsidRPr="00B43607">
        <w:rPr>
          <w:lang w:eastAsia="en-AU"/>
        </w:rPr>
        <w:t xml:space="preserve">The distribution of web analytics data by city is shown in </w:t>
      </w:r>
      <w:r w:rsidRPr="00B43607">
        <w:fldChar w:fldCharType="begin"/>
      </w:r>
      <w:r w:rsidRPr="00B43607">
        <w:instrText xml:space="preserve"> REF _Ref462589146 \h  \* MERGEFORMAT </w:instrText>
      </w:r>
      <w:r w:rsidRPr="00B43607">
        <w:fldChar w:fldCharType="separate"/>
      </w:r>
      <w:r w:rsidR="00487073" w:rsidRPr="00487073">
        <w:rPr>
          <w:i/>
          <w:iCs/>
        </w:rPr>
        <w:t>Table 5</w:t>
      </w:r>
      <w:r w:rsidR="00487073" w:rsidRPr="00487073">
        <w:rPr>
          <w:i/>
          <w:iCs/>
        </w:rPr>
        <w:noBreakHyphen/>
        <w:t>5</w:t>
      </w:r>
      <w:r w:rsidRPr="00B43607">
        <w:fldChar w:fldCharType="end"/>
      </w:r>
      <w:r w:rsidR="002A6089">
        <w:t>.</w:t>
      </w:r>
      <w:r w:rsidRPr="00B43607">
        <w:rPr>
          <w:lang w:eastAsia="en-AU"/>
        </w:rPr>
        <w:t xml:space="preserve">  When this city- level data is aggregated by </w:t>
      </w:r>
      <w:r w:rsidR="00291A2D">
        <w:rPr>
          <w:lang w:eastAsia="en-AU"/>
        </w:rPr>
        <w:t>state</w:t>
      </w:r>
      <w:r w:rsidRPr="00B43607">
        <w:rPr>
          <w:lang w:eastAsia="en-AU"/>
        </w:rPr>
        <w:t xml:space="preserve">, the three largest </w:t>
      </w:r>
      <w:r w:rsidR="00291A2D">
        <w:rPr>
          <w:lang w:eastAsia="en-AU"/>
        </w:rPr>
        <w:t>state</w:t>
      </w:r>
      <w:r w:rsidR="00291A2D" w:rsidRPr="00B43607">
        <w:rPr>
          <w:lang w:eastAsia="en-AU"/>
        </w:rPr>
        <w:t xml:space="preserve">s </w:t>
      </w:r>
      <w:r w:rsidRPr="00B43607">
        <w:rPr>
          <w:lang w:eastAsia="en-AU"/>
        </w:rPr>
        <w:t xml:space="preserve">account for the greatest proportion of web traffic - NSW 27.4%, Victoria 21% and QLD 15.7% </w:t>
      </w:r>
    </w:p>
    <w:p w14:paraId="32830BCB" w14:textId="245B5984" w:rsidR="00B43607" w:rsidRPr="00B43607" w:rsidRDefault="00B43607" w:rsidP="00AF27E2">
      <w:pPr>
        <w:pStyle w:val="Caption"/>
      </w:pPr>
      <w:bookmarkStart w:id="87" w:name="_Ref462589146"/>
      <w:bookmarkStart w:id="88" w:name="_Toc490481655"/>
      <w:r w:rsidRPr="00B43607">
        <w:t>Table</w:t>
      </w:r>
      <w:r w:rsidR="009E20C3">
        <w:t> </w:t>
      </w:r>
      <w:r w:rsidR="00644B63">
        <w:fldChar w:fldCharType="begin"/>
      </w:r>
      <w:r w:rsidR="00644B63">
        <w:instrText xml:space="preserve"> STYLEREF 1 \s </w:instrText>
      </w:r>
      <w:r w:rsidR="00644B63">
        <w:fldChar w:fldCharType="separate"/>
      </w:r>
      <w:r w:rsidR="00487073">
        <w:rPr>
          <w:noProof/>
        </w:rPr>
        <w:t>5</w:t>
      </w:r>
      <w:r w:rsidR="00644B63">
        <w:fldChar w:fldCharType="end"/>
      </w:r>
      <w:r w:rsidR="00644B63">
        <w:noBreakHyphen/>
      </w:r>
      <w:r w:rsidR="00644B63">
        <w:fldChar w:fldCharType="begin"/>
      </w:r>
      <w:r w:rsidR="00644B63">
        <w:instrText xml:space="preserve"> SEQ Table \* ARABIC \s 1 </w:instrText>
      </w:r>
      <w:r w:rsidR="00644B63">
        <w:fldChar w:fldCharType="separate"/>
      </w:r>
      <w:r w:rsidR="00487073">
        <w:rPr>
          <w:noProof/>
        </w:rPr>
        <w:t>5</w:t>
      </w:r>
      <w:r w:rsidR="00644B63">
        <w:fldChar w:fldCharType="end"/>
      </w:r>
      <w:bookmarkEnd w:id="87"/>
      <w:r w:rsidR="009E20C3">
        <w:t>:</w:t>
      </w:r>
      <w:r w:rsidR="009E20C3">
        <w:tab/>
      </w:r>
      <w:r w:rsidRPr="00B43607">
        <w:t>Web analytics by city</w:t>
      </w:r>
      <w:bookmarkEnd w:id="88"/>
    </w:p>
    <w:tbl>
      <w:tblPr>
        <w:tblW w:w="5112" w:type="dxa"/>
        <w:tblInd w:w="101"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Pr>
      <w:tblGrid>
        <w:gridCol w:w="784"/>
        <w:gridCol w:w="1877"/>
        <w:gridCol w:w="1096"/>
        <w:gridCol w:w="1355"/>
      </w:tblGrid>
      <w:tr w:rsidR="00B43607" w:rsidRPr="00B43607" w14:paraId="5DB65702" w14:textId="77777777" w:rsidTr="009E20C3">
        <w:trPr>
          <w:trHeight w:val="389"/>
          <w:tblHeader/>
        </w:trPr>
        <w:tc>
          <w:tcPr>
            <w:tcW w:w="784" w:type="dxa"/>
            <w:shd w:val="clear" w:color="auto" w:fill="0079C1" w:themeFill="text2"/>
          </w:tcPr>
          <w:p w14:paraId="68683C6B" w14:textId="77777777" w:rsidR="00B43607" w:rsidRPr="00B43607" w:rsidRDefault="00B43607" w:rsidP="005F5FE4">
            <w:pPr>
              <w:pStyle w:val="TableHeading1Centred"/>
            </w:pPr>
            <w:r w:rsidRPr="00B43607">
              <w:t>Rank</w:t>
            </w:r>
          </w:p>
        </w:tc>
        <w:tc>
          <w:tcPr>
            <w:tcW w:w="1877" w:type="dxa"/>
            <w:shd w:val="clear" w:color="auto" w:fill="0079C1" w:themeFill="text2"/>
          </w:tcPr>
          <w:p w14:paraId="01E2B9C4" w14:textId="77777777" w:rsidR="00B43607" w:rsidRPr="00B43607" w:rsidRDefault="00B43607" w:rsidP="005F5FE4">
            <w:pPr>
              <w:pStyle w:val="TableHeading1"/>
            </w:pPr>
            <w:r w:rsidRPr="00B43607">
              <w:t>City</w:t>
            </w:r>
          </w:p>
        </w:tc>
        <w:tc>
          <w:tcPr>
            <w:tcW w:w="1096" w:type="dxa"/>
            <w:shd w:val="clear" w:color="auto" w:fill="0079C1" w:themeFill="text2"/>
          </w:tcPr>
          <w:p w14:paraId="71FD4AC0" w14:textId="77777777" w:rsidR="00B43607" w:rsidRPr="00B43607" w:rsidRDefault="00B43607" w:rsidP="005F5FE4">
            <w:pPr>
              <w:pStyle w:val="TableHeading1Centred"/>
            </w:pPr>
            <w:r w:rsidRPr="00B43607">
              <w:t>Sessions</w:t>
            </w:r>
          </w:p>
        </w:tc>
        <w:tc>
          <w:tcPr>
            <w:tcW w:w="1355" w:type="dxa"/>
            <w:shd w:val="clear" w:color="auto" w:fill="0079C1" w:themeFill="text2"/>
          </w:tcPr>
          <w:p w14:paraId="1D298A96" w14:textId="77777777" w:rsidR="00B43607" w:rsidRPr="00B43607" w:rsidRDefault="00B43607" w:rsidP="005F5FE4">
            <w:pPr>
              <w:pStyle w:val="TableHeading1Centred"/>
            </w:pPr>
            <w:r w:rsidRPr="00B43607">
              <w:t>Percentage</w:t>
            </w:r>
          </w:p>
        </w:tc>
      </w:tr>
      <w:tr w:rsidR="00B43607" w:rsidRPr="00B43607" w14:paraId="69FAC5CE" w14:textId="77777777" w:rsidTr="009E20C3">
        <w:tc>
          <w:tcPr>
            <w:tcW w:w="784" w:type="dxa"/>
          </w:tcPr>
          <w:p w14:paraId="3734E29C" w14:textId="77777777" w:rsidR="00B43607" w:rsidRPr="00B43607" w:rsidRDefault="00B43607" w:rsidP="00AF27E2">
            <w:pPr>
              <w:pStyle w:val="TableTextCentred"/>
            </w:pPr>
            <w:r w:rsidRPr="00B43607">
              <w:t>1</w:t>
            </w:r>
          </w:p>
        </w:tc>
        <w:tc>
          <w:tcPr>
            <w:tcW w:w="1877" w:type="dxa"/>
          </w:tcPr>
          <w:p w14:paraId="02E65052" w14:textId="77777777" w:rsidR="00B43607" w:rsidRPr="00B43607" w:rsidRDefault="00B43607" w:rsidP="00AF27E2">
            <w:pPr>
              <w:pStyle w:val="TableText"/>
            </w:pPr>
            <w:r w:rsidRPr="00B43607">
              <w:t>Sydney (NSW)</w:t>
            </w:r>
          </w:p>
        </w:tc>
        <w:tc>
          <w:tcPr>
            <w:tcW w:w="1096" w:type="dxa"/>
          </w:tcPr>
          <w:p w14:paraId="58A3FE81" w14:textId="77777777" w:rsidR="00B43607" w:rsidRPr="00B43607" w:rsidRDefault="00B43607" w:rsidP="00AF27E2">
            <w:pPr>
              <w:pStyle w:val="TableTextCentred"/>
            </w:pPr>
            <w:r w:rsidRPr="00B43607">
              <w:t>38,701</w:t>
            </w:r>
          </w:p>
        </w:tc>
        <w:tc>
          <w:tcPr>
            <w:tcW w:w="1355" w:type="dxa"/>
          </w:tcPr>
          <w:p w14:paraId="266774DB" w14:textId="77777777" w:rsidR="00B43607" w:rsidRPr="00B43607" w:rsidRDefault="00B43607" w:rsidP="00AF27E2">
            <w:pPr>
              <w:pStyle w:val="TableTextCentred"/>
            </w:pPr>
            <w:r w:rsidRPr="00B43607">
              <w:t>27%</w:t>
            </w:r>
          </w:p>
        </w:tc>
      </w:tr>
      <w:tr w:rsidR="00B43607" w:rsidRPr="00B43607" w14:paraId="550F6A7C" w14:textId="77777777" w:rsidTr="009E20C3">
        <w:tc>
          <w:tcPr>
            <w:tcW w:w="784" w:type="dxa"/>
          </w:tcPr>
          <w:p w14:paraId="54835E48" w14:textId="77777777" w:rsidR="00B43607" w:rsidRPr="00B43607" w:rsidRDefault="00B43607" w:rsidP="00AF27E2">
            <w:pPr>
              <w:pStyle w:val="TableTextCentred"/>
            </w:pPr>
            <w:r w:rsidRPr="00B43607">
              <w:t>2</w:t>
            </w:r>
          </w:p>
        </w:tc>
        <w:tc>
          <w:tcPr>
            <w:tcW w:w="1877" w:type="dxa"/>
          </w:tcPr>
          <w:p w14:paraId="4EC4BFF4" w14:textId="77777777" w:rsidR="00B43607" w:rsidRPr="00B43607" w:rsidRDefault="00B43607" w:rsidP="00AF27E2">
            <w:pPr>
              <w:pStyle w:val="TableText"/>
            </w:pPr>
            <w:r w:rsidRPr="00B43607">
              <w:t>Melbourne (VIC)</w:t>
            </w:r>
          </w:p>
        </w:tc>
        <w:tc>
          <w:tcPr>
            <w:tcW w:w="1096" w:type="dxa"/>
          </w:tcPr>
          <w:p w14:paraId="6D04DEA3" w14:textId="77777777" w:rsidR="00B43607" w:rsidRPr="00B43607" w:rsidRDefault="00B43607" w:rsidP="00AF27E2">
            <w:pPr>
              <w:pStyle w:val="TableTextCentred"/>
            </w:pPr>
            <w:r w:rsidRPr="00B43607">
              <w:t>30,749</w:t>
            </w:r>
          </w:p>
        </w:tc>
        <w:tc>
          <w:tcPr>
            <w:tcW w:w="1355" w:type="dxa"/>
          </w:tcPr>
          <w:p w14:paraId="6EDDFBBD" w14:textId="77777777" w:rsidR="00B43607" w:rsidRPr="00B43607" w:rsidRDefault="00B43607" w:rsidP="00AF27E2">
            <w:pPr>
              <w:pStyle w:val="TableTextCentred"/>
            </w:pPr>
            <w:r w:rsidRPr="00B43607">
              <w:t>21%</w:t>
            </w:r>
          </w:p>
        </w:tc>
      </w:tr>
      <w:tr w:rsidR="00B43607" w:rsidRPr="00B43607" w14:paraId="2B4AC72A" w14:textId="77777777" w:rsidTr="009E20C3">
        <w:tc>
          <w:tcPr>
            <w:tcW w:w="784" w:type="dxa"/>
          </w:tcPr>
          <w:p w14:paraId="4B74F562" w14:textId="77777777" w:rsidR="00B43607" w:rsidRPr="00B43607" w:rsidRDefault="00B43607" w:rsidP="00AF27E2">
            <w:pPr>
              <w:pStyle w:val="TableTextCentred"/>
            </w:pPr>
            <w:r w:rsidRPr="00B43607">
              <w:t>3</w:t>
            </w:r>
          </w:p>
        </w:tc>
        <w:tc>
          <w:tcPr>
            <w:tcW w:w="1877" w:type="dxa"/>
          </w:tcPr>
          <w:p w14:paraId="60F67E60" w14:textId="77777777" w:rsidR="00B43607" w:rsidRPr="00B43607" w:rsidRDefault="00B43607" w:rsidP="00AF27E2">
            <w:pPr>
              <w:pStyle w:val="TableText"/>
            </w:pPr>
            <w:r w:rsidRPr="00B43607">
              <w:t>Brisbane (QLD)</w:t>
            </w:r>
          </w:p>
        </w:tc>
        <w:tc>
          <w:tcPr>
            <w:tcW w:w="1096" w:type="dxa"/>
          </w:tcPr>
          <w:p w14:paraId="6B5B178B" w14:textId="77777777" w:rsidR="00B43607" w:rsidRPr="00B43607" w:rsidRDefault="00B43607" w:rsidP="00AF27E2">
            <w:pPr>
              <w:pStyle w:val="TableTextCentred"/>
            </w:pPr>
            <w:r w:rsidRPr="00B43607">
              <w:t>21,713</w:t>
            </w:r>
          </w:p>
        </w:tc>
        <w:tc>
          <w:tcPr>
            <w:tcW w:w="1355" w:type="dxa"/>
          </w:tcPr>
          <w:p w14:paraId="20A31434" w14:textId="77777777" w:rsidR="00B43607" w:rsidRPr="00B43607" w:rsidRDefault="00B43607" w:rsidP="00AF27E2">
            <w:pPr>
              <w:pStyle w:val="TableTextCentred"/>
            </w:pPr>
            <w:r w:rsidRPr="00B43607">
              <w:t>15%</w:t>
            </w:r>
          </w:p>
        </w:tc>
      </w:tr>
      <w:tr w:rsidR="00B43607" w:rsidRPr="00B43607" w14:paraId="5A0CF1CD" w14:textId="77777777" w:rsidTr="009E20C3">
        <w:tc>
          <w:tcPr>
            <w:tcW w:w="784" w:type="dxa"/>
          </w:tcPr>
          <w:p w14:paraId="6EC7598A" w14:textId="77777777" w:rsidR="00B43607" w:rsidRPr="00B43607" w:rsidRDefault="00B43607" w:rsidP="00AF27E2">
            <w:pPr>
              <w:pStyle w:val="TableTextCentred"/>
            </w:pPr>
            <w:r w:rsidRPr="00B43607">
              <w:t>4</w:t>
            </w:r>
          </w:p>
        </w:tc>
        <w:tc>
          <w:tcPr>
            <w:tcW w:w="1877" w:type="dxa"/>
          </w:tcPr>
          <w:p w14:paraId="70C307AE" w14:textId="77777777" w:rsidR="00B43607" w:rsidRPr="00B43607" w:rsidRDefault="00B43607" w:rsidP="00AF27E2">
            <w:pPr>
              <w:pStyle w:val="TableText"/>
            </w:pPr>
            <w:r w:rsidRPr="00B43607">
              <w:t>Perth (WA)</w:t>
            </w:r>
          </w:p>
        </w:tc>
        <w:tc>
          <w:tcPr>
            <w:tcW w:w="1096" w:type="dxa"/>
          </w:tcPr>
          <w:p w14:paraId="050A847E" w14:textId="77777777" w:rsidR="00B43607" w:rsidRPr="00B43607" w:rsidRDefault="00B43607" w:rsidP="00AF27E2">
            <w:pPr>
              <w:pStyle w:val="TableTextCentred"/>
            </w:pPr>
            <w:r w:rsidRPr="00B43607">
              <w:t>11,216</w:t>
            </w:r>
          </w:p>
        </w:tc>
        <w:tc>
          <w:tcPr>
            <w:tcW w:w="1355" w:type="dxa"/>
          </w:tcPr>
          <w:p w14:paraId="7F8986FF" w14:textId="77777777" w:rsidR="00B43607" w:rsidRPr="00B43607" w:rsidRDefault="00B43607" w:rsidP="00AF27E2">
            <w:pPr>
              <w:pStyle w:val="TableTextCentred"/>
            </w:pPr>
            <w:r w:rsidRPr="00B43607">
              <w:t>8%</w:t>
            </w:r>
          </w:p>
        </w:tc>
      </w:tr>
      <w:tr w:rsidR="00B43607" w:rsidRPr="00B43607" w14:paraId="4196EADD" w14:textId="77777777" w:rsidTr="009E20C3">
        <w:tc>
          <w:tcPr>
            <w:tcW w:w="784" w:type="dxa"/>
          </w:tcPr>
          <w:p w14:paraId="3DA52768" w14:textId="77777777" w:rsidR="00B43607" w:rsidRPr="00B43607" w:rsidRDefault="00B43607" w:rsidP="00AF27E2">
            <w:pPr>
              <w:pStyle w:val="TableTextCentred"/>
            </w:pPr>
            <w:r w:rsidRPr="00B43607">
              <w:t>5</w:t>
            </w:r>
          </w:p>
        </w:tc>
        <w:tc>
          <w:tcPr>
            <w:tcW w:w="1877" w:type="dxa"/>
          </w:tcPr>
          <w:p w14:paraId="03E583C5" w14:textId="77777777" w:rsidR="00B43607" w:rsidRPr="00B43607" w:rsidRDefault="00B43607" w:rsidP="00AF27E2">
            <w:pPr>
              <w:pStyle w:val="TableText"/>
            </w:pPr>
            <w:r w:rsidRPr="00B43607">
              <w:t>Canberra (ACT)</w:t>
            </w:r>
          </w:p>
        </w:tc>
        <w:tc>
          <w:tcPr>
            <w:tcW w:w="1096" w:type="dxa"/>
          </w:tcPr>
          <w:p w14:paraId="16FCDEE1" w14:textId="77777777" w:rsidR="00B43607" w:rsidRPr="00B43607" w:rsidRDefault="00B43607" w:rsidP="00AF27E2">
            <w:pPr>
              <w:pStyle w:val="TableTextCentred"/>
            </w:pPr>
            <w:r w:rsidRPr="00B43607">
              <w:t>8,752</w:t>
            </w:r>
          </w:p>
        </w:tc>
        <w:tc>
          <w:tcPr>
            <w:tcW w:w="1355" w:type="dxa"/>
          </w:tcPr>
          <w:p w14:paraId="7DFF2E0F" w14:textId="77777777" w:rsidR="00B43607" w:rsidRPr="00B43607" w:rsidRDefault="00B43607" w:rsidP="00AF27E2">
            <w:pPr>
              <w:pStyle w:val="TableTextCentred"/>
            </w:pPr>
            <w:r w:rsidRPr="00B43607">
              <w:t>6%</w:t>
            </w:r>
          </w:p>
        </w:tc>
      </w:tr>
      <w:tr w:rsidR="00B43607" w:rsidRPr="00B43607" w14:paraId="1E213974" w14:textId="77777777" w:rsidTr="009E20C3">
        <w:tc>
          <w:tcPr>
            <w:tcW w:w="784" w:type="dxa"/>
          </w:tcPr>
          <w:p w14:paraId="55BCEC09" w14:textId="77777777" w:rsidR="00B43607" w:rsidRPr="00B43607" w:rsidRDefault="00B43607" w:rsidP="00AF27E2">
            <w:pPr>
              <w:pStyle w:val="TableTextCentred"/>
            </w:pPr>
            <w:r w:rsidRPr="00B43607">
              <w:t>6</w:t>
            </w:r>
          </w:p>
        </w:tc>
        <w:tc>
          <w:tcPr>
            <w:tcW w:w="1877" w:type="dxa"/>
          </w:tcPr>
          <w:p w14:paraId="4BB8079C" w14:textId="77777777" w:rsidR="00B43607" w:rsidRPr="00B43607" w:rsidRDefault="00B43607" w:rsidP="00AF27E2">
            <w:pPr>
              <w:pStyle w:val="TableText"/>
            </w:pPr>
            <w:r w:rsidRPr="00B43607">
              <w:t>Adelaide (SA)</w:t>
            </w:r>
          </w:p>
        </w:tc>
        <w:tc>
          <w:tcPr>
            <w:tcW w:w="1096" w:type="dxa"/>
          </w:tcPr>
          <w:p w14:paraId="6E08CC8D" w14:textId="77777777" w:rsidR="00B43607" w:rsidRPr="00B43607" w:rsidRDefault="00B43607" w:rsidP="00AF27E2">
            <w:pPr>
              <w:pStyle w:val="TableTextCentred"/>
            </w:pPr>
            <w:r w:rsidRPr="00B43607">
              <w:t>8,096</w:t>
            </w:r>
          </w:p>
        </w:tc>
        <w:tc>
          <w:tcPr>
            <w:tcW w:w="1355" w:type="dxa"/>
          </w:tcPr>
          <w:p w14:paraId="629C381A" w14:textId="77777777" w:rsidR="00B43607" w:rsidRPr="00B43607" w:rsidRDefault="00B43607" w:rsidP="00AF27E2">
            <w:pPr>
              <w:pStyle w:val="TableTextCentred"/>
            </w:pPr>
            <w:r w:rsidRPr="00B43607">
              <w:t>6%</w:t>
            </w:r>
          </w:p>
        </w:tc>
      </w:tr>
      <w:tr w:rsidR="00B43607" w:rsidRPr="00B43607" w14:paraId="5023B6D0" w14:textId="77777777" w:rsidTr="009E20C3">
        <w:tc>
          <w:tcPr>
            <w:tcW w:w="784" w:type="dxa"/>
          </w:tcPr>
          <w:p w14:paraId="7BA5E237" w14:textId="77777777" w:rsidR="00B43607" w:rsidRPr="00B43607" w:rsidRDefault="00B43607" w:rsidP="00AF27E2">
            <w:pPr>
              <w:pStyle w:val="TableTextCentred"/>
            </w:pPr>
            <w:r w:rsidRPr="00B43607">
              <w:t>7</w:t>
            </w:r>
          </w:p>
        </w:tc>
        <w:tc>
          <w:tcPr>
            <w:tcW w:w="1877" w:type="dxa"/>
          </w:tcPr>
          <w:p w14:paraId="25E45856" w14:textId="77777777" w:rsidR="00B43607" w:rsidRPr="00B43607" w:rsidRDefault="00B43607" w:rsidP="00AF27E2">
            <w:pPr>
              <w:pStyle w:val="TableText"/>
            </w:pPr>
            <w:r w:rsidRPr="00B43607">
              <w:t>Hobart (TAS)</w:t>
            </w:r>
          </w:p>
        </w:tc>
        <w:tc>
          <w:tcPr>
            <w:tcW w:w="1096" w:type="dxa"/>
          </w:tcPr>
          <w:p w14:paraId="441D9490" w14:textId="77777777" w:rsidR="00B43607" w:rsidRPr="00B43607" w:rsidRDefault="00B43607" w:rsidP="00AF27E2">
            <w:pPr>
              <w:pStyle w:val="TableTextCentred"/>
            </w:pPr>
            <w:r w:rsidRPr="00B43607">
              <w:t>1,140</w:t>
            </w:r>
          </w:p>
        </w:tc>
        <w:tc>
          <w:tcPr>
            <w:tcW w:w="1355" w:type="dxa"/>
          </w:tcPr>
          <w:p w14:paraId="3DD9306E" w14:textId="77777777" w:rsidR="00B43607" w:rsidRPr="00B43607" w:rsidRDefault="00B43607" w:rsidP="00AF27E2">
            <w:pPr>
              <w:pStyle w:val="TableTextCentred"/>
            </w:pPr>
            <w:r w:rsidRPr="00B43607">
              <w:t>0.8%</w:t>
            </w:r>
          </w:p>
        </w:tc>
      </w:tr>
      <w:tr w:rsidR="00B43607" w:rsidRPr="00B43607" w14:paraId="422E5A80" w14:textId="77777777" w:rsidTr="009E20C3">
        <w:tc>
          <w:tcPr>
            <w:tcW w:w="784" w:type="dxa"/>
          </w:tcPr>
          <w:p w14:paraId="05293503" w14:textId="77777777" w:rsidR="00B43607" w:rsidRPr="00B43607" w:rsidRDefault="00B43607" w:rsidP="00AF27E2">
            <w:pPr>
              <w:pStyle w:val="TableTextCentred"/>
            </w:pPr>
            <w:r w:rsidRPr="00B43607">
              <w:t>8</w:t>
            </w:r>
          </w:p>
        </w:tc>
        <w:tc>
          <w:tcPr>
            <w:tcW w:w="1877" w:type="dxa"/>
          </w:tcPr>
          <w:p w14:paraId="18E379B3" w14:textId="77777777" w:rsidR="00B43607" w:rsidRPr="00B43607" w:rsidRDefault="00B43607" w:rsidP="00AF27E2">
            <w:pPr>
              <w:pStyle w:val="TableText"/>
            </w:pPr>
            <w:r w:rsidRPr="00B43607">
              <w:t>Gold Coast (QLD)</w:t>
            </w:r>
          </w:p>
        </w:tc>
        <w:tc>
          <w:tcPr>
            <w:tcW w:w="1096" w:type="dxa"/>
          </w:tcPr>
          <w:p w14:paraId="69C0980C" w14:textId="77777777" w:rsidR="00B43607" w:rsidRPr="00B43607" w:rsidRDefault="00B43607" w:rsidP="00AF27E2">
            <w:pPr>
              <w:pStyle w:val="TableTextCentred"/>
            </w:pPr>
            <w:r w:rsidRPr="00B43607">
              <w:t>1,076</w:t>
            </w:r>
          </w:p>
        </w:tc>
        <w:tc>
          <w:tcPr>
            <w:tcW w:w="1355" w:type="dxa"/>
          </w:tcPr>
          <w:p w14:paraId="1C960444" w14:textId="77777777" w:rsidR="00B43607" w:rsidRPr="00B43607" w:rsidRDefault="00B43607" w:rsidP="00AF27E2">
            <w:pPr>
              <w:pStyle w:val="TableTextCentred"/>
            </w:pPr>
            <w:r w:rsidRPr="00B43607">
              <w:t>0.7%</w:t>
            </w:r>
          </w:p>
        </w:tc>
      </w:tr>
      <w:tr w:rsidR="00B43607" w:rsidRPr="00B43607" w14:paraId="0CAB79B2" w14:textId="77777777" w:rsidTr="009E20C3">
        <w:tc>
          <w:tcPr>
            <w:tcW w:w="784" w:type="dxa"/>
          </w:tcPr>
          <w:p w14:paraId="0752CA61" w14:textId="77777777" w:rsidR="00B43607" w:rsidRPr="00B43607" w:rsidRDefault="00B43607" w:rsidP="00AF27E2">
            <w:pPr>
              <w:pStyle w:val="TableTextCentred"/>
            </w:pPr>
            <w:r w:rsidRPr="00B43607">
              <w:t>9</w:t>
            </w:r>
          </w:p>
        </w:tc>
        <w:tc>
          <w:tcPr>
            <w:tcW w:w="1877" w:type="dxa"/>
          </w:tcPr>
          <w:p w14:paraId="0E2A919B" w14:textId="77777777" w:rsidR="00B43607" w:rsidRPr="00B43607" w:rsidRDefault="00B43607" w:rsidP="00AF27E2">
            <w:pPr>
              <w:pStyle w:val="TableText"/>
            </w:pPr>
            <w:r w:rsidRPr="00B43607">
              <w:t>Launceston (TAS)</w:t>
            </w:r>
          </w:p>
        </w:tc>
        <w:tc>
          <w:tcPr>
            <w:tcW w:w="1096" w:type="dxa"/>
          </w:tcPr>
          <w:p w14:paraId="12209ACA" w14:textId="77777777" w:rsidR="00B43607" w:rsidRPr="00B43607" w:rsidRDefault="00B43607" w:rsidP="00AF27E2">
            <w:pPr>
              <w:pStyle w:val="TableTextCentred"/>
            </w:pPr>
            <w:r w:rsidRPr="00B43607">
              <w:t>779</w:t>
            </w:r>
          </w:p>
        </w:tc>
        <w:tc>
          <w:tcPr>
            <w:tcW w:w="1355" w:type="dxa"/>
          </w:tcPr>
          <w:p w14:paraId="07DEE2B2" w14:textId="77777777" w:rsidR="00B43607" w:rsidRPr="00B43607" w:rsidRDefault="00B43607" w:rsidP="00AF27E2">
            <w:pPr>
              <w:pStyle w:val="TableTextCentred"/>
            </w:pPr>
            <w:r w:rsidRPr="00B43607">
              <w:t>0.5%</w:t>
            </w:r>
          </w:p>
        </w:tc>
      </w:tr>
      <w:tr w:rsidR="00B43607" w:rsidRPr="00B43607" w14:paraId="7BE0E6E4" w14:textId="77777777" w:rsidTr="009E20C3">
        <w:tc>
          <w:tcPr>
            <w:tcW w:w="784" w:type="dxa"/>
          </w:tcPr>
          <w:p w14:paraId="29684987" w14:textId="77777777" w:rsidR="00B43607" w:rsidRPr="00B43607" w:rsidRDefault="00B43607" w:rsidP="00AF27E2">
            <w:pPr>
              <w:pStyle w:val="TableTextCentred"/>
            </w:pPr>
            <w:r w:rsidRPr="00B43607">
              <w:t>10</w:t>
            </w:r>
          </w:p>
        </w:tc>
        <w:tc>
          <w:tcPr>
            <w:tcW w:w="1877" w:type="dxa"/>
          </w:tcPr>
          <w:p w14:paraId="20D98BCC" w14:textId="77777777" w:rsidR="00B43607" w:rsidRPr="00B43607" w:rsidRDefault="00B43607" w:rsidP="00AF27E2">
            <w:pPr>
              <w:pStyle w:val="TableText"/>
            </w:pPr>
            <w:r w:rsidRPr="00B43607">
              <w:t>Newcastle (NSW)</w:t>
            </w:r>
          </w:p>
        </w:tc>
        <w:tc>
          <w:tcPr>
            <w:tcW w:w="1096" w:type="dxa"/>
          </w:tcPr>
          <w:p w14:paraId="54D4DD16" w14:textId="77777777" w:rsidR="00B43607" w:rsidRPr="00B43607" w:rsidRDefault="00B43607" w:rsidP="00AF27E2">
            <w:pPr>
              <w:pStyle w:val="TableTextCentred"/>
            </w:pPr>
            <w:r w:rsidRPr="00B43607">
              <w:t>649</w:t>
            </w:r>
          </w:p>
        </w:tc>
        <w:tc>
          <w:tcPr>
            <w:tcW w:w="1355" w:type="dxa"/>
          </w:tcPr>
          <w:p w14:paraId="053275E1" w14:textId="77777777" w:rsidR="00B43607" w:rsidRPr="00B43607" w:rsidRDefault="00B43607" w:rsidP="00AF27E2">
            <w:pPr>
              <w:pStyle w:val="TableTextCentred"/>
            </w:pPr>
            <w:r w:rsidRPr="00B43607">
              <w:t>0.4%</w:t>
            </w:r>
          </w:p>
        </w:tc>
      </w:tr>
      <w:tr w:rsidR="00B43607" w:rsidRPr="00B43607" w14:paraId="1BA733A9" w14:textId="77777777" w:rsidTr="009E20C3">
        <w:tc>
          <w:tcPr>
            <w:tcW w:w="784" w:type="dxa"/>
          </w:tcPr>
          <w:p w14:paraId="7E06B4D5" w14:textId="77777777" w:rsidR="00B43607" w:rsidRPr="00B43607" w:rsidRDefault="00B43607" w:rsidP="00AF27E2">
            <w:pPr>
              <w:pStyle w:val="TableTextCentred"/>
            </w:pPr>
            <w:r w:rsidRPr="00B43607">
              <w:t>11</w:t>
            </w:r>
          </w:p>
        </w:tc>
        <w:tc>
          <w:tcPr>
            <w:tcW w:w="1877" w:type="dxa"/>
          </w:tcPr>
          <w:p w14:paraId="625440E5" w14:textId="77777777" w:rsidR="00B43607" w:rsidRPr="00B43607" w:rsidRDefault="00B43607" w:rsidP="00AF27E2">
            <w:pPr>
              <w:pStyle w:val="TableText"/>
            </w:pPr>
            <w:r w:rsidRPr="00B43607">
              <w:t>London (UK)</w:t>
            </w:r>
          </w:p>
        </w:tc>
        <w:tc>
          <w:tcPr>
            <w:tcW w:w="1096" w:type="dxa"/>
          </w:tcPr>
          <w:p w14:paraId="554A7239" w14:textId="77777777" w:rsidR="00B43607" w:rsidRPr="00B43607" w:rsidRDefault="00B43607" w:rsidP="00AF27E2">
            <w:pPr>
              <w:pStyle w:val="TableTextCentred"/>
            </w:pPr>
            <w:r w:rsidRPr="00B43607">
              <w:t>515</w:t>
            </w:r>
          </w:p>
        </w:tc>
        <w:tc>
          <w:tcPr>
            <w:tcW w:w="1355" w:type="dxa"/>
          </w:tcPr>
          <w:p w14:paraId="240CD72A" w14:textId="77777777" w:rsidR="00B43607" w:rsidRPr="00B43607" w:rsidRDefault="00B43607" w:rsidP="00AF27E2">
            <w:pPr>
              <w:pStyle w:val="TableTextCentred"/>
            </w:pPr>
            <w:r w:rsidRPr="00B43607">
              <w:t>0.4%</w:t>
            </w:r>
          </w:p>
        </w:tc>
      </w:tr>
      <w:tr w:rsidR="00B43607" w:rsidRPr="00B43607" w14:paraId="3039AF92" w14:textId="77777777" w:rsidTr="009E20C3">
        <w:tc>
          <w:tcPr>
            <w:tcW w:w="784" w:type="dxa"/>
          </w:tcPr>
          <w:p w14:paraId="7875A638" w14:textId="77777777" w:rsidR="00B43607" w:rsidRPr="00B43607" w:rsidRDefault="00B43607" w:rsidP="00AF27E2">
            <w:pPr>
              <w:pStyle w:val="TableTextCentred"/>
            </w:pPr>
            <w:r w:rsidRPr="00B43607">
              <w:t>12</w:t>
            </w:r>
          </w:p>
        </w:tc>
        <w:tc>
          <w:tcPr>
            <w:tcW w:w="1877" w:type="dxa"/>
          </w:tcPr>
          <w:p w14:paraId="5476ABA7" w14:textId="77777777" w:rsidR="00B43607" w:rsidRPr="00B43607" w:rsidRDefault="00B43607" w:rsidP="00AF27E2">
            <w:pPr>
              <w:pStyle w:val="TableText"/>
            </w:pPr>
            <w:r w:rsidRPr="00B43607">
              <w:t>Darwin (NT)</w:t>
            </w:r>
          </w:p>
        </w:tc>
        <w:tc>
          <w:tcPr>
            <w:tcW w:w="1096" w:type="dxa"/>
          </w:tcPr>
          <w:p w14:paraId="67A40281" w14:textId="77777777" w:rsidR="00B43607" w:rsidRPr="00B43607" w:rsidRDefault="00B43607" w:rsidP="00AF27E2">
            <w:pPr>
              <w:pStyle w:val="TableTextCentred"/>
            </w:pPr>
            <w:r w:rsidRPr="00B43607">
              <w:t>512</w:t>
            </w:r>
          </w:p>
        </w:tc>
        <w:tc>
          <w:tcPr>
            <w:tcW w:w="1355" w:type="dxa"/>
          </w:tcPr>
          <w:p w14:paraId="1A00EABA" w14:textId="77777777" w:rsidR="00B43607" w:rsidRPr="00B43607" w:rsidRDefault="00B43607" w:rsidP="00AF27E2">
            <w:pPr>
              <w:pStyle w:val="TableTextCentred"/>
            </w:pPr>
            <w:r w:rsidRPr="00B43607">
              <w:t>0.4%</w:t>
            </w:r>
          </w:p>
        </w:tc>
      </w:tr>
    </w:tbl>
    <w:p w14:paraId="30115140" w14:textId="099CDA7D" w:rsidR="00B43607" w:rsidRPr="00B43607" w:rsidRDefault="00B43607" w:rsidP="009E20C3">
      <w:pPr>
        <w:pStyle w:val="Paragraph"/>
      </w:pPr>
      <w:r w:rsidRPr="00B43607">
        <w:t xml:space="preserve">An analysis of page-specific traffic suggests that the main reasons people accessed the IAA website were to obtain general information on ICA and information specific to country </w:t>
      </w:r>
      <w:r w:rsidR="00551F9E" w:rsidRPr="00B43607">
        <w:t>programs.</w:t>
      </w:r>
    </w:p>
    <w:p w14:paraId="2366DC98" w14:textId="5982BE7A" w:rsidR="00B43607" w:rsidRPr="00B43607" w:rsidRDefault="00B43607" w:rsidP="00E23AE1">
      <w:pPr>
        <w:pStyle w:val="Heading4"/>
      </w:pPr>
      <w:r w:rsidRPr="00B43607">
        <w:lastRenderedPageBreak/>
        <w:t xml:space="preserve">Achievements in relation to the </w:t>
      </w:r>
      <w:r w:rsidR="008B0955">
        <w:t>Reform</w:t>
      </w:r>
      <w:r w:rsidR="008B0955" w:rsidRPr="00B43607">
        <w:t xml:space="preserve"> </w:t>
      </w:r>
      <w:r w:rsidRPr="00B43607">
        <w:t>Implemen</w:t>
      </w:r>
      <w:r w:rsidR="003A0EDA">
        <w:t>tation Plan measures of success</w:t>
      </w:r>
    </w:p>
    <w:p w14:paraId="3C296C9D" w14:textId="10F68A09" w:rsidR="00B43607" w:rsidRPr="00B43607" w:rsidRDefault="00B43607" w:rsidP="00E23AE1">
      <w:pPr>
        <w:pStyle w:val="ParagraphKeep"/>
        <w:rPr>
          <w:lang w:eastAsia="en-AU"/>
        </w:rPr>
      </w:pPr>
      <w:r w:rsidRPr="00B43607">
        <w:rPr>
          <w:lang w:eastAsia="en-AU"/>
        </w:rPr>
        <w:t xml:space="preserve">As outlined in </w:t>
      </w:r>
      <w:r w:rsidRPr="00B43607">
        <w:fldChar w:fldCharType="begin"/>
      </w:r>
      <w:r w:rsidRPr="00B43607">
        <w:instrText xml:space="preserve"> REF _Ref462589608 \h  \* MERGEFORMAT </w:instrText>
      </w:r>
      <w:r w:rsidRPr="00B43607">
        <w:fldChar w:fldCharType="separate"/>
      </w:r>
      <w:r w:rsidR="00487073" w:rsidRPr="00487073">
        <w:rPr>
          <w:i/>
          <w:iCs/>
        </w:rPr>
        <w:t>Table 5</w:t>
      </w:r>
      <w:r w:rsidR="00487073" w:rsidRPr="00487073">
        <w:rPr>
          <w:i/>
          <w:iCs/>
        </w:rPr>
        <w:noBreakHyphen/>
        <w:t>6</w:t>
      </w:r>
      <w:r w:rsidRPr="00B43607">
        <w:fldChar w:fldCharType="end"/>
      </w:r>
      <w:r w:rsidRPr="00B43607">
        <w:rPr>
          <w:i/>
          <w:iCs/>
        </w:rPr>
        <w:t>,</w:t>
      </w:r>
      <w:r w:rsidRPr="00B43607">
        <w:rPr>
          <w:lang w:eastAsia="en-AU"/>
        </w:rPr>
        <w:t xml:space="preserve"> the IAA service has exceeded all four service usage success measures specified in the </w:t>
      </w:r>
      <w:r w:rsidR="008B0955">
        <w:t>Reform</w:t>
      </w:r>
      <w:r w:rsidR="008B0955" w:rsidRPr="00B43607">
        <w:rPr>
          <w:lang w:eastAsia="en-AU"/>
        </w:rPr>
        <w:t xml:space="preserve"> </w:t>
      </w:r>
      <w:r w:rsidRPr="00B43607">
        <w:rPr>
          <w:lang w:eastAsia="en-AU"/>
        </w:rPr>
        <w:t xml:space="preserve">Implementation Plan </w:t>
      </w:r>
      <w:r w:rsidR="00F5093A">
        <w:fldChar w:fldCharType="begin" w:fldLock="1"/>
      </w:r>
      <w:r w:rsidR="00F5093A">
        <w:instrText>ADDIN CSL_CITATION { "citationItems" : [ { "id" : "ITEM-1", "itemData" : { "author" : [ { "dropping-particle" : "", "family" : "Department", "given" : "Australian Government Department of Social Services and Attorney-General's", "non-dropping-particle" : "", "parse-names" : false, "suffix" : "" } ], "id" : "ITEM-1", "issued" : { "date-parts" : [ [ "2015" ] ] }, "publisher-place" : "Canberra", "title" : "Intercountry Adoption Reform: Implementation Plan", "type" : "report" }, "prefix" : "Intercountry Adoption Reform: Implementation Plan", "suppress-author" : 1, "uris" : [ "http://www.mendeley.com/documents/?uuid=c63de2ba-0b90-4802-a065-fb47ac7ca77f" ] } ], "mendeley" : { "formattedCitation" : "(Intercountry Adoption Reform: Implementation Plan 2015)", "plainTextFormattedCitation" : "(Intercountry Adoption Reform: Implementation Plan 2015)", "previouslyFormattedCitation" : "(Intercountry Adoption Reform: Implementation Plan 2015)" }, "properties" : { "noteIndex" : 0 }, "schema" : "https://github.com/citation-style-language/schema/raw/master/csl-citation.json" }</w:instrText>
      </w:r>
      <w:r w:rsidR="00F5093A">
        <w:fldChar w:fldCharType="separate"/>
      </w:r>
      <w:r w:rsidR="00F5093A" w:rsidRPr="006812F2">
        <w:rPr>
          <w:i/>
          <w:noProof/>
        </w:rPr>
        <w:t xml:space="preserve">(Intercountry Adoption Reform: Implementation Plan </w:t>
      </w:r>
      <w:r w:rsidR="00F5093A" w:rsidRPr="006812F2">
        <w:rPr>
          <w:noProof/>
        </w:rPr>
        <w:t>2015)</w:t>
      </w:r>
      <w:r w:rsidR="00F5093A">
        <w:fldChar w:fldCharType="end"/>
      </w:r>
      <w:r w:rsidRPr="00B43607">
        <w:rPr>
          <w:lang w:eastAsia="en-AU"/>
        </w:rPr>
        <w:t>.</w:t>
      </w:r>
    </w:p>
    <w:p w14:paraId="1C38A21F" w14:textId="66E19FC3" w:rsidR="00B43607" w:rsidRPr="00B43607" w:rsidRDefault="00B43607" w:rsidP="002822C7">
      <w:pPr>
        <w:pStyle w:val="Caption"/>
      </w:pPr>
      <w:bookmarkStart w:id="89" w:name="_Ref462589608"/>
      <w:bookmarkStart w:id="90" w:name="_Toc490481656"/>
      <w:r w:rsidRPr="00B43607">
        <w:t>Table</w:t>
      </w:r>
      <w:r w:rsidR="00D55166">
        <w:t> </w:t>
      </w:r>
      <w:r w:rsidR="00644B63">
        <w:fldChar w:fldCharType="begin"/>
      </w:r>
      <w:r w:rsidR="00644B63">
        <w:instrText xml:space="preserve"> STYLEREF 1 \s </w:instrText>
      </w:r>
      <w:r w:rsidR="00644B63">
        <w:fldChar w:fldCharType="separate"/>
      </w:r>
      <w:r w:rsidR="00487073">
        <w:rPr>
          <w:noProof/>
        </w:rPr>
        <w:t>5</w:t>
      </w:r>
      <w:r w:rsidR="00644B63">
        <w:fldChar w:fldCharType="end"/>
      </w:r>
      <w:r w:rsidR="00644B63">
        <w:noBreakHyphen/>
      </w:r>
      <w:r w:rsidR="00644B63">
        <w:fldChar w:fldCharType="begin"/>
      </w:r>
      <w:r w:rsidR="00644B63">
        <w:instrText xml:space="preserve"> SEQ Table \* ARABIC \s 1 </w:instrText>
      </w:r>
      <w:r w:rsidR="00644B63">
        <w:fldChar w:fldCharType="separate"/>
      </w:r>
      <w:r w:rsidR="00487073">
        <w:rPr>
          <w:noProof/>
        </w:rPr>
        <w:t>6</w:t>
      </w:r>
      <w:r w:rsidR="00644B63">
        <w:fldChar w:fldCharType="end"/>
      </w:r>
      <w:bookmarkEnd w:id="89"/>
      <w:r w:rsidR="00D55166">
        <w:t>:</w:t>
      </w:r>
      <w:r w:rsidR="00D55166">
        <w:tab/>
      </w:r>
      <w:r w:rsidRPr="00B43607">
        <w:t>Achievements related to service usage measures</w:t>
      </w:r>
      <w:bookmarkEnd w:id="90"/>
    </w:p>
    <w:tbl>
      <w:tblPr>
        <w:tblW w:w="4962" w:type="pct"/>
        <w:tblInd w:w="101" w:type="dxa"/>
        <w:tblBorders>
          <w:top w:val="single" w:sz="4" w:space="0" w:color="0079C1" w:themeColor="text2"/>
          <w:bottom w:val="single" w:sz="4" w:space="0" w:color="00A2C1" w:themeColor="accent3"/>
          <w:insideH w:val="single" w:sz="4" w:space="0" w:color="BFE7FF" w:themeColor="text2" w:themeTint="33"/>
          <w:insideV w:val="single" w:sz="4" w:space="0" w:color="BFE7FF" w:themeColor="text2" w:themeTint="33"/>
        </w:tblBorders>
        <w:tblCellMar>
          <w:top w:w="108" w:type="dxa"/>
          <w:bottom w:w="108" w:type="dxa"/>
        </w:tblCellMar>
        <w:tblLook w:val="04A0" w:firstRow="1" w:lastRow="0" w:firstColumn="1" w:lastColumn="0" w:noHBand="0" w:noVBand="1"/>
        <w:tblCaption w:val="Key findings:"/>
        <w:tblDescription w:val="Key findings:&#10;• The highest levels of web traffic were evident for the three largest states (NSW 27.4%, Victoria 21% and QLD 15.7%)&#10;• The IAA service exceeded all four service usage success measures specified in the Reform Implementation Plan. &#10;"/>
      </w:tblPr>
      <w:tblGrid>
        <w:gridCol w:w="3879"/>
        <w:gridCol w:w="5405"/>
      </w:tblGrid>
      <w:tr w:rsidR="003A0EDA" w:rsidRPr="00E23AE1" w14:paraId="51553A2B" w14:textId="77777777" w:rsidTr="003A0EDA">
        <w:trPr>
          <w:cantSplit/>
          <w:tblHeader/>
        </w:trPr>
        <w:tc>
          <w:tcPr>
            <w:tcW w:w="2089" w:type="pct"/>
            <w:shd w:val="clear" w:color="auto" w:fill="0079C1" w:themeFill="text2"/>
          </w:tcPr>
          <w:p w14:paraId="43B045FE" w14:textId="77777777" w:rsidR="00B43607" w:rsidRPr="00E23AE1" w:rsidRDefault="00B43607" w:rsidP="00D55166">
            <w:pPr>
              <w:pStyle w:val="TableHeading1"/>
            </w:pPr>
            <w:r w:rsidRPr="00E23AE1">
              <w:t>Measure of success</w:t>
            </w:r>
          </w:p>
        </w:tc>
        <w:tc>
          <w:tcPr>
            <w:tcW w:w="2911" w:type="pct"/>
            <w:shd w:val="clear" w:color="auto" w:fill="0079C1" w:themeFill="text2"/>
          </w:tcPr>
          <w:p w14:paraId="5C7A0D18" w14:textId="77777777" w:rsidR="00B43607" w:rsidRPr="00E23AE1" w:rsidRDefault="00B43607" w:rsidP="00D55166">
            <w:pPr>
              <w:pStyle w:val="TableHeading1"/>
            </w:pPr>
            <w:r w:rsidRPr="00E23AE1">
              <w:t>Achievements</w:t>
            </w:r>
          </w:p>
        </w:tc>
      </w:tr>
      <w:tr w:rsidR="003A0EDA" w:rsidRPr="00E23AE1" w14:paraId="14DCE4EF" w14:textId="77777777" w:rsidTr="003A0EDA">
        <w:trPr>
          <w:cantSplit/>
        </w:trPr>
        <w:tc>
          <w:tcPr>
            <w:tcW w:w="2089" w:type="pct"/>
            <w:shd w:val="clear" w:color="auto" w:fill="auto"/>
          </w:tcPr>
          <w:p w14:paraId="4DA56567" w14:textId="77777777" w:rsidR="00B43607" w:rsidRPr="00E23AE1" w:rsidRDefault="00B43607" w:rsidP="00E23AE1">
            <w:pPr>
              <w:pStyle w:val="TableText"/>
            </w:pPr>
            <w:r w:rsidRPr="00E23AE1">
              <w:t>More than 10 calls per month to the information line</w:t>
            </w:r>
          </w:p>
        </w:tc>
        <w:tc>
          <w:tcPr>
            <w:tcW w:w="2911" w:type="pct"/>
          </w:tcPr>
          <w:p w14:paraId="5D2FFBD4" w14:textId="2C1160F3" w:rsidR="00B43607" w:rsidRPr="00E23AE1" w:rsidRDefault="006F2AFB" w:rsidP="00087508">
            <w:pPr>
              <w:pStyle w:val="TableText"/>
            </w:pPr>
            <w:r w:rsidRPr="00E23AE1">
              <w:t>An average of 98 calls w</w:t>
            </w:r>
            <w:r w:rsidR="00087508">
              <w:t>ere</w:t>
            </w:r>
            <w:r w:rsidR="00B43607" w:rsidRPr="00E23AE1">
              <w:t xml:space="preserve"> handled by the information line per month in the period </w:t>
            </w:r>
            <w:r w:rsidR="002822C7" w:rsidRPr="00E23AE1">
              <w:t xml:space="preserve">May 2015 to </w:t>
            </w:r>
            <w:r w:rsidR="00B43607" w:rsidRPr="00E23AE1">
              <w:t>May 2016.</w:t>
            </w:r>
          </w:p>
        </w:tc>
      </w:tr>
      <w:tr w:rsidR="003A0EDA" w:rsidRPr="00E23AE1" w14:paraId="26A1D768" w14:textId="77777777" w:rsidTr="003A0EDA">
        <w:trPr>
          <w:cantSplit/>
        </w:trPr>
        <w:tc>
          <w:tcPr>
            <w:tcW w:w="2089" w:type="pct"/>
            <w:shd w:val="clear" w:color="auto" w:fill="auto"/>
          </w:tcPr>
          <w:p w14:paraId="79477465" w14:textId="77777777" w:rsidR="00B43607" w:rsidRPr="00E23AE1" w:rsidRDefault="00B43607" w:rsidP="00E23AE1">
            <w:pPr>
              <w:pStyle w:val="TableText"/>
            </w:pPr>
            <w:r w:rsidRPr="00E23AE1">
              <w:t>More than 50 visits per month to the website</w:t>
            </w:r>
          </w:p>
        </w:tc>
        <w:tc>
          <w:tcPr>
            <w:tcW w:w="2911" w:type="pct"/>
          </w:tcPr>
          <w:p w14:paraId="45494326" w14:textId="77777777" w:rsidR="00B43607" w:rsidRPr="00E23AE1" w:rsidRDefault="00B43607" w:rsidP="00E23AE1">
            <w:pPr>
              <w:pStyle w:val="TableText"/>
            </w:pPr>
            <w:r w:rsidRPr="00E23AE1">
              <w:t xml:space="preserve">Web analytics indicate that significantly more than 50 visits per month to the website.  More refined visit details cannot be established from the available data </w:t>
            </w:r>
          </w:p>
        </w:tc>
      </w:tr>
      <w:tr w:rsidR="003A0EDA" w:rsidRPr="00E23AE1" w14:paraId="2BAF9269" w14:textId="77777777" w:rsidTr="003A0EDA">
        <w:trPr>
          <w:cantSplit/>
        </w:trPr>
        <w:tc>
          <w:tcPr>
            <w:tcW w:w="2089" w:type="pct"/>
            <w:shd w:val="clear" w:color="auto" w:fill="auto"/>
          </w:tcPr>
          <w:p w14:paraId="29D17904" w14:textId="77777777" w:rsidR="00B43607" w:rsidRPr="00E23AE1" w:rsidRDefault="00B43607" w:rsidP="00E23AE1">
            <w:pPr>
              <w:pStyle w:val="TableText"/>
            </w:pPr>
            <w:r w:rsidRPr="00E23AE1">
              <w:t>More than 50 email enquiries per month</w:t>
            </w:r>
          </w:p>
        </w:tc>
        <w:tc>
          <w:tcPr>
            <w:tcW w:w="2911" w:type="pct"/>
          </w:tcPr>
          <w:p w14:paraId="641C45D3" w14:textId="564370CF" w:rsidR="00B43607" w:rsidRPr="00E23AE1" w:rsidRDefault="00B43607" w:rsidP="00E23AE1">
            <w:pPr>
              <w:pStyle w:val="TableText"/>
            </w:pPr>
            <w:r w:rsidRPr="00E23AE1">
              <w:t xml:space="preserve">An average of 63 email enquiries </w:t>
            </w:r>
            <w:r w:rsidR="002822C7" w:rsidRPr="00E23AE1">
              <w:t>were</w:t>
            </w:r>
            <w:r w:rsidRPr="00E23AE1">
              <w:t xml:space="preserve"> received each month between May 2015 and May 2016.</w:t>
            </w:r>
          </w:p>
        </w:tc>
      </w:tr>
      <w:tr w:rsidR="003A0EDA" w:rsidRPr="00E23AE1" w14:paraId="1758A331" w14:textId="77777777" w:rsidTr="003A0EDA">
        <w:trPr>
          <w:cantSplit/>
        </w:trPr>
        <w:tc>
          <w:tcPr>
            <w:tcW w:w="2089" w:type="pct"/>
            <w:shd w:val="clear" w:color="auto" w:fill="auto"/>
          </w:tcPr>
          <w:p w14:paraId="0990890F" w14:textId="77777777" w:rsidR="00B43607" w:rsidRPr="00E23AE1" w:rsidRDefault="00B43607" w:rsidP="00E23AE1">
            <w:pPr>
              <w:pStyle w:val="TableText"/>
            </w:pPr>
            <w:r w:rsidRPr="00E23AE1">
              <w:t>At least 250 people subscribe to the IAA mailing list in the first year of operation</w:t>
            </w:r>
          </w:p>
        </w:tc>
        <w:tc>
          <w:tcPr>
            <w:tcW w:w="2911" w:type="pct"/>
          </w:tcPr>
          <w:p w14:paraId="08E6BFCC" w14:textId="77777777" w:rsidR="00B43607" w:rsidRPr="00E23AE1" w:rsidRDefault="00B43607" w:rsidP="00E23AE1">
            <w:pPr>
              <w:pStyle w:val="TableText"/>
            </w:pPr>
            <w:r w:rsidRPr="00E23AE1">
              <w:t>256 people subscribed to the IAA mailing list in the first year with only one person unsubscribing</w:t>
            </w:r>
          </w:p>
        </w:tc>
      </w:tr>
    </w:tbl>
    <w:tbl>
      <w:tblPr>
        <w:tblStyle w:val="TableGrid"/>
        <w:tblpPr w:leftFromText="180" w:rightFromText="180" w:vertAnchor="text" w:horzAnchor="margin" w:tblpY="248"/>
        <w:tblW w:w="0" w:type="auto"/>
        <w:tblBorders>
          <w:top w:val="single" w:sz="4" w:space="0" w:color="0079C1" w:themeColor="text2"/>
          <w:left w:val="single" w:sz="4" w:space="0" w:color="0079C1" w:themeColor="text2"/>
          <w:bottom w:val="single" w:sz="4" w:space="0" w:color="0079C1" w:themeColor="text2"/>
          <w:right w:val="single" w:sz="4" w:space="0" w:color="0079C1" w:themeColor="text2"/>
          <w:insideH w:val="none" w:sz="0" w:space="0" w:color="auto"/>
          <w:insideV w:val="none" w:sz="0" w:space="0" w:color="auto"/>
        </w:tblBorders>
        <w:shd w:val="clear" w:color="auto" w:fill="E2F4FF" w:themeFill="accent1" w:themeFillTint="33"/>
        <w:tblLook w:val="04A0" w:firstRow="1" w:lastRow="0" w:firstColumn="1" w:lastColumn="0" w:noHBand="0" w:noVBand="1"/>
        <w:tblCaption w:val="Key findings:"/>
        <w:tblDescription w:val="Key findings:&#10;• The highest levels of web traffic were evident for the three largest states (NSW 27.4%, Victoria 21% and QLD 15.7%)&#10;• The IAA service exceeded all four service usage success measures specified in the Reform Implementation Plan. &#10;"/>
      </w:tblPr>
      <w:tblGrid>
        <w:gridCol w:w="9345"/>
      </w:tblGrid>
      <w:tr w:rsidR="00E40FF5" w:rsidRPr="00B43607" w14:paraId="69775B01" w14:textId="77777777" w:rsidTr="004E43C8">
        <w:trPr>
          <w:tblHeader/>
        </w:trPr>
        <w:tc>
          <w:tcPr>
            <w:tcW w:w="9465" w:type="dxa"/>
            <w:shd w:val="clear" w:color="auto" w:fill="E2F4FF" w:themeFill="accent1" w:themeFillTint="33"/>
          </w:tcPr>
          <w:p w14:paraId="327A4324" w14:textId="77777777" w:rsidR="00E40FF5" w:rsidRPr="008A1452" w:rsidRDefault="00E40FF5" w:rsidP="00D2747A">
            <w:pPr>
              <w:pStyle w:val="Heading4"/>
              <w:outlineLvl w:val="3"/>
              <w:rPr>
                <w:color w:val="auto"/>
                <w:lang w:val="en-AU"/>
              </w:rPr>
            </w:pPr>
            <w:r w:rsidRPr="008A1452">
              <w:rPr>
                <w:color w:val="auto"/>
                <w:lang w:val="en-AU"/>
              </w:rPr>
              <w:t>Key findings:</w:t>
            </w:r>
          </w:p>
          <w:p w14:paraId="011564FA" w14:textId="7FC62983" w:rsidR="00EF341C" w:rsidRDefault="00EF341C" w:rsidP="002F6F1C">
            <w:pPr>
              <w:pStyle w:val="Bullet1"/>
              <w:rPr>
                <w:lang w:val="en-AU"/>
              </w:rPr>
            </w:pPr>
            <w:r w:rsidRPr="00B43607">
              <w:rPr>
                <w:lang w:val="en-AU"/>
              </w:rPr>
              <w:t xml:space="preserve">The highest levels of web traffic were evident for the three largest </w:t>
            </w:r>
            <w:r w:rsidR="00291A2D">
              <w:rPr>
                <w:lang w:val="en-AU"/>
              </w:rPr>
              <w:t>states</w:t>
            </w:r>
            <w:r w:rsidR="00291A2D" w:rsidRPr="00B43607">
              <w:rPr>
                <w:lang w:val="en-AU"/>
              </w:rPr>
              <w:t xml:space="preserve"> </w:t>
            </w:r>
            <w:r w:rsidRPr="00B43607">
              <w:rPr>
                <w:lang w:val="en-AU"/>
              </w:rPr>
              <w:t>(NSW 27</w:t>
            </w:r>
            <w:r w:rsidR="00414223">
              <w:rPr>
                <w:lang w:val="en-AU"/>
              </w:rPr>
              <w:t>.4%, Victoria 21% and QLD 15.7%</w:t>
            </w:r>
            <w:r w:rsidRPr="00B43607">
              <w:rPr>
                <w:lang w:val="en-AU"/>
              </w:rPr>
              <w:t>)</w:t>
            </w:r>
          </w:p>
          <w:p w14:paraId="077D356D" w14:textId="4949AA8B" w:rsidR="00EF341C" w:rsidRPr="00B43607" w:rsidRDefault="00414223" w:rsidP="002F6F1C">
            <w:pPr>
              <w:pStyle w:val="Bullet1"/>
              <w:rPr>
                <w:lang w:val="en-AU"/>
              </w:rPr>
            </w:pPr>
            <w:r w:rsidRPr="00414223">
              <w:rPr>
                <w:lang w:val="en-AU"/>
              </w:rPr>
              <w:t xml:space="preserve">The IAA service exceeded all four service usage success measures specified in the </w:t>
            </w:r>
            <w:r w:rsidR="008B0955">
              <w:t>Reform</w:t>
            </w:r>
            <w:r w:rsidR="008B0955" w:rsidRPr="00414223">
              <w:rPr>
                <w:lang w:val="en-AU"/>
              </w:rPr>
              <w:t xml:space="preserve"> </w:t>
            </w:r>
            <w:r w:rsidRPr="00414223">
              <w:rPr>
                <w:lang w:val="en-AU"/>
              </w:rPr>
              <w:t>Implementation Plan.</w:t>
            </w:r>
            <w:r w:rsidRPr="00B43607">
              <w:rPr>
                <w:lang w:val="en-AU"/>
              </w:rPr>
              <w:t xml:space="preserve"> </w:t>
            </w:r>
          </w:p>
        </w:tc>
      </w:tr>
    </w:tbl>
    <w:p w14:paraId="7C8D53EB" w14:textId="77777777" w:rsidR="00B43607" w:rsidRPr="00B43607" w:rsidRDefault="00B43607" w:rsidP="009E20C3">
      <w:pPr>
        <w:pStyle w:val="Heading3"/>
      </w:pPr>
      <w:r w:rsidRPr="00B43607">
        <w:t>Operational parameters</w:t>
      </w:r>
    </w:p>
    <w:p w14:paraId="54D968FD" w14:textId="19ED9A35" w:rsidR="00B43607" w:rsidRPr="00B43607" w:rsidRDefault="00B43607" w:rsidP="003A0EDA">
      <w:pPr>
        <w:pStyle w:val="Paragraph"/>
        <w:rPr>
          <w:lang w:eastAsia="en-AU"/>
        </w:rPr>
      </w:pPr>
      <w:r w:rsidRPr="00B43607">
        <w:rPr>
          <w:lang w:eastAsia="en-AU"/>
        </w:rPr>
        <w:t xml:space="preserve">IAA’s achievements against each of the four operational success measures </w:t>
      </w:r>
      <w:r w:rsidR="00F5093A">
        <w:fldChar w:fldCharType="begin" w:fldLock="1"/>
      </w:r>
      <w:r w:rsidR="00F5093A">
        <w:instrText>ADDIN CSL_CITATION { "citationItems" : [ { "id" : "ITEM-1", "itemData" : { "author" : [ { "dropping-particle" : "", "family" : "Department", "given" : "Australian Government Department of Social Services and Attorney-General's", "non-dropping-particle" : "", "parse-names" : false, "suffix" : "" } ], "id" : "ITEM-1", "issued" : { "date-parts" : [ [ "2015" ] ] }, "publisher-place" : "Canberra", "title" : "Intercountry Adoption Reform: Implementation Plan", "type" : "report" }, "prefix" : "Intercountry Adoption Reform: Implementation Plan", "suppress-author" : 1, "uris" : [ "http://www.mendeley.com/documents/?uuid=c63de2ba-0b90-4802-a065-fb47ac7ca77f" ] } ], "mendeley" : { "formattedCitation" : "(Intercountry Adoption Reform: Implementation Plan 2015)", "plainTextFormattedCitation" : "(Intercountry Adoption Reform: Implementation Plan 2015)", "previouslyFormattedCitation" : "(Intercountry Adoption Reform: Implementation Plan 2015)" }, "properties" : { "noteIndex" : 0 }, "schema" : "https://github.com/citation-style-language/schema/raw/master/csl-citation.json" }</w:instrText>
      </w:r>
      <w:r w:rsidR="00F5093A">
        <w:fldChar w:fldCharType="separate"/>
      </w:r>
      <w:r w:rsidR="00F5093A" w:rsidRPr="006812F2">
        <w:rPr>
          <w:i/>
          <w:noProof/>
        </w:rPr>
        <w:t xml:space="preserve">(Intercountry Adoption Reform: Implementation Plan </w:t>
      </w:r>
      <w:r w:rsidR="00F5093A" w:rsidRPr="006812F2">
        <w:rPr>
          <w:noProof/>
        </w:rPr>
        <w:t>2015)</w:t>
      </w:r>
      <w:r w:rsidR="00F5093A">
        <w:fldChar w:fldCharType="end"/>
      </w:r>
      <w:r w:rsidRPr="00B43607">
        <w:rPr>
          <w:lang w:eastAsia="en-AU"/>
        </w:rPr>
        <w:t xml:space="preserve"> are shown in </w:t>
      </w:r>
      <w:r w:rsidRPr="00B43607">
        <w:fldChar w:fldCharType="begin"/>
      </w:r>
      <w:r w:rsidRPr="00B43607">
        <w:instrText xml:space="preserve"> REF _Ref462648201 \h  \* MERGEFORMAT </w:instrText>
      </w:r>
      <w:r w:rsidRPr="00B43607">
        <w:fldChar w:fldCharType="separate"/>
      </w:r>
      <w:r w:rsidR="00487073" w:rsidRPr="00487073">
        <w:rPr>
          <w:i/>
          <w:iCs/>
        </w:rPr>
        <w:t>Table 5</w:t>
      </w:r>
      <w:r w:rsidR="00487073" w:rsidRPr="00487073">
        <w:rPr>
          <w:i/>
          <w:iCs/>
        </w:rPr>
        <w:noBreakHyphen/>
        <w:t>7</w:t>
      </w:r>
      <w:r w:rsidRPr="00B43607">
        <w:fldChar w:fldCharType="end"/>
      </w:r>
      <w:r w:rsidRPr="00B43607">
        <w:rPr>
          <w:i/>
          <w:iCs/>
        </w:rPr>
        <w:t>.</w:t>
      </w:r>
    </w:p>
    <w:p w14:paraId="339D8D40" w14:textId="68224B78" w:rsidR="00B43607" w:rsidRPr="00B43607" w:rsidRDefault="00B43607" w:rsidP="003A0EDA">
      <w:pPr>
        <w:pStyle w:val="Caption"/>
      </w:pPr>
      <w:bookmarkStart w:id="91" w:name="_Ref462648201"/>
      <w:bookmarkStart w:id="92" w:name="_Toc490481657"/>
      <w:bookmarkStart w:id="93" w:name="_Hlk489542830"/>
      <w:r w:rsidRPr="00B43607">
        <w:lastRenderedPageBreak/>
        <w:t>Table</w:t>
      </w:r>
      <w:r w:rsidR="003A0EDA">
        <w:t> </w:t>
      </w:r>
      <w:r w:rsidR="00644B63">
        <w:fldChar w:fldCharType="begin"/>
      </w:r>
      <w:r w:rsidR="00644B63">
        <w:instrText xml:space="preserve"> STYLEREF 1 \s </w:instrText>
      </w:r>
      <w:r w:rsidR="00644B63">
        <w:fldChar w:fldCharType="separate"/>
      </w:r>
      <w:r w:rsidR="00487073">
        <w:rPr>
          <w:noProof/>
        </w:rPr>
        <w:t>5</w:t>
      </w:r>
      <w:r w:rsidR="00644B63">
        <w:fldChar w:fldCharType="end"/>
      </w:r>
      <w:r w:rsidR="00644B63">
        <w:noBreakHyphen/>
      </w:r>
      <w:r w:rsidR="00644B63">
        <w:fldChar w:fldCharType="begin"/>
      </w:r>
      <w:r w:rsidR="00644B63">
        <w:instrText xml:space="preserve"> SEQ Table \* ARABIC \s 1 </w:instrText>
      </w:r>
      <w:r w:rsidR="00644B63">
        <w:fldChar w:fldCharType="separate"/>
      </w:r>
      <w:r w:rsidR="00487073">
        <w:rPr>
          <w:noProof/>
        </w:rPr>
        <w:t>7</w:t>
      </w:r>
      <w:r w:rsidR="00644B63">
        <w:fldChar w:fldCharType="end"/>
      </w:r>
      <w:bookmarkEnd w:id="91"/>
      <w:r w:rsidR="003A0EDA">
        <w:t>:</w:t>
      </w:r>
      <w:r w:rsidR="003A0EDA">
        <w:tab/>
      </w:r>
      <w:r w:rsidRPr="00B43607">
        <w:t>Achievements related to operational success measures</w:t>
      </w:r>
      <w:bookmarkEnd w:id="92"/>
    </w:p>
    <w:tbl>
      <w:tblPr>
        <w:tblW w:w="4962" w:type="pct"/>
        <w:tblInd w:w="101" w:type="dxa"/>
        <w:tblBorders>
          <w:top w:val="single" w:sz="4" w:space="0" w:color="00A2C1" w:themeColor="accent3"/>
          <w:bottom w:val="single" w:sz="4" w:space="0" w:color="00A2C1" w:themeColor="accent3"/>
          <w:insideH w:val="single" w:sz="4" w:space="0" w:color="BFE7FF" w:themeColor="text2" w:themeTint="33"/>
          <w:insideV w:val="single" w:sz="4" w:space="0" w:color="E2F4FF" w:themeColor="accent1" w:themeTint="33"/>
        </w:tblBorders>
        <w:tblCellMar>
          <w:top w:w="108" w:type="dxa"/>
          <w:bottom w:w="108" w:type="dxa"/>
        </w:tblCellMar>
        <w:tblLook w:val="04A0" w:firstRow="1" w:lastRow="0" w:firstColumn="1" w:lastColumn="0" w:noHBand="0" w:noVBand="1"/>
      </w:tblPr>
      <w:tblGrid>
        <w:gridCol w:w="3879"/>
        <w:gridCol w:w="5405"/>
      </w:tblGrid>
      <w:tr w:rsidR="003A0EDA" w:rsidRPr="00B43607" w14:paraId="5EA53A67" w14:textId="77777777" w:rsidTr="003A0EDA">
        <w:trPr>
          <w:cantSplit/>
          <w:tblHeader/>
        </w:trPr>
        <w:tc>
          <w:tcPr>
            <w:tcW w:w="2089" w:type="pct"/>
            <w:tcBorders>
              <w:top w:val="single" w:sz="4" w:space="0" w:color="0079C1" w:themeColor="text2"/>
              <w:bottom w:val="single" w:sz="4" w:space="0" w:color="0079C1" w:themeColor="text2"/>
            </w:tcBorders>
            <w:shd w:val="clear" w:color="auto" w:fill="0079C1" w:themeFill="text2"/>
          </w:tcPr>
          <w:p w14:paraId="3E4093D6" w14:textId="77777777" w:rsidR="00B43607" w:rsidRPr="002822C7" w:rsidRDefault="00B43607" w:rsidP="003A0EDA">
            <w:pPr>
              <w:pStyle w:val="TableHeading1"/>
            </w:pPr>
            <w:bookmarkStart w:id="94" w:name="_Hlk489958997"/>
            <w:r w:rsidRPr="002822C7">
              <w:t>Measure of success</w:t>
            </w:r>
          </w:p>
        </w:tc>
        <w:tc>
          <w:tcPr>
            <w:tcW w:w="2911" w:type="pct"/>
            <w:tcBorders>
              <w:top w:val="single" w:sz="4" w:space="0" w:color="0079C1" w:themeColor="text2"/>
              <w:bottom w:val="single" w:sz="4" w:space="0" w:color="0079C1" w:themeColor="text2"/>
            </w:tcBorders>
            <w:shd w:val="clear" w:color="auto" w:fill="0079C1" w:themeFill="text2"/>
          </w:tcPr>
          <w:p w14:paraId="4E744C70" w14:textId="77777777" w:rsidR="00B43607" w:rsidRPr="002822C7" w:rsidRDefault="00B43607" w:rsidP="003A0EDA">
            <w:pPr>
              <w:pStyle w:val="TableHeading1"/>
            </w:pPr>
            <w:r w:rsidRPr="002822C7">
              <w:t>Achievements</w:t>
            </w:r>
          </w:p>
        </w:tc>
      </w:tr>
      <w:tr w:rsidR="003A0EDA" w:rsidRPr="00B43607" w14:paraId="7020B115" w14:textId="77777777" w:rsidTr="003A0EDA">
        <w:trPr>
          <w:cantSplit/>
        </w:trPr>
        <w:tc>
          <w:tcPr>
            <w:tcW w:w="2089" w:type="pct"/>
            <w:shd w:val="clear" w:color="auto" w:fill="auto"/>
          </w:tcPr>
          <w:p w14:paraId="03BE79D5" w14:textId="77777777" w:rsidR="00B43607" w:rsidRPr="002822C7" w:rsidRDefault="00B43607" w:rsidP="00F6322A">
            <w:pPr>
              <w:pStyle w:val="TableTextKeep"/>
            </w:pPr>
            <w:r w:rsidRPr="002822C7">
              <w:t>More than 80% of calls are answered by information line staff within 20 seconds</w:t>
            </w:r>
          </w:p>
        </w:tc>
        <w:tc>
          <w:tcPr>
            <w:tcW w:w="2911" w:type="pct"/>
          </w:tcPr>
          <w:p w14:paraId="3D548FE2" w14:textId="77777777" w:rsidR="00B43607" w:rsidRPr="002822C7" w:rsidRDefault="00B43607" w:rsidP="003A0EDA">
            <w:pPr>
              <w:pStyle w:val="TableText"/>
              <w:rPr>
                <w:lang w:eastAsia="en-AU"/>
              </w:rPr>
            </w:pPr>
            <w:r w:rsidRPr="002822C7">
              <w:rPr>
                <w:lang w:eastAsia="en-AU"/>
              </w:rPr>
              <w:t xml:space="preserve">92.4% of calls were answered within 20 seconds </w:t>
            </w:r>
            <w:r w:rsidRPr="002822C7">
              <w:t>between May 2015 and May 2016.</w:t>
            </w:r>
          </w:p>
        </w:tc>
      </w:tr>
      <w:tr w:rsidR="003A0EDA" w:rsidRPr="00B43607" w14:paraId="3AB2A072" w14:textId="77777777" w:rsidTr="003A0EDA">
        <w:trPr>
          <w:cantSplit/>
        </w:trPr>
        <w:tc>
          <w:tcPr>
            <w:tcW w:w="2089" w:type="pct"/>
            <w:shd w:val="clear" w:color="auto" w:fill="auto"/>
          </w:tcPr>
          <w:p w14:paraId="3136669E" w14:textId="77777777" w:rsidR="00B43607" w:rsidRPr="002822C7" w:rsidRDefault="00B43607" w:rsidP="003A0EDA">
            <w:pPr>
              <w:pStyle w:val="TableText"/>
            </w:pPr>
            <w:r w:rsidRPr="002822C7">
              <w:rPr>
                <w:lang w:eastAsia="en-AU"/>
              </w:rPr>
              <w:t>More than 50% of clients who contact the information line receive at least one referral</w:t>
            </w:r>
          </w:p>
        </w:tc>
        <w:tc>
          <w:tcPr>
            <w:tcW w:w="2911" w:type="pct"/>
          </w:tcPr>
          <w:p w14:paraId="211F157F" w14:textId="69C96E93" w:rsidR="000A25FC" w:rsidRDefault="000A25FC" w:rsidP="003A0EDA">
            <w:pPr>
              <w:pStyle w:val="TableText"/>
              <w:rPr>
                <w:lang w:eastAsia="en-AU"/>
              </w:rPr>
            </w:pPr>
            <w:r w:rsidRPr="000A25FC">
              <w:rPr>
                <w:lang w:eastAsia="en-AU"/>
              </w:rPr>
              <w:t xml:space="preserve">Limitations in the current client data management system meant a full assessment of referral </w:t>
            </w:r>
            <w:r>
              <w:rPr>
                <w:lang w:eastAsia="en-AU"/>
              </w:rPr>
              <w:t xml:space="preserve">patterns could not </w:t>
            </w:r>
            <w:r w:rsidRPr="000A25FC">
              <w:rPr>
                <w:lang w:eastAsia="en-AU"/>
              </w:rPr>
              <w:t>be undertaken against this KPI.</w:t>
            </w:r>
            <w:r w:rsidR="00E910E7">
              <w:rPr>
                <w:lang w:eastAsia="en-AU"/>
              </w:rPr>
              <w:t xml:space="preserve">  Of particular note is the convention of recording </w:t>
            </w:r>
            <w:r w:rsidR="00F73550">
              <w:rPr>
                <w:lang w:eastAsia="en-AU"/>
              </w:rPr>
              <w:t>people who do not give identifying information or contact details</w:t>
            </w:r>
            <w:r w:rsidR="00E910E7">
              <w:rPr>
                <w:lang w:eastAsia="en-AU"/>
              </w:rPr>
              <w:t xml:space="preserve"> as anonymous interactions not clients, thus making it impossible to track referral for interactions.</w:t>
            </w:r>
          </w:p>
          <w:p w14:paraId="5DEBD0B5" w14:textId="7767AA62" w:rsidR="00B43607" w:rsidRPr="002822C7" w:rsidRDefault="00B43607" w:rsidP="00D824BD">
            <w:pPr>
              <w:pStyle w:val="TableText"/>
              <w:rPr>
                <w:lang w:eastAsia="en-AU"/>
              </w:rPr>
            </w:pPr>
            <w:r w:rsidRPr="002822C7">
              <w:rPr>
                <w:lang w:eastAsia="en-AU"/>
              </w:rPr>
              <w:t>The number of anonymous clients recorded in current IAA data systems makes it impossible to establish the total number of individual client</w:t>
            </w:r>
            <w:r w:rsidR="00414223">
              <w:rPr>
                <w:lang w:eastAsia="en-AU"/>
              </w:rPr>
              <w:t>s</w:t>
            </w:r>
            <w:r w:rsidRPr="002822C7">
              <w:rPr>
                <w:lang w:eastAsia="en-AU"/>
              </w:rPr>
              <w:t xml:space="preserve"> who contacted the service.  Of the 1693 (apparent) individual clients who used the information line</w:t>
            </w:r>
            <w:r w:rsidRPr="002822C7">
              <w:t xml:space="preserve"> </w:t>
            </w:r>
            <w:r w:rsidRPr="002822C7">
              <w:rPr>
                <w:lang w:eastAsia="en-AU"/>
              </w:rPr>
              <w:t xml:space="preserve">between </w:t>
            </w:r>
            <w:r w:rsidRPr="002822C7">
              <w:t>May 2015 and May 2016</w:t>
            </w:r>
            <w:r w:rsidRPr="002822C7">
              <w:rPr>
                <w:lang w:eastAsia="en-AU"/>
              </w:rPr>
              <w:t>, 906 (53.5%) received at least one referral.</w:t>
            </w:r>
          </w:p>
        </w:tc>
      </w:tr>
      <w:tr w:rsidR="003A0EDA" w:rsidRPr="00B43607" w14:paraId="3D5D4759" w14:textId="77777777" w:rsidTr="003A0EDA">
        <w:trPr>
          <w:cantSplit/>
        </w:trPr>
        <w:tc>
          <w:tcPr>
            <w:tcW w:w="2089" w:type="pct"/>
            <w:shd w:val="clear" w:color="auto" w:fill="FFFFFF" w:themeFill="background1"/>
          </w:tcPr>
          <w:p w14:paraId="71C21672" w14:textId="77777777" w:rsidR="00B43607" w:rsidRPr="002822C7" w:rsidRDefault="00B43607" w:rsidP="003A0EDA">
            <w:pPr>
              <w:pStyle w:val="TableText"/>
            </w:pPr>
            <w:r w:rsidRPr="002822C7">
              <w:t>More than 80% of referrals to Commonwealth agencies are facilitated referrals</w:t>
            </w:r>
          </w:p>
        </w:tc>
        <w:tc>
          <w:tcPr>
            <w:tcW w:w="2911" w:type="pct"/>
            <w:shd w:val="clear" w:color="auto" w:fill="FFFFFF" w:themeFill="background1"/>
          </w:tcPr>
          <w:p w14:paraId="3DE3F5DF" w14:textId="274650F7" w:rsidR="00B43607" w:rsidRDefault="00B43607" w:rsidP="003A0EDA">
            <w:pPr>
              <w:pStyle w:val="TableText"/>
              <w:rPr>
                <w:lang w:eastAsia="en-AU"/>
              </w:rPr>
            </w:pPr>
            <w:r w:rsidRPr="002822C7">
              <w:rPr>
                <w:lang w:eastAsia="en-AU"/>
              </w:rPr>
              <w:t xml:space="preserve">IAA client data shows that 15% (38/249) of referrals to Commonwealth agencies between </w:t>
            </w:r>
            <w:r w:rsidRPr="002822C7">
              <w:t xml:space="preserve">May 2015 and May 2016 </w:t>
            </w:r>
            <w:r w:rsidR="003A0EDA">
              <w:rPr>
                <w:lang w:eastAsia="en-AU"/>
              </w:rPr>
              <w:t>were facilitated.</w:t>
            </w:r>
          </w:p>
          <w:p w14:paraId="4F9CE2C7" w14:textId="77777777" w:rsidR="003A0EDA" w:rsidRPr="002822C7" w:rsidRDefault="003A0EDA" w:rsidP="003A0EDA">
            <w:pPr>
              <w:pStyle w:val="TableText"/>
              <w:rPr>
                <w:lang w:eastAsia="en-AU"/>
              </w:rPr>
            </w:pPr>
          </w:p>
          <w:p w14:paraId="6D5C398F" w14:textId="0C69785B" w:rsidR="00B43607" w:rsidRPr="002822C7" w:rsidRDefault="00B43607" w:rsidP="003A0EDA">
            <w:pPr>
              <w:pStyle w:val="TableText"/>
              <w:rPr>
                <w:lang w:eastAsia="en-AU"/>
              </w:rPr>
            </w:pPr>
            <w:r w:rsidRPr="002822C7">
              <w:rPr>
                <w:lang w:eastAsia="en-AU"/>
              </w:rPr>
              <w:t>The majority of un-facilitated referrals related to pre-</w:t>
            </w:r>
            <w:r w:rsidR="00414223">
              <w:rPr>
                <w:lang w:eastAsia="en-AU"/>
              </w:rPr>
              <w:t>adoption clients (164/211, 77.</w:t>
            </w:r>
            <w:r w:rsidRPr="002822C7">
              <w:rPr>
                <w:lang w:eastAsia="en-AU"/>
              </w:rPr>
              <w:t>5%), many of whom were categorised as having enquir</w:t>
            </w:r>
            <w:r w:rsidR="00F73550">
              <w:rPr>
                <w:lang w:eastAsia="en-AU"/>
              </w:rPr>
              <w:t>i</w:t>
            </w:r>
            <w:r w:rsidRPr="002822C7">
              <w:rPr>
                <w:lang w:eastAsia="en-AU"/>
              </w:rPr>
              <w:t>es related to international issues</w:t>
            </w:r>
            <w:r w:rsidR="00551F9E">
              <w:rPr>
                <w:lang w:eastAsia="en-AU"/>
              </w:rPr>
              <w:t>.</w:t>
            </w:r>
            <w:r w:rsidRPr="002822C7">
              <w:rPr>
                <w:lang w:eastAsia="en-AU"/>
              </w:rPr>
              <w:t xml:space="preserve"> </w:t>
            </w:r>
          </w:p>
          <w:p w14:paraId="45C24E40" w14:textId="77777777" w:rsidR="003A0EDA" w:rsidRDefault="003A0EDA" w:rsidP="003A0EDA">
            <w:pPr>
              <w:pStyle w:val="TableText"/>
              <w:rPr>
                <w:lang w:eastAsia="en-AU"/>
              </w:rPr>
            </w:pPr>
          </w:p>
          <w:p w14:paraId="0B7A7B56" w14:textId="241699ED" w:rsidR="00FA4742" w:rsidRDefault="00B43607" w:rsidP="00FA4742">
            <w:pPr>
              <w:pStyle w:val="TableText"/>
              <w:rPr>
                <w:lang w:eastAsia="en-AU"/>
              </w:rPr>
            </w:pPr>
            <w:r w:rsidRPr="002822C7">
              <w:rPr>
                <w:lang w:eastAsia="en-AU"/>
              </w:rPr>
              <w:t>Consultations with IAA staff and management indicated that clients generally prefer to have time to consider the information provided by the service and to discuss it with their partner before engaging with other Commonwealth agencies.  Few are in a position to request</w:t>
            </w:r>
            <w:r w:rsidR="002822C7">
              <w:rPr>
                <w:lang w:eastAsia="en-AU"/>
              </w:rPr>
              <w:t>,</w:t>
            </w:r>
            <w:r w:rsidRPr="002822C7">
              <w:rPr>
                <w:lang w:eastAsia="en-AU"/>
              </w:rPr>
              <w:t xml:space="preserve"> or are willing to accept a facilitated referral.  </w:t>
            </w:r>
            <w:r w:rsidR="009E15EB">
              <w:rPr>
                <w:lang w:eastAsia="en-AU"/>
              </w:rPr>
              <w:t>Another factor that contrib</w:t>
            </w:r>
            <w:r w:rsidR="004C4DA2">
              <w:rPr>
                <w:lang w:eastAsia="en-AU"/>
              </w:rPr>
              <w:t>utes</w:t>
            </w:r>
            <w:r w:rsidR="009E15EB">
              <w:rPr>
                <w:lang w:eastAsia="en-AU"/>
              </w:rPr>
              <w:t xml:space="preserve"> to the l</w:t>
            </w:r>
            <w:r w:rsidR="009E15EB" w:rsidRPr="009E15EB">
              <w:rPr>
                <w:lang w:eastAsia="en-AU"/>
              </w:rPr>
              <w:t>ow levels of facilitated referral</w:t>
            </w:r>
            <w:r w:rsidR="009E15EB">
              <w:rPr>
                <w:lang w:eastAsia="en-AU"/>
              </w:rPr>
              <w:t xml:space="preserve">s </w:t>
            </w:r>
            <w:r w:rsidR="009E15EB" w:rsidRPr="009E15EB">
              <w:rPr>
                <w:lang w:eastAsia="en-AU"/>
              </w:rPr>
              <w:t xml:space="preserve">evident </w:t>
            </w:r>
            <w:r w:rsidR="009E15EB">
              <w:rPr>
                <w:lang w:eastAsia="en-AU"/>
              </w:rPr>
              <w:t>is that</w:t>
            </w:r>
            <w:r w:rsidR="000A25FC">
              <w:rPr>
                <w:lang w:eastAsia="en-AU"/>
              </w:rPr>
              <w:t xml:space="preserve"> IAA cannot facilitate</w:t>
            </w:r>
            <w:r w:rsidR="009E15EB">
              <w:rPr>
                <w:lang w:eastAsia="en-AU"/>
              </w:rPr>
              <w:t xml:space="preserve"> </w:t>
            </w:r>
            <w:r w:rsidR="000A25FC">
              <w:rPr>
                <w:lang w:eastAsia="en-AU"/>
              </w:rPr>
              <w:t xml:space="preserve">referrals to Commonwealth partners </w:t>
            </w:r>
            <w:r w:rsidR="00FA4742">
              <w:rPr>
                <w:lang w:eastAsia="en-AU"/>
              </w:rPr>
              <w:t>for out-of-scope ICA enquiries.</w:t>
            </w:r>
            <w:r w:rsidR="009E15EB">
              <w:rPr>
                <w:lang w:eastAsia="en-AU"/>
              </w:rPr>
              <w:t xml:space="preserve">  Limitations in the data mean that the scale of ‘out-of-scope’ enquiries cannot be established as no specific category is provided to capture such enquiries. </w:t>
            </w:r>
          </w:p>
          <w:p w14:paraId="0D63811F" w14:textId="360CF6A0" w:rsidR="00B43607" w:rsidRPr="002822C7" w:rsidRDefault="00B43607" w:rsidP="00FA4742">
            <w:pPr>
              <w:pStyle w:val="TableText"/>
              <w:rPr>
                <w:lang w:eastAsia="en-AU"/>
              </w:rPr>
            </w:pPr>
          </w:p>
        </w:tc>
      </w:tr>
      <w:tr w:rsidR="003A0EDA" w:rsidRPr="00B43607" w14:paraId="1972EBFE" w14:textId="77777777" w:rsidTr="003A0EDA">
        <w:trPr>
          <w:cantSplit/>
        </w:trPr>
        <w:tc>
          <w:tcPr>
            <w:tcW w:w="2089" w:type="pct"/>
            <w:shd w:val="clear" w:color="auto" w:fill="auto"/>
          </w:tcPr>
          <w:p w14:paraId="3E86E6F1" w14:textId="74DA4D6F" w:rsidR="00B43607" w:rsidRPr="002822C7" w:rsidRDefault="00B43607" w:rsidP="003A0EDA">
            <w:pPr>
              <w:pStyle w:val="TableText"/>
            </w:pPr>
            <w:r w:rsidRPr="002822C7">
              <w:lastRenderedPageBreak/>
              <w:t>Fewer than 2% of clients report receiving a wrong referral from the new service</w:t>
            </w:r>
          </w:p>
        </w:tc>
        <w:tc>
          <w:tcPr>
            <w:tcW w:w="2911" w:type="pct"/>
            <w:shd w:val="clear" w:color="auto" w:fill="auto"/>
          </w:tcPr>
          <w:p w14:paraId="22FBF663" w14:textId="571D2F07" w:rsidR="003A0EDA" w:rsidRDefault="00B43607" w:rsidP="003A0EDA">
            <w:pPr>
              <w:pStyle w:val="TableText"/>
            </w:pPr>
            <w:r w:rsidRPr="002822C7">
              <w:t xml:space="preserve">Analysis of Sharepoint data for the period May 2015 to May 2016 indicates that a total of 1436 of 4,222 client interactions (34.0%) resulted in some form of referral.  These referrals included referrals to STCAs and Commonwealth agencies (including websites) as well as </w:t>
            </w:r>
            <w:r w:rsidR="00AE4D59" w:rsidRPr="002822C7">
              <w:t>to a</w:t>
            </w:r>
            <w:r w:rsidRPr="002822C7">
              <w:t xml:space="preserve"> range of government and non-government agencies.</w:t>
            </w:r>
          </w:p>
          <w:p w14:paraId="1339B0F5" w14:textId="77777777" w:rsidR="003A0EDA" w:rsidRDefault="003A0EDA" w:rsidP="003A0EDA">
            <w:pPr>
              <w:pStyle w:val="TableText"/>
            </w:pPr>
          </w:p>
          <w:p w14:paraId="1DD1ECB7" w14:textId="7FD5C2DB" w:rsidR="00B43607" w:rsidRPr="002822C7" w:rsidRDefault="00B43607" w:rsidP="003A0EDA">
            <w:pPr>
              <w:pStyle w:val="TableText"/>
              <w:rPr>
                <w:lang w:val="en-AU" w:eastAsia="en-AU"/>
              </w:rPr>
            </w:pPr>
            <w:r w:rsidRPr="002822C7">
              <w:t xml:space="preserve">As IAA does not receive any reports from the agencies they refer and does not follow up with clients regarding the appropriateness of the referral provided, the service’s performance relative to this measure cannot be determined. No data is </w:t>
            </w:r>
            <w:r w:rsidR="00870A9E">
              <w:t>c</w:t>
            </w:r>
            <w:r w:rsidR="00414223">
              <w:t>aptured.</w:t>
            </w:r>
          </w:p>
        </w:tc>
      </w:tr>
      <w:tr w:rsidR="003A0EDA" w:rsidRPr="00B43607" w14:paraId="013B70CE" w14:textId="77777777" w:rsidTr="003A0EDA">
        <w:trPr>
          <w:cantSplit/>
        </w:trPr>
        <w:tc>
          <w:tcPr>
            <w:tcW w:w="2089" w:type="pct"/>
            <w:shd w:val="clear" w:color="auto" w:fill="auto"/>
          </w:tcPr>
          <w:p w14:paraId="68D43BFF" w14:textId="77777777" w:rsidR="00B43607" w:rsidRPr="002822C7" w:rsidRDefault="00B43607" w:rsidP="003A0EDA">
            <w:pPr>
              <w:pStyle w:val="TableText"/>
              <w:rPr>
                <w:lang w:eastAsia="en-AU"/>
              </w:rPr>
            </w:pPr>
            <w:r w:rsidRPr="002822C7">
              <w:rPr>
                <w:lang w:eastAsia="en-AU"/>
              </w:rPr>
              <w:t>More than 80% of clients who agreed to be followed up received a call or email within 5 working days</w:t>
            </w:r>
          </w:p>
        </w:tc>
        <w:tc>
          <w:tcPr>
            <w:tcW w:w="2911" w:type="pct"/>
            <w:shd w:val="clear" w:color="auto" w:fill="auto"/>
          </w:tcPr>
          <w:p w14:paraId="192D7DAF" w14:textId="13804D90" w:rsidR="00B43607" w:rsidRPr="005C5685" w:rsidRDefault="00AE4D59" w:rsidP="003A0EDA">
            <w:pPr>
              <w:pStyle w:val="TableText"/>
              <w:rPr>
                <w:lang w:eastAsia="en-AU"/>
              </w:rPr>
            </w:pPr>
            <w:r>
              <w:rPr>
                <w:lang w:eastAsia="en-AU"/>
              </w:rPr>
              <w:t>Limitations in the current client management system meant that t</w:t>
            </w:r>
            <w:r w:rsidR="00B43607" w:rsidRPr="002822C7">
              <w:rPr>
                <w:lang w:eastAsia="en-AU"/>
              </w:rPr>
              <w:t xml:space="preserve">he ‘request for follow up’ column in the </w:t>
            </w:r>
            <w:r w:rsidR="00B43607" w:rsidRPr="00523674">
              <w:rPr>
                <w:lang w:eastAsia="en-AU"/>
              </w:rPr>
              <w:t>Share</w:t>
            </w:r>
            <w:r w:rsidR="00E04DF9" w:rsidRPr="00523674">
              <w:rPr>
                <w:lang w:eastAsia="en-AU"/>
              </w:rPr>
              <w:t>P</w:t>
            </w:r>
            <w:r w:rsidR="00B43607" w:rsidRPr="00523674">
              <w:rPr>
                <w:lang w:eastAsia="en-AU"/>
              </w:rPr>
              <w:t>oint data report is blank for the period May 2015 to May 2016</w:t>
            </w:r>
            <w:r w:rsidR="009E2064" w:rsidRPr="00523674">
              <w:rPr>
                <w:lang w:eastAsia="en-AU"/>
              </w:rPr>
              <w:t xml:space="preserve">.  </w:t>
            </w:r>
            <w:r w:rsidR="009E2064" w:rsidRPr="00523674">
              <w:rPr>
                <w:shd w:val="clear" w:color="auto" w:fill="FFFFFF" w:themeFill="background1"/>
                <w:lang w:eastAsia="en-AU"/>
              </w:rPr>
              <w:t xml:space="preserve">IAA staff deleted </w:t>
            </w:r>
            <w:r w:rsidRPr="00523674">
              <w:rPr>
                <w:shd w:val="clear" w:color="auto" w:fill="FFFFFF" w:themeFill="background1"/>
                <w:lang w:eastAsia="en-AU"/>
              </w:rPr>
              <w:t xml:space="preserve">follow-up </w:t>
            </w:r>
            <w:r w:rsidR="00DF69A0" w:rsidRPr="00523674">
              <w:rPr>
                <w:shd w:val="clear" w:color="auto" w:fill="FFFFFF" w:themeFill="background1"/>
                <w:lang w:eastAsia="en-AU"/>
              </w:rPr>
              <w:t xml:space="preserve">date </w:t>
            </w:r>
            <w:r w:rsidRPr="00523674">
              <w:rPr>
                <w:shd w:val="clear" w:color="auto" w:fill="FFFFFF" w:themeFill="background1"/>
                <w:lang w:eastAsia="en-AU"/>
              </w:rPr>
              <w:t xml:space="preserve">details </w:t>
            </w:r>
            <w:r w:rsidR="009E2064" w:rsidRPr="00523674">
              <w:rPr>
                <w:shd w:val="clear" w:color="auto" w:fill="FFFFFF" w:themeFill="background1"/>
                <w:lang w:eastAsia="en-AU"/>
              </w:rPr>
              <w:t xml:space="preserve">for </w:t>
            </w:r>
            <w:r w:rsidRPr="00523674">
              <w:rPr>
                <w:shd w:val="clear" w:color="auto" w:fill="FFFFFF" w:themeFill="background1"/>
                <w:lang w:eastAsia="en-AU"/>
              </w:rPr>
              <w:t>completed clients.</w:t>
            </w:r>
          </w:p>
        </w:tc>
      </w:tr>
      <w:tr w:rsidR="003A0EDA" w:rsidRPr="00B43607" w14:paraId="59B2F5B4" w14:textId="77777777" w:rsidTr="003A0EDA">
        <w:trPr>
          <w:cantSplit/>
        </w:trPr>
        <w:tc>
          <w:tcPr>
            <w:tcW w:w="2089" w:type="pct"/>
            <w:shd w:val="clear" w:color="auto" w:fill="auto"/>
          </w:tcPr>
          <w:p w14:paraId="60633439" w14:textId="77777777" w:rsidR="00B43607" w:rsidRPr="002822C7" w:rsidRDefault="00B43607" w:rsidP="003A0EDA">
            <w:pPr>
              <w:pStyle w:val="TableText"/>
              <w:rPr>
                <w:lang w:eastAsia="en-AU"/>
              </w:rPr>
            </w:pPr>
            <w:r w:rsidRPr="002822C7">
              <w:rPr>
                <w:lang w:eastAsia="en-AU"/>
              </w:rPr>
              <w:t>More than 80% of email enquiries are responded to within 5 working days</w:t>
            </w:r>
          </w:p>
        </w:tc>
        <w:tc>
          <w:tcPr>
            <w:tcW w:w="2911" w:type="pct"/>
          </w:tcPr>
          <w:p w14:paraId="58D7610C" w14:textId="6CB053AD" w:rsidR="00B43607" w:rsidRPr="002822C7" w:rsidRDefault="00AE4D59" w:rsidP="00F73550">
            <w:pPr>
              <w:pStyle w:val="TableText"/>
              <w:rPr>
                <w:lang w:eastAsia="en-AU"/>
              </w:rPr>
            </w:pPr>
            <w:r w:rsidRPr="00AE4D59">
              <w:rPr>
                <w:lang w:eastAsia="en-AU"/>
              </w:rPr>
              <w:t xml:space="preserve">Limitations in the current client management system meant that </w:t>
            </w:r>
            <w:r w:rsidR="00DF69A0">
              <w:rPr>
                <w:lang w:eastAsia="en-AU"/>
              </w:rPr>
              <w:t>while m</w:t>
            </w:r>
            <w:r w:rsidR="00B43607" w:rsidRPr="002822C7">
              <w:rPr>
                <w:lang w:eastAsia="en-AU"/>
              </w:rPr>
              <w:t xml:space="preserve">ultiple interactions were often recorded </w:t>
            </w:r>
            <w:r w:rsidR="00DF69A0">
              <w:rPr>
                <w:lang w:eastAsia="en-AU"/>
              </w:rPr>
              <w:t>for each</w:t>
            </w:r>
            <w:r w:rsidR="00DF69A0" w:rsidRPr="002822C7">
              <w:rPr>
                <w:lang w:eastAsia="en-AU"/>
              </w:rPr>
              <w:t xml:space="preserve"> </w:t>
            </w:r>
            <w:r w:rsidR="00B43607" w:rsidRPr="002822C7">
              <w:rPr>
                <w:lang w:eastAsia="en-AU"/>
              </w:rPr>
              <w:t>client</w:t>
            </w:r>
            <w:r w:rsidR="00DF69A0">
              <w:rPr>
                <w:lang w:eastAsia="en-AU"/>
              </w:rPr>
              <w:t>, a</w:t>
            </w:r>
            <w:r w:rsidR="00B43607" w:rsidRPr="002822C7">
              <w:rPr>
                <w:lang w:eastAsia="en-AU"/>
              </w:rPr>
              <w:t xml:space="preserve"> </w:t>
            </w:r>
            <w:r w:rsidR="00DF69A0" w:rsidRPr="00DF69A0">
              <w:rPr>
                <w:lang w:eastAsia="en-AU"/>
              </w:rPr>
              <w:t>follow-up date details are deleted for completed clients.</w:t>
            </w:r>
          </w:p>
        </w:tc>
      </w:tr>
    </w:tbl>
    <w:bookmarkEnd w:id="93"/>
    <w:bookmarkEnd w:id="94"/>
    <w:p w14:paraId="4188ED42" w14:textId="77777777" w:rsidR="00B43607" w:rsidRPr="00B43607" w:rsidRDefault="00B43607" w:rsidP="003A0EDA">
      <w:pPr>
        <w:pStyle w:val="ParagraphKeep"/>
        <w:rPr>
          <w:lang w:eastAsia="en-AU"/>
        </w:rPr>
      </w:pPr>
      <w:r w:rsidRPr="00B43607">
        <w:rPr>
          <w:lang w:eastAsia="en-AU"/>
        </w:rPr>
        <w:t>This review of performance relative to operational measures of success highlighted:</w:t>
      </w:r>
    </w:p>
    <w:p w14:paraId="3D02C1E9" w14:textId="39AD82FA" w:rsidR="00B43607" w:rsidRPr="00B43607" w:rsidRDefault="00B43607" w:rsidP="003A0EDA">
      <w:pPr>
        <w:pStyle w:val="Bullet1"/>
      </w:pPr>
      <w:r w:rsidRPr="00B43607">
        <w:t xml:space="preserve">The redundancy of several KPIs.  These KPIs were developed prior </w:t>
      </w:r>
      <w:r w:rsidR="002822C7">
        <w:t xml:space="preserve">to </w:t>
      </w:r>
      <w:r w:rsidRPr="00B43607">
        <w:t xml:space="preserve">the service being implemented.  The client interaction profile that emerged differed from that presupposed in </w:t>
      </w:r>
      <w:r w:rsidR="002822C7">
        <w:t xml:space="preserve">the </w:t>
      </w:r>
      <w:r w:rsidR="008B0955">
        <w:t>Reform</w:t>
      </w:r>
      <w:r w:rsidR="008B0955" w:rsidRPr="00B43607">
        <w:t xml:space="preserve"> </w:t>
      </w:r>
      <w:r w:rsidRPr="00B43607">
        <w:t>Implementation Plan, thus limiting their utility in measuring IAA performance</w:t>
      </w:r>
    </w:p>
    <w:p w14:paraId="2DD5E5AE" w14:textId="2322BE0A" w:rsidR="00B43607" w:rsidRPr="00B43607" w:rsidRDefault="00B43607" w:rsidP="003A0EDA">
      <w:pPr>
        <w:pStyle w:val="Bullet1"/>
      </w:pPr>
      <w:r w:rsidRPr="00B43607">
        <w:t>Limitations in the IAA client data system (Sharepoint).  Blank fields and data entry protocols (e.g. multiple referrals listed in the same data field) coupled with certain data elements not being captured (e.g. client uptake and feedback of referrals) limited the extent to which some KPIs could be assessed</w:t>
      </w:r>
      <w:r w:rsidR="00AA60D0">
        <w:t>. DSS is currently looking at how to better collect this data.</w:t>
      </w:r>
    </w:p>
    <w:p w14:paraId="01D91C7B" w14:textId="77777777" w:rsidR="00B43607" w:rsidRDefault="00B43607" w:rsidP="003A0EDA">
      <w:pPr>
        <w:pStyle w:val="Bullet1"/>
      </w:pPr>
      <w:r w:rsidRPr="00B43607">
        <w:t>Limitations in data sharing.  IAA does not currently receive information on referral uptake from the agencies to which they refer clients.  This limits the assessment of KPIs related to client referrals.</w:t>
      </w:r>
    </w:p>
    <w:tbl>
      <w:tblPr>
        <w:tblStyle w:val="TableGrid"/>
        <w:tblW w:w="9392" w:type="dxa"/>
        <w:tblInd w:w="108" w:type="dxa"/>
        <w:tblBorders>
          <w:top w:val="single" w:sz="4" w:space="0" w:color="0079C1" w:themeColor="text2"/>
          <w:left w:val="single" w:sz="4" w:space="0" w:color="0079C1" w:themeColor="text2"/>
          <w:bottom w:val="single" w:sz="4" w:space="0" w:color="0079C1" w:themeColor="text2"/>
          <w:right w:val="single" w:sz="4" w:space="0" w:color="0079C1" w:themeColor="text2"/>
          <w:insideH w:val="none" w:sz="0" w:space="0" w:color="auto"/>
          <w:insideV w:val="none" w:sz="0" w:space="0" w:color="auto"/>
        </w:tblBorders>
        <w:shd w:val="clear" w:color="auto" w:fill="E2F4FF" w:themeFill="accent1" w:themeFillTint="33"/>
        <w:tblLook w:val="04A0" w:firstRow="1" w:lastRow="0" w:firstColumn="1" w:lastColumn="0" w:noHBand="0" w:noVBand="1"/>
        <w:tblCaption w:val="Key findings:"/>
        <w:tblDescription w:val="Key findings:&#10;• KPIs related to call answering times were exceeded &#10;• KPIs related to facilitated referrals and follow-up were redundant because interaction patterns between IAA and clients differed substantially from what had been anticipated prior to service implementation, with few seeking facilitated referrals or follow up &#10;• Sharepoint data did not facilitate a full assessment of email response times&#10;• The absence of follow-up data on referral outcomes meant that KPIs related to wrong referrals could not be assessed&#10;"/>
      </w:tblPr>
      <w:tblGrid>
        <w:gridCol w:w="9392"/>
      </w:tblGrid>
      <w:tr w:rsidR="00644B63" w:rsidRPr="00B43607" w14:paraId="320BB075" w14:textId="77777777" w:rsidTr="004E43C8">
        <w:trPr>
          <w:tblHeader/>
        </w:trPr>
        <w:tc>
          <w:tcPr>
            <w:tcW w:w="9392" w:type="dxa"/>
            <w:shd w:val="clear" w:color="auto" w:fill="E2F4FF" w:themeFill="accent1" w:themeFillTint="33"/>
          </w:tcPr>
          <w:p w14:paraId="01264D1D" w14:textId="77777777" w:rsidR="00B43607" w:rsidRPr="008A1452" w:rsidRDefault="00B43607" w:rsidP="00BF630B">
            <w:pPr>
              <w:pStyle w:val="Heading4"/>
              <w:outlineLvl w:val="3"/>
              <w:rPr>
                <w:color w:val="auto"/>
                <w:lang w:val="en-AU"/>
              </w:rPr>
            </w:pPr>
            <w:r w:rsidRPr="008A1452">
              <w:rPr>
                <w:color w:val="auto"/>
                <w:lang w:val="en-AU"/>
              </w:rPr>
              <w:lastRenderedPageBreak/>
              <w:t>Key findings:</w:t>
            </w:r>
          </w:p>
          <w:p w14:paraId="35690E61" w14:textId="77777777" w:rsidR="00B43607" w:rsidRPr="00B43607" w:rsidRDefault="00B43607" w:rsidP="005762AD">
            <w:pPr>
              <w:pStyle w:val="Bullet1"/>
              <w:rPr>
                <w:lang w:val="en-AU"/>
              </w:rPr>
            </w:pPr>
            <w:r w:rsidRPr="00B43607">
              <w:rPr>
                <w:lang w:val="en-AU"/>
              </w:rPr>
              <w:t xml:space="preserve">KPIs related to call answering times were exceeded </w:t>
            </w:r>
          </w:p>
          <w:p w14:paraId="1A597C99" w14:textId="0F266C7B" w:rsidR="00B43607" w:rsidRPr="00B43607" w:rsidRDefault="00B43607" w:rsidP="005762AD">
            <w:pPr>
              <w:pStyle w:val="Bullet1"/>
              <w:rPr>
                <w:lang w:val="en-AU"/>
              </w:rPr>
            </w:pPr>
            <w:r w:rsidRPr="00B43607">
              <w:rPr>
                <w:lang w:val="en-AU"/>
              </w:rPr>
              <w:t xml:space="preserve">KPIs related to facilitated referrals and follow-up </w:t>
            </w:r>
            <w:r w:rsidR="00EF341C">
              <w:rPr>
                <w:lang w:val="en-AU"/>
              </w:rPr>
              <w:t>were redundant</w:t>
            </w:r>
            <w:r w:rsidRPr="00B43607">
              <w:rPr>
                <w:lang w:val="en-AU"/>
              </w:rPr>
              <w:t xml:space="preserve"> because </w:t>
            </w:r>
            <w:r w:rsidR="002822C7">
              <w:rPr>
                <w:lang w:val="en-AU"/>
              </w:rPr>
              <w:t>interaction patterns between IA</w:t>
            </w:r>
            <w:r w:rsidRPr="00B43607">
              <w:rPr>
                <w:lang w:val="en-AU"/>
              </w:rPr>
              <w:t xml:space="preserve">A and clients differed substantially from what had been anticipated prior to service implementation, with few seeking facilitated referrals or follow up </w:t>
            </w:r>
          </w:p>
          <w:p w14:paraId="760DA663" w14:textId="77777777" w:rsidR="00B43607" w:rsidRPr="00B43607" w:rsidRDefault="00B43607" w:rsidP="005762AD">
            <w:pPr>
              <w:pStyle w:val="Bullet1"/>
              <w:rPr>
                <w:lang w:val="en-AU"/>
              </w:rPr>
            </w:pPr>
            <w:r w:rsidRPr="00B43607">
              <w:rPr>
                <w:lang w:val="en-AU"/>
              </w:rPr>
              <w:t>Sharepoint data did not facilitate a full assessment of email response times</w:t>
            </w:r>
          </w:p>
          <w:p w14:paraId="04B515A3" w14:textId="77777777" w:rsidR="00B43607" w:rsidRPr="00B43607" w:rsidRDefault="00B43607" w:rsidP="005762AD">
            <w:pPr>
              <w:pStyle w:val="Bullet1"/>
              <w:rPr>
                <w:lang w:val="en-AU"/>
              </w:rPr>
            </w:pPr>
            <w:r w:rsidRPr="00B43607">
              <w:rPr>
                <w:lang w:val="en-AU"/>
              </w:rPr>
              <w:t>The absence of follow-up data on referral outcomes meant that KPIs related to wrong referrals could not be assessed</w:t>
            </w:r>
          </w:p>
        </w:tc>
      </w:tr>
    </w:tbl>
    <w:p w14:paraId="057D52B9" w14:textId="77777777" w:rsidR="00B43607" w:rsidRPr="00B43607" w:rsidRDefault="00B43607" w:rsidP="00644B63">
      <w:pPr>
        <w:pStyle w:val="Heading3"/>
      </w:pPr>
      <w:bookmarkStart w:id="95" w:name="_Ref463015921"/>
      <w:r w:rsidRPr="00B43607">
        <w:t>Client satisfaction</w:t>
      </w:r>
      <w:bookmarkEnd w:id="95"/>
    </w:p>
    <w:p w14:paraId="33DB2AFF" w14:textId="04D03132" w:rsidR="00B43607" w:rsidRPr="00B43607" w:rsidRDefault="00B43607" w:rsidP="00644B63">
      <w:pPr>
        <w:pStyle w:val="ParagraphKeep"/>
        <w:rPr>
          <w:lang w:eastAsia="en-AU"/>
        </w:rPr>
      </w:pPr>
      <w:r w:rsidRPr="00B43607">
        <w:rPr>
          <w:lang w:eastAsia="en-AU"/>
        </w:rPr>
        <w:t>Client satisfaction was assessed using</w:t>
      </w:r>
      <w:r w:rsidR="00CA1940">
        <w:rPr>
          <w:lang w:eastAsia="en-AU"/>
        </w:rPr>
        <w:t xml:space="preserve"> the following</w:t>
      </w:r>
      <w:r w:rsidRPr="00B43607">
        <w:rPr>
          <w:lang w:eastAsia="en-AU"/>
        </w:rPr>
        <w:t xml:space="preserve"> data sources:</w:t>
      </w:r>
    </w:p>
    <w:p w14:paraId="7A0D3D6B" w14:textId="77777777" w:rsidR="00B43607" w:rsidRPr="00B43607" w:rsidRDefault="00B43607" w:rsidP="00644B63">
      <w:pPr>
        <w:pStyle w:val="Bullet1"/>
      </w:pPr>
      <w:r w:rsidRPr="00B43607">
        <w:t>IAA client data</w:t>
      </w:r>
    </w:p>
    <w:p w14:paraId="68FA2855" w14:textId="77777777" w:rsidR="00B43607" w:rsidRPr="00B43607" w:rsidRDefault="00B43607" w:rsidP="00644B63">
      <w:pPr>
        <w:pStyle w:val="Bullet1"/>
      </w:pPr>
      <w:r w:rsidRPr="00B43607">
        <w:t>Consultations with targeted service users via:</w:t>
      </w:r>
    </w:p>
    <w:p w14:paraId="5FEA2576" w14:textId="589A418C" w:rsidR="00B43607" w:rsidRPr="00B43607" w:rsidRDefault="00414223" w:rsidP="00644B63">
      <w:pPr>
        <w:pStyle w:val="Bullet2"/>
      </w:pPr>
      <w:r>
        <w:t>A national survey (n=</w:t>
      </w:r>
      <w:r w:rsidR="00B43607" w:rsidRPr="00B43607">
        <w:t>230)</w:t>
      </w:r>
    </w:p>
    <w:p w14:paraId="34ABFEE1" w14:textId="77777777" w:rsidR="00B43607" w:rsidRPr="00B43607" w:rsidRDefault="00B43607" w:rsidP="00644B63">
      <w:pPr>
        <w:pStyle w:val="Bullet2"/>
      </w:pPr>
      <w:r w:rsidRPr="00B43607">
        <w:t>In-depth interviews with a subset of 25 survey respondents who had used the IAA service.</w:t>
      </w:r>
    </w:p>
    <w:p w14:paraId="455DBD81" w14:textId="3000C16F" w:rsidR="00B43607" w:rsidRPr="00B43607" w:rsidRDefault="00B43607" w:rsidP="00644B63">
      <w:pPr>
        <w:pStyle w:val="Paragraph"/>
      </w:pPr>
      <w:r w:rsidRPr="00B43607">
        <w:t>Further details of the survey respondents and interviewees are provided in</w:t>
      </w:r>
      <w:r w:rsidR="00BE5E53">
        <w:t xml:space="preserve"> </w:t>
      </w:r>
      <w:r w:rsidR="00BE5E53" w:rsidRPr="00BE5E53">
        <w:rPr>
          <w:i/>
        </w:rPr>
        <w:fldChar w:fldCharType="begin"/>
      </w:r>
      <w:r w:rsidR="00BE5E53" w:rsidRPr="00BE5E53">
        <w:rPr>
          <w:i/>
        </w:rPr>
        <w:instrText xml:space="preserve"> REF _Ref490132151 \r \h </w:instrText>
      </w:r>
      <w:r w:rsidR="00BE5E53">
        <w:rPr>
          <w:i/>
        </w:rPr>
        <w:instrText xml:space="preserve"> \* MERGEFORMAT </w:instrText>
      </w:r>
      <w:r w:rsidR="00BE5E53" w:rsidRPr="00BE5E53">
        <w:rPr>
          <w:i/>
        </w:rPr>
      </w:r>
      <w:r w:rsidR="00BE5E53" w:rsidRPr="00BE5E53">
        <w:rPr>
          <w:i/>
        </w:rPr>
        <w:fldChar w:fldCharType="separate"/>
      </w:r>
      <w:r w:rsidR="00487073">
        <w:rPr>
          <w:i/>
        </w:rPr>
        <w:t>Appendix B</w:t>
      </w:r>
      <w:r w:rsidR="00BE5E53" w:rsidRPr="00BE5E53">
        <w:rPr>
          <w:i/>
        </w:rPr>
        <w:fldChar w:fldCharType="end"/>
      </w:r>
      <w:r w:rsidRPr="00CD2CFC">
        <w:rPr>
          <w:i/>
        </w:rPr>
        <w:t>.</w:t>
      </w:r>
    </w:p>
    <w:p w14:paraId="383BC772" w14:textId="68F99AF5" w:rsidR="00B43607" w:rsidRPr="00B43607" w:rsidRDefault="00B43607" w:rsidP="00644B63">
      <w:pPr>
        <w:pStyle w:val="Paragraph"/>
      </w:pPr>
      <w:r w:rsidRPr="00B43607">
        <w:t xml:space="preserve">Each of </w:t>
      </w:r>
      <w:r w:rsidR="00414223">
        <w:t xml:space="preserve">the </w:t>
      </w:r>
      <w:r w:rsidRPr="00B43607">
        <w:t>client satisfaction measure</w:t>
      </w:r>
      <w:r w:rsidR="00414223">
        <w:t>s</w:t>
      </w:r>
      <w:r w:rsidRPr="00B43607">
        <w:t xml:space="preserve"> </w:t>
      </w:r>
      <w:r w:rsidR="00F5093A">
        <w:fldChar w:fldCharType="begin" w:fldLock="1"/>
      </w:r>
      <w:r w:rsidR="00F5093A">
        <w:instrText>ADDIN CSL_CITATION { "citationItems" : [ { "id" : "ITEM-1", "itemData" : { "author" : [ { "dropping-particle" : "", "family" : "Department", "given" : "Australian Government Department of Social Services and Attorney-General's", "non-dropping-particle" : "", "parse-names" : false, "suffix" : "" } ], "id" : "ITEM-1", "issued" : { "date-parts" : [ [ "2015" ] ] }, "publisher-place" : "Canberra", "title" : "Intercountry Adoption Reform: Implementation Plan", "type" : "report" }, "prefix" : "Intercountry Adoption Reform: Implementation Plan", "suppress-author" : 1, "uris" : [ "http://www.mendeley.com/documents/?uuid=c63de2ba-0b90-4802-a065-fb47ac7ca77f" ] } ], "mendeley" : { "formattedCitation" : "(Intercountry Adoption Reform: Implementation Plan 2015)", "plainTextFormattedCitation" : "(Intercountry Adoption Reform: Implementation Plan 2015)", "previouslyFormattedCitation" : "(Intercountry Adoption Reform: Implementation Plan 2015)" }, "properties" : { "noteIndex" : 0 }, "schema" : "https://github.com/citation-style-language/schema/raw/master/csl-citation.json" }</w:instrText>
      </w:r>
      <w:r w:rsidR="00F5093A">
        <w:fldChar w:fldCharType="separate"/>
      </w:r>
      <w:r w:rsidR="00F5093A" w:rsidRPr="006812F2">
        <w:rPr>
          <w:i/>
          <w:noProof/>
        </w:rPr>
        <w:t xml:space="preserve">(Intercountry Adoption Reform: Implementation Plan </w:t>
      </w:r>
      <w:r w:rsidR="00F5093A" w:rsidRPr="006812F2">
        <w:rPr>
          <w:noProof/>
        </w:rPr>
        <w:t>2015)</w:t>
      </w:r>
      <w:r w:rsidR="00F5093A">
        <w:fldChar w:fldCharType="end"/>
      </w:r>
      <w:r w:rsidRPr="00B43607">
        <w:t xml:space="preserve"> are discussed below.</w:t>
      </w:r>
    </w:p>
    <w:p w14:paraId="685F2220" w14:textId="77777777" w:rsidR="00B43607" w:rsidRPr="00B43607" w:rsidRDefault="00B43607" w:rsidP="00644B63">
      <w:pPr>
        <w:pStyle w:val="Heading4"/>
      </w:pPr>
      <w:r w:rsidRPr="00B43607">
        <w:t>Measure 1:  More than 65% of people report the new service was useful, including reducing time spent finding relevant information</w:t>
      </w:r>
    </w:p>
    <w:p w14:paraId="24AD0AEE" w14:textId="68330DE2" w:rsidR="00B43607" w:rsidRPr="00B43607" w:rsidRDefault="00B43607" w:rsidP="00644B63">
      <w:pPr>
        <w:pStyle w:val="ParagraphKeep"/>
        <w:rPr>
          <w:lang w:eastAsia="en-AU"/>
        </w:rPr>
      </w:pPr>
      <w:r w:rsidRPr="00B43607">
        <w:rPr>
          <w:lang w:eastAsia="en-AU"/>
        </w:rPr>
        <w:t>The usefulness of the new service was assessed using two main data sources:</w:t>
      </w:r>
    </w:p>
    <w:p w14:paraId="1D89161E" w14:textId="77777777" w:rsidR="00B43607" w:rsidRPr="00B43607" w:rsidRDefault="00B43607" w:rsidP="00644B63">
      <w:pPr>
        <w:pStyle w:val="Bullet1"/>
      </w:pPr>
      <w:r w:rsidRPr="00B43607">
        <w:t>IAA client data (Sharepoint entries for the period 17 May 2015 to 31 May 2016)</w:t>
      </w:r>
    </w:p>
    <w:p w14:paraId="2F224595" w14:textId="77777777" w:rsidR="00B43607" w:rsidRPr="00B43607" w:rsidRDefault="00B43607" w:rsidP="00644B63">
      <w:pPr>
        <w:pStyle w:val="Bullet1"/>
      </w:pPr>
      <w:r w:rsidRPr="00B43607">
        <w:t>Survey responses.</w:t>
      </w:r>
    </w:p>
    <w:p w14:paraId="7A9AA4C8" w14:textId="68AE66E3" w:rsidR="00B43607" w:rsidRPr="00B43607" w:rsidRDefault="00B43607" w:rsidP="00644B63">
      <w:pPr>
        <w:pStyle w:val="ParagraphKeep"/>
        <w:rPr>
          <w:lang w:eastAsia="en-AU"/>
        </w:rPr>
      </w:pPr>
      <w:r w:rsidRPr="00B43607">
        <w:rPr>
          <w:lang w:eastAsia="en-AU"/>
        </w:rPr>
        <w:t>Overall client satisfaction with the service was assessed using Sharepoint entries related to each client interaction.  Client satisfaction with the action taken in each interaction is a mandatory field and one of three codes can be selected as outlined in the table below:</w:t>
      </w:r>
    </w:p>
    <w:tbl>
      <w:tblPr>
        <w:tblW w:w="4906" w:type="pct"/>
        <w:tblInd w:w="101" w:type="dxa"/>
        <w:tblBorders>
          <w:top w:val="single" w:sz="4" w:space="0" w:color="00A2C1" w:themeColor="accent3"/>
          <w:bottom w:val="single" w:sz="4" w:space="0" w:color="00A2C1" w:themeColor="accent3"/>
          <w:insideH w:val="single" w:sz="4" w:space="0" w:color="BFE7FF" w:themeColor="text2" w:themeTint="33"/>
          <w:insideV w:val="single" w:sz="4" w:space="0" w:color="E2F4FF" w:themeColor="accent1" w:themeTint="33"/>
        </w:tblBorders>
        <w:tblCellMar>
          <w:top w:w="108" w:type="dxa"/>
          <w:bottom w:w="108" w:type="dxa"/>
        </w:tblCellMar>
        <w:tblLook w:val="04A0" w:firstRow="1" w:lastRow="0" w:firstColumn="1" w:lastColumn="0" w:noHBand="0" w:noVBand="1"/>
      </w:tblPr>
      <w:tblGrid>
        <w:gridCol w:w="1116"/>
        <w:gridCol w:w="8063"/>
      </w:tblGrid>
      <w:tr w:rsidR="006B3DA5" w:rsidRPr="00644B63" w14:paraId="6C828292" w14:textId="77777777" w:rsidTr="00D80989">
        <w:trPr>
          <w:cantSplit/>
          <w:tblHeader/>
        </w:trPr>
        <w:tc>
          <w:tcPr>
            <w:tcW w:w="608" w:type="pct"/>
            <w:tcBorders>
              <w:top w:val="single" w:sz="4" w:space="0" w:color="0079C1" w:themeColor="text2"/>
              <w:bottom w:val="single" w:sz="4" w:space="0" w:color="0079C1" w:themeColor="text2"/>
            </w:tcBorders>
            <w:shd w:val="clear" w:color="auto" w:fill="0079C1" w:themeFill="text2"/>
          </w:tcPr>
          <w:p w14:paraId="74DA774E" w14:textId="77777777" w:rsidR="00B43607" w:rsidRPr="00644B63" w:rsidRDefault="00B43607" w:rsidP="00644B63">
            <w:pPr>
              <w:pStyle w:val="TableHeading1"/>
            </w:pPr>
            <w:r w:rsidRPr="00644B63">
              <w:t>Code</w:t>
            </w:r>
          </w:p>
        </w:tc>
        <w:tc>
          <w:tcPr>
            <w:tcW w:w="4392" w:type="pct"/>
            <w:tcBorders>
              <w:top w:val="single" w:sz="4" w:space="0" w:color="0079C1" w:themeColor="text2"/>
              <w:bottom w:val="single" w:sz="4" w:space="0" w:color="0079C1" w:themeColor="text2"/>
            </w:tcBorders>
            <w:shd w:val="clear" w:color="auto" w:fill="0079C1" w:themeFill="text2"/>
          </w:tcPr>
          <w:p w14:paraId="7C1FD6DB" w14:textId="77777777" w:rsidR="00B43607" w:rsidRPr="00644B63" w:rsidRDefault="00B43607" w:rsidP="00644B63">
            <w:pPr>
              <w:pStyle w:val="TableHeading1"/>
            </w:pPr>
            <w:r w:rsidRPr="00644B63">
              <w:t xml:space="preserve">Data entry guide </w:t>
            </w:r>
          </w:p>
        </w:tc>
      </w:tr>
      <w:tr w:rsidR="006B3DA5" w:rsidRPr="00644B63" w14:paraId="4095887C" w14:textId="77777777" w:rsidTr="00D80989">
        <w:trPr>
          <w:cantSplit/>
        </w:trPr>
        <w:tc>
          <w:tcPr>
            <w:tcW w:w="608" w:type="pct"/>
            <w:shd w:val="clear" w:color="auto" w:fill="auto"/>
          </w:tcPr>
          <w:p w14:paraId="65D81459" w14:textId="77777777" w:rsidR="00B43607" w:rsidRPr="00644B63" w:rsidRDefault="00B43607" w:rsidP="00644B63">
            <w:pPr>
              <w:pStyle w:val="TableText"/>
            </w:pPr>
            <w:r w:rsidRPr="00644B63">
              <w:t>Yes</w:t>
            </w:r>
          </w:p>
        </w:tc>
        <w:tc>
          <w:tcPr>
            <w:tcW w:w="4392" w:type="pct"/>
          </w:tcPr>
          <w:p w14:paraId="2D91772B" w14:textId="77777777" w:rsidR="00B43607" w:rsidRPr="00644B63" w:rsidRDefault="00B43607" w:rsidP="00644B63">
            <w:pPr>
              <w:pStyle w:val="TableText"/>
            </w:pPr>
            <w:r w:rsidRPr="00644B63">
              <w:t>Select when the client responds in the affirmative that you have answered their enquiry and there is nothing more they need from this interaction at this time</w:t>
            </w:r>
            <w:r w:rsidRPr="00644B63" w:rsidDel="00134A39">
              <w:t xml:space="preserve"> </w:t>
            </w:r>
          </w:p>
        </w:tc>
      </w:tr>
      <w:tr w:rsidR="006B3DA5" w:rsidRPr="00644B63" w14:paraId="1E738162" w14:textId="77777777" w:rsidTr="00D80989">
        <w:trPr>
          <w:cantSplit/>
        </w:trPr>
        <w:tc>
          <w:tcPr>
            <w:tcW w:w="608" w:type="pct"/>
            <w:shd w:val="clear" w:color="auto" w:fill="auto"/>
          </w:tcPr>
          <w:p w14:paraId="43A1CB0C" w14:textId="77777777" w:rsidR="00B43607" w:rsidRPr="00644B63" w:rsidRDefault="00B43607" w:rsidP="00644B63">
            <w:pPr>
              <w:pStyle w:val="TableText"/>
            </w:pPr>
            <w:r w:rsidRPr="00644B63">
              <w:t xml:space="preserve">No </w:t>
            </w:r>
          </w:p>
        </w:tc>
        <w:tc>
          <w:tcPr>
            <w:tcW w:w="4392" w:type="pct"/>
          </w:tcPr>
          <w:p w14:paraId="30F76892" w14:textId="77777777" w:rsidR="00B43607" w:rsidRPr="00644B63" w:rsidRDefault="00B43607" w:rsidP="00644B63">
            <w:pPr>
              <w:pStyle w:val="TableText"/>
            </w:pPr>
            <w:r w:rsidRPr="00644B63">
              <w:t>Select if the client terminates the call before a resolution is reached, is observably displeased by the service provided, or seeks further information from you which cannot be provided</w:t>
            </w:r>
            <w:r w:rsidRPr="00644B63" w:rsidDel="00134A39">
              <w:t xml:space="preserve"> </w:t>
            </w:r>
          </w:p>
        </w:tc>
      </w:tr>
      <w:tr w:rsidR="006B3DA5" w:rsidRPr="00644B63" w14:paraId="5659DC02" w14:textId="77777777" w:rsidTr="00D80989">
        <w:trPr>
          <w:cantSplit/>
        </w:trPr>
        <w:tc>
          <w:tcPr>
            <w:tcW w:w="608" w:type="pct"/>
            <w:shd w:val="clear" w:color="auto" w:fill="auto"/>
          </w:tcPr>
          <w:p w14:paraId="503745FF" w14:textId="77777777" w:rsidR="00B43607" w:rsidRPr="00644B63" w:rsidRDefault="00B43607" w:rsidP="00644B63">
            <w:pPr>
              <w:pStyle w:val="TableText"/>
            </w:pPr>
            <w:r w:rsidRPr="00644B63">
              <w:lastRenderedPageBreak/>
              <w:t>Unsure</w:t>
            </w:r>
          </w:p>
        </w:tc>
        <w:tc>
          <w:tcPr>
            <w:tcW w:w="4392" w:type="pct"/>
          </w:tcPr>
          <w:p w14:paraId="738526B8" w14:textId="77777777" w:rsidR="00B43607" w:rsidRPr="00644B63" w:rsidRDefault="00B43607" w:rsidP="00644B63">
            <w:pPr>
              <w:pStyle w:val="TableText"/>
            </w:pPr>
            <w:r w:rsidRPr="00644B63">
              <w:t>Select if you have not asked if the client is satisfied their enquiry has been answered and there is nothing more they need from this interaction at this time.</w:t>
            </w:r>
          </w:p>
          <w:p w14:paraId="562B4DF0" w14:textId="77777777" w:rsidR="00B43607" w:rsidRPr="00644B63" w:rsidRDefault="00B43607" w:rsidP="00644B63">
            <w:pPr>
              <w:pStyle w:val="TableText"/>
            </w:pPr>
            <w:r w:rsidRPr="00644B63">
              <w:t>Select once an e-mail has been sent to a client where you are unable to assess satisfaction.</w:t>
            </w:r>
          </w:p>
        </w:tc>
      </w:tr>
    </w:tbl>
    <w:p w14:paraId="3F9E8D23" w14:textId="18E51CF2" w:rsidR="00DF69A0" w:rsidRDefault="00BF2B4A" w:rsidP="00D80989">
      <w:pPr>
        <w:pStyle w:val="Paragraph"/>
        <w:rPr>
          <w:lang w:eastAsia="en-AU"/>
        </w:rPr>
      </w:pPr>
      <w:r>
        <w:rPr>
          <w:lang w:eastAsia="en-AU"/>
        </w:rPr>
        <w:t>Analysis of ShareP</w:t>
      </w:r>
      <w:r w:rsidR="00B43607" w:rsidRPr="00B43607">
        <w:rPr>
          <w:lang w:eastAsia="en-AU"/>
        </w:rPr>
        <w:t xml:space="preserve">oint entries for the period 17 May 2015 to 31 May 2016 indicates that </w:t>
      </w:r>
      <w:r w:rsidR="005652BA">
        <w:rPr>
          <w:lang w:eastAsia="en-AU"/>
        </w:rPr>
        <w:t xml:space="preserve">a total of </w:t>
      </w:r>
      <w:r w:rsidR="005652BA" w:rsidRPr="005652BA">
        <w:rPr>
          <w:lang w:eastAsia="en-AU"/>
        </w:rPr>
        <w:t>3972</w:t>
      </w:r>
      <w:r w:rsidR="005652BA">
        <w:rPr>
          <w:lang w:eastAsia="en-AU"/>
        </w:rPr>
        <w:t xml:space="preserve"> client </w:t>
      </w:r>
      <w:r w:rsidR="001661B6">
        <w:rPr>
          <w:lang w:eastAsia="en-AU"/>
        </w:rPr>
        <w:t>interactions were recorded (</w:t>
      </w:r>
      <w:r w:rsidR="001661B6" w:rsidRPr="00B43607">
        <w:rPr>
          <w:i/>
          <w:iCs/>
        </w:rPr>
        <w:fldChar w:fldCharType="begin"/>
      </w:r>
      <w:r w:rsidR="001661B6" w:rsidRPr="00B43607">
        <w:rPr>
          <w:i/>
          <w:iCs/>
        </w:rPr>
        <w:instrText xml:space="preserve"> REF _Ref462821894 \h  \* MERGEFORMAT </w:instrText>
      </w:r>
      <w:r w:rsidR="001661B6" w:rsidRPr="00B43607">
        <w:rPr>
          <w:i/>
          <w:iCs/>
        </w:rPr>
      </w:r>
      <w:r w:rsidR="001661B6" w:rsidRPr="00B43607">
        <w:rPr>
          <w:i/>
          <w:iCs/>
        </w:rPr>
        <w:fldChar w:fldCharType="separate"/>
      </w:r>
      <w:r w:rsidR="00487073" w:rsidRPr="00487073">
        <w:rPr>
          <w:i/>
          <w:iCs/>
        </w:rPr>
        <w:t>Table 5</w:t>
      </w:r>
      <w:r w:rsidR="00487073" w:rsidRPr="00487073">
        <w:rPr>
          <w:i/>
          <w:iCs/>
        </w:rPr>
        <w:noBreakHyphen/>
        <w:t>8</w:t>
      </w:r>
      <w:r w:rsidR="001661B6" w:rsidRPr="00B43607">
        <w:rPr>
          <w:i/>
          <w:iCs/>
        </w:rPr>
        <w:fldChar w:fldCharType="end"/>
      </w:r>
      <w:r w:rsidR="001661B6" w:rsidRPr="00B43607">
        <w:rPr>
          <w:i/>
          <w:iCs/>
        </w:rPr>
        <w:t>)</w:t>
      </w:r>
      <w:r w:rsidR="001661B6">
        <w:rPr>
          <w:lang w:eastAsia="en-AU"/>
        </w:rPr>
        <w:t xml:space="preserve">.  When n/a responses are excluded, </w:t>
      </w:r>
      <w:r w:rsidR="00B43607" w:rsidRPr="00B43607">
        <w:rPr>
          <w:lang w:eastAsia="en-AU"/>
        </w:rPr>
        <w:t>6</w:t>
      </w:r>
      <w:r w:rsidR="001661B6">
        <w:rPr>
          <w:lang w:eastAsia="en-AU"/>
        </w:rPr>
        <w:t>1.5</w:t>
      </w:r>
      <w:r w:rsidR="00B43607" w:rsidRPr="00B43607">
        <w:rPr>
          <w:lang w:eastAsia="en-AU"/>
        </w:rPr>
        <w:t xml:space="preserve">% of all interactions were categorised as ‘yes’ </w:t>
      </w:r>
      <w:r w:rsidR="00716D0E">
        <w:rPr>
          <w:lang w:eastAsia="en-AU"/>
        </w:rPr>
        <w:t>(2214/</w:t>
      </w:r>
      <w:r w:rsidR="001661B6" w:rsidRPr="001661B6">
        <w:rPr>
          <w:lang w:eastAsia="en-AU"/>
        </w:rPr>
        <w:t>3602</w:t>
      </w:r>
      <w:r w:rsidR="001661B6">
        <w:rPr>
          <w:lang w:eastAsia="en-AU"/>
        </w:rPr>
        <w:t>) and only 1.6</w:t>
      </w:r>
      <w:r w:rsidR="00B43607" w:rsidRPr="00B43607">
        <w:rPr>
          <w:lang w:eastAsia="en-AU"/>
        </w:rPr>
        <w:t xml:space="preserve">% </w:t>
      </w:r>
      <w:r w:rsidR="00716D0E">
        <w:rPr>
          <w:lang w:eastAsia="en-AU"/>
        </w:rPr>
        <w:t>(58/</w:t>
      </w:r>
      <w:r w:rsidR="001661B6" w:rsidRPr="001661B6">
        <w:rPr>
          <w:lang w:eastAsia="en-AU"/>
        </w:rPr>
        <w:t>3602</w:t>
      </w:r>
      <w:r w:rsidR="00716D0E">
        <w:rPr>
          <w:lang w:eastAsia="en-AU"/>
        </w:rPr>
        <w:t xml:space="preserve">) </w:t>
      </w:r>
      <w:r w:rsidR="00B43607" w:rsidRPr="00B43607">
        <w:rPr>
          <w:lang w:eastAsia="en-AU"/>
        </w:rPr>
        <w:t>were categorised as ‘no’</w:t>
      </w:r>
      <w:r w:rsidR="00284FF0">
        <w:rPr>
          <w:lang w:eastAsia="en-AU"/>
        </w:rPr>
        <w:t xml:space="preserve"> </w:t>
      </w:r>
      <w:r w:rsidR="00B43607" w:rsidRPr="00B43607">
        <w:rPr>
          <w:lang w:eastAsia="en-AU"/>
        </w:rPr>
        <w:t>(</w:t>
      </w:r>
      <w:r w:rsidR="00B43607" w:rsidRPr="00B43607">
        <w:rPr>
          <w:i/>
          <w:iCs/>
        </w:rPr>
        <w:fldChar w:fldCharType="begin"/>
      </w:r>
      <w:r w:rsidR="00B43607" w:rsidRPr="00B43607">
        <w:rPr>
          <w:i/>
          <w:iCs/>
        </w:rPr>
        <w:instrText xml:space="preserve"> REF _Ref462821894 \h  \* MERGEFORMAT </w:instrText>
      </w:r>
      <w:r w:rsidR="00B43607" w:rsidRPr="00B43607">
        <w:rPr>
          <w:i/>
          <w:iCs/>
        </w:rPr>
      </w:r>
      <w:r w:rsidR="00B43607" w:rsidRPr="00B43607">
        <w:rPr>
          <w:i/>
          <w:iCs/>
        </w:rPr>
        <w:fldChar w:fldCharType="separate"/>
      </w:r>
      <w:r w:rsidR="00487073" w:rsidRPr="00487073">
        <w:rPr>
          <w:i/>
          <w:iCs/>
        </w:rPr>
        <w:t>Table 5</w:t>
      </w:r>
      <w:r w:rsidR="00487073" w:rsidRPr="00487073">
        <w:rPr>
          <w:i/>
          <w:iCs/>
        </w:rPr>
        <w:noBreakHyphen/>
        <w:t>8</w:t>
      </w:r>
      <w:r w:rsidR="00B43607" w:rsidRPr="00B43607">
        <w:rPr>
          <w:i/>
          <w:iCs/>
        </w:rPr>
        <w:fldChar w:fldCharType="end"/>
      </w:r>
      <w:r w:rsidR="00B43607" w:rsidRPr="00B43607">
        <w:rPr>
          <w:i/>
          <w:iCs/>
        </w:rPr>
        <w:t>)</w:t>
      </w:r>
      <w:r w:rsidR="00B43607" w:rsidRPr="00B43607">
        <w:rPr>
          <w:lang w:eastAsia="en-AU"/>
        </w:rPr>
        <w:t xml:space="preserve">.  These figures suggest high levels of satisfaction with the service overall.  </w:t>
      </w:r>
    </w:p>
    <w:p w14:paraId="04755F75" w14:textId="6EBED8D8" w:rsidR="00B94CCA" w:rsidRDefault="00421866" w:rsidP="00B94CCA">
      <w:pPr>
        <w:pStyle w:val="Paragraph"/>
        <w:rPr>
          <w:lang w:eastAsia="en-AU"/>
        </w:rPr>
      </w:pPr>
      <w:r>
        <w:rPr>
          <w:lang w:eastAsia="en-AU"/>
        </w:rPr>
        <w:t>M</w:t>
      </w:r>
      <w:r w:rsidR="00DF69A0">
        <w:rPr>
          <w:lang w:eastAsia="en-AU"/>
        </w:rPr>
        <w:t>ore than</w:t>
      </w:r>
      <w:r w:rsidR="00B94CCA">
        <w:rPr>
          <w:lang w:eastAsia="en-AU"/>
        </w:rPr>
        <w:t xml:space="preserve"> one-third (36.9</w:t>
      </w:r>
      <w:r w:rsidR="00B43607" w:rsidRPr="00B43607">
        <w:rPr>
          <w:lang w:eastAsia="en-AU"/>
        </w:rPr>
        <w:t>%</w:t>
      </w:r>
      <w:r w:rsidR="00B94CCA">
        <w:rPr>
          <w:lang w:eastAsia="en-AU"/>
        </w:rPr>
        <w:t xml:space="preserve">, </w:t>
      </w:r>
      <w:r w:rsidR="00B94CCA" w:rsidRPr="00B94CCA">
        <w:rPr>
          <w:lang w:eastAsia="en-AU"/>
        </w:rPr>
        <w:t>1</w:t>
      </w:r>
      <w:r w:rsidR="00B94CCA">
        <w:rPr>
          <w:lang w:eastAsia="en-AU"/>
        </w:rPr>
        <w:t>330/3602</w:t>
      </w:r>
      <w:r w:rsidR="00B43607" w:rsidRPr="00B43607">
        <w:rPr>
          <w:lang w:eastAsia="en-AU"/>
        </w:rPr>
        <w:t xml:space="preserve">) of </w:t>
      </w:r>
      <w:r w:rsidR="00B94CCA">
        <w:rPr>
          <w:lang w:eastAsia="en-AU"/>
        </w:rPr>
        <w:t xml:space="preserve">all </w:t>
      </w:r>
      <w:r w:rsidR="00B43607" w:rsidRPr="00B43607">
        <w:rPr>
          <w:lang w:eastAsia="en-AU"/>
        </w:rPr>
        <w:t>interactions were classified as ‘unsure’</w:t>
      </w:r>
      <w:r w:rsidR="002F6F1C">
        <w:rPr>
          <w:lang w:eastAsia="en-AU"/>
        </w:rPr>
        <w:t xml:space="preserve"> </w:t>
      </w:r>
      <w:r>
        <w:rPr>
          <w:lang w:eastAsia="en-AU"/>
        </w:rPr>
        <w:t>f</w:t>
      </w:r>
      <w:r w:rsidRPr="00421866">
        <w:rPr>
          <w:lang w:eastAsia="en-AU"/>
        </w:rPr>
        <w:t>or the period 17 May 2015 to 31 May 2016</w:t>
      </w:r>
      <w:r w:rsidR="00B94CCA">
        <w:rPr>
          <w:lang w:eastAsia="en-AU"/>
        </w:rPr>
        <w:t>.  C</w:t>
      </w:r>
      <w:bookmarkStart w:id="96" w:name="_Hlk489529852"/>
      <w:r w:rsidR="00B94CCA">
        <w:rPr>
          <w:lang w:eastAsia="en-AU"/>
        </w:rPr>
        <w:t xml:space="preserve">onsultations with IAA service staff indicated that the ‘unsure’ code is </w:t>
      </w:r>
      <w:r w:rsidR="00B94CCA" w:rsidRPr="00DF69A0">
        <w:rPr>
          <w:lang w:eastAsia="en-AU"/>
        </w:rPr>
        <w:t xml:space="preserve">often </w:t>
      </w:r>
      <w:r w:rsidR="00B94CCA">
        <w:rPr>
          <w:lang w:eastAsia="en-AU"/>
        </w:rPr>
        <w:t xml:space="preserve">used in SharePoint prior to </w:t>
      </w:r>
      <w:r w:rsidR="00B94CCA" w:rsidRPr="00DF69A0">
        <w:rPr>
          <w:lang w:eastAsia="en-AU"/>
        </w:rPr>
        <w:t>case</w:t>
      </w:r>
      <w:r w:rsidR="00B94CCA">
        <w:rPr>
          <w:lang w:eastAsia="en-AU"/>
        </w:rPr>
        <w:t xml:space="preserve"> </w:t>
      </w:r>
      <w:r w:rsidR="00B94CCA" w:rsidRPr="00DF69A0">
        <w:rPr>
          <w:lang w:eastAsia="en-AU"/>
        </w:rPr>
        <w:t xml:space="preserve">closure </w:t>
      </w:r>
      <w:r w:rsidR="00B94CCA">
        <w:rPr>
          <w:lang w:eastAsia="en-AU"/>
        </w:rPr>
        <w:t xml:space="preserve">because </w:t>
      </w:r>
      <w:r w:rsidR="00B94CCA" w:rsidRPr="00DF69A0">
        <w:rPr>
          <w:lang w:eastAsia="en-AU"/>
        </w:rPr>
        <w:t xml:space="preserve">multiple </w:t>
      </w:r>
      <w:r w:rsidR="00B94CCA">
        <w:rPr>
          <w:lang w:eastAsia="en-AU"/>
        </w:rPr>
        <w:t xml:space="preserve">support </w:t>
      </w:r>
      <w:r w:rsidR="00B94CCA" w:rsidRPr="00DF69A0">
        <w:rPr>
          <w:lang w:eastAsia="en-AU"/>
        </w:rPr>
        <w:t>interactions</w:t>
      </w:r>
      <w:r w:rsidR="00B94CCA">
        <w:rPr>
          <w:lang w:eastAsia="en-AU"/>
        </w:rPr>
        <w:t xml:space="preserve"> are often</w:t>
      </w:r>
      <w:r w:rsidR="00B94CCA" w:rsidRPr="00DF69A0">
        <w:rPr>
          <w:lang w:eastAsia="en-AU"/>
        </w:rPr>
        <w:t xml:space="preserve"> </w:t>
      </w:r>
      <w:r w:rsidR="00B94CCA">
        <w:rPr>
          <w:lang w:eastAsia="en-AU"/>
        </w:rPr>
        <w:t>required per client.  Satisfaction assessment is not undertaken until the final interaction has been completed.  This practice does not fully comply with the intended use of the ‘unsure’ data entry guide and thus poses limitations to the utility of the data collected as satisfaction with each support interaction is not recorded.</w:t>
      </w:r>
    </w:p>
    <w:p w14:paraId="2CB79D21" w14:textId="420EC7E1" w:rsidR="00B43607" w:rsidRPr="00B43607" w:rsidRDefault="00B43607" w:rsidP="00D80989">
      <w:pPr>
        <w:pStyle w:val="Caption"/>
      </w:pPr>
      <w:bookmarkStart w:id="97" w:name="_Ref462821894"/>
      <w:bookmarkStart w:id="98" w:name="_Toc490481658"/>
      <w:bookmarkEnd w:id="96"/>
      <w:r w:rsidRPr="00B43607">
        <w:t xml:space="preserve">Table </w:t>
      </w:r>
      <w:r w:rsidR="00644B63">
        <w:fldChar w:fldCharType="begin"/>
      </w:r>
      <w:r w:rsidR="00644B63">
        <w:instrText xml:space="preserve"> STYLEREF 1 \s </w:instrText>
      </w:r>
      <w:r w:rsidR="00644B63">
        <w:fldChar w:fldCharType="separate"/>
      </w:r>
      <w:r w:rsidR="00487073">
        <w:rPr>
          <w:noProof/>
        </w:rPr>
        <w:t>5</w:t>
      </w:r>
      <w:r w:rsidR="00644B63">
        <w:fldChar w:fldCharType="end"/>
      </w:r>
      <w:r w:rsidR="00644B63">
        <w:noBreakHyphen/>
      </w:r>
      <w:r w:rsidR="00644B63">
        <w:fldChar w:fldCharType="begin"/>
      </w:r>
      <w:r w:rsidR="00644B63">
        <w:instrText xml:space="preserve"> SEQ Table \* ARABIC \s 1 </w:instrText>
      </w:r>
      <w:r w:rsidR="00644B63">
        <w:fldChar w:fldCharType="separate"/>
      </w:r>
      <w:r w:rsidR="00487073">
        <w:rPr>
          <w:noProof/>
        </w:rPr>
        <w:t>8</w:t>
      </w:r>
      <w:r w:rsidR="00644B63">
        <w:fldChar w:fldCharType="end"/>
      </w:r>
      <w:bookmarkEnd w:id="97"/>
      <w:r w:rsidR="005762AD">
        <w:t>:</w:t>
      </w:r>
      <w:r w:rsidR="005762AD">
        <w:tab/>
      </w:r>
      <w:r w:rsidRPr="00B43607">
        <w:t>Client satisfaction with the action taken in interaction with IAA</w:t>
      </w:r>
      <w:bookmarkEnd w:id="98"/>
    </w:p>
    <w:tbl>
      <w:tblPr>
        <w:tblStyle w:val="TableGrid10"/>
        <w:tblW w:w="9391" w:type="dxa"/>
        <w:tblInd w:w="101"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Description w:val="Table 5 8: Client satisfaction with the action taken in interaction with IAA"/>
      </w:tblPr>
      <w:tblGrid>
        <w:gridCol w:w="2134"/>
        <w:gridCol w:w="907"/>
        <w:gridCol w:w="907"/>
        <w:gridCol w:w="907"/>
        <w:gridCol w:w="907"/>
        <w:gridCol w:w="907"/>
        <w:gridCol w:w="907"/>
        <w:gridCol w:w="907"/>
        <w:gridCol w:w="908"/>
      </w:tblGrid>
      <w:tr w:rsidR="00AD2132" w:rsidRPr="00AD2132" w14:paraId="3679DB08" w14:textId="77777777" w:rsidTr="00777A29">
        <w:trPr>
          <w:tblHeader/>
        </w:trPr>
        <w:tc>
          <w:tcPr>
            <w:tcW w:w="2134" w:type="dxa"/>
            <w:vMerge w:val="restart"/>
            <w:tcBorders>
              <w:top w:val="single" w:sz="4" w:space="0" w:color="0079C1" w:themeColor="text2"/>
            </w:tcBorders>
            <w:shd w:val="clear" w:color="auto" w:fill="0079C1" w:themeFill="text2"/>
            <w:vAlign w:val="center"/>
          </w:tcPr>
          <w:p w14:paraId="1B13D667" w14:textId="77777777" w:rsidR="00B43607" w:rsidRPr="00C8327F" w:rsidRDefault="00B43607" w:rsidP="00777A29">
            <w:pPr>
              <w:pStyle w:val="TableHeading1"/>
              <w:rPr>
                <w:sz w:val="20"/>
              </w:rPr>
            </w:pPr>
            <w:r w:rsidRPr="00C8327F">
              <w:rPr>
                <w:sz w:val="20"/>
              </w:rPr>
              <w:t>Client category</w:t>
            </w:r>
          </w:p>
        </w:tc>
        <w:tc>
          <w:tcPr>
            <w:tcW w:w="7257" w:type="dxa"/>
            <w:gridSpan w:val="8"/>
            <w:tcBorders>
              <w:top w:val="single" w:sz="4" w:space="0" w:color="0079C1" w:themeColor="text2"/>
            </w:tcBorders>
            <w:shd w:val="clear" w:color="auto" w:fill="0079C1" w:themeFill="text2"/>
          </w:tcPr>
          <w:p w14:paraId="6314F7F8" w14:textId="77777777" w:rsidR="00B43607" w:rsidRPr="00C8327F" w:rsidRDefault="00B43607" w:rsidP="00BF630B">
            <w:pPr>
              <w:pStyle w:val="TableHeading1Centred"/>
              <w:rPr>
                <w:sz w:val="20"/>
              </w:rPr>
            </w:pPr>
            <w:r w:rsidRPr="00C8327F">
              <w:rPr>
                <w:sz w:val="20"/>
              </w:rPr>
              <w:t xml:space="preserve">Sharepoint entry </w:t>
            </w:r>
          </w:p>
        </w:tc>
      </w:tr>
      <w:tr w:rsidR="00AD2132" w:rsidRPr="00AD2132" w14:paraId="5A6F173F" w14:textId="77777777" w:rsidTr="00777A29">
        <w:trPr>
          <w:tblHeader/>
        </w:trPr>
        <w:tc>
          <w:tcPr>
            <w:tcW w:w="2134" w:type="dxa"/>
            <w:vMerge/>
            <w:tcBorders>
              <w:top w:val="single" w:sz="4" w:space="0" w:color="0079C1" w:themeColor="text2"/>
              <w:right w:val="single" w:sz="4" w:space="0" w:color="E2F4FF" w:themeColor="accent1" w:themeTint="33"/>
            </w:tcBorders>
            <w:shd w:val="clear" w:color="auto" w:fill="0079C1" w:themeFill="text2"/>
          </w:tcPr>
          <w:p w14:paraId="7BD497FF" w14:textId="77777777" w:rsidR="00B43607" w:rsidRPr="00C8327F" w:rsidRDefault="00B43607" w:rsidP="00BF630B">
            <w:pPr>
              <w:pStyle w:val="TableHeading1Centred"/>
              <w:rPr>
                <w:sz w:val="20"/>
              </w:rPr>
            </w:pPr>
          </w:p>
        </w:tc>
        <w:tc>
          <w:tcPr>
            <w:tcW w:w="1814" w:type="dxa"/>
            <w:gridSpan w:val="2"/>
            <w:tcBorders>
              <w:bottom w:val="single" w:sz="4" w:space="0" w:color="BFE7FF" w:themeColor="text2" w:themeTint="33"/>
            </w:tcBorders>
            <w:shd w:val="clear" w:color="auto" w:fill="0079C1" w:themeFill="text2"/>
          </w:tcPr>
          <w:p w14:paraId="25D80687" w14:textId="77777777" w:rsidR="00B43607" w:rsidRPr="00C8327F" w:rsidRDefault="00B43607" w:rsidP="00BF630B">
            <w:pPr>
              <w:pStyle w:val="TableHeading1Centred"/>
              <w:rPr>
                <w:sz w:val="20"/>
              </w:rPr>
            </w:pPr>
            <w:r w:rsidRPr="00C8327F">
              <w:rPr>
                <w:sz w:val="20"/>
              </w:rPr>
              <w:t>Yes</w:t>
            </w:r>
          </w:p>
        </w:tc>
        <w:tc>
          <w:tcPr>
            <w:tcW w:w="1814" w:type="dxa"/>
            <w:gridSpan w:val="2"/>
            <w:tcBorders>
              <w:bottom w:val="single" w:sz="4" w:space="0" w:color="BFE7FF" w:themeColor="text2" w:themeTint="33"/>
            </w:tcBorders>
            <w:shd w:val="clear" w:color="auto" w:fill="0079C1" w:themeFill="text2"/>
          </w:tcPr>
          <w:p w14:paraId="6B7F2A4E" w14:textId="77777777" w:rsidR="00B43607" w:rsidRPr="00C8327F" w:rsidRDefault="00B43607" w:rsidP="00BF630B">
            <w:pPr>
              <w:pStyle w:val="TableHeading1Centred"/>
              <w:rPr>
                <w:sz w:val="20"/>
              </w:rPr>
            </w:pPr>
            <w:r w:rsidRPr="00C8327F">
              <w:rPr>
                <w:sz w:val="20"/>
              </w:rPr>
              <w:t>No</w:t>
            </w:r>
          </w:p>
        </w:tc>
        <w:tc>
          <w:tcPr>
            <w:tcW w:w="1814" w:type="dxa"/>
            <w:gridSpan w:val="2"/>
            <w:tcBorders>
              <w:bottom w:val="single" w:sz="4" w:space="0" w:color="BFE7FF" w:themeColor="text2" w:themeTint="33"/>
            </w:tcBorders>
            <w:shd w:val="clear" w:color="auto" w:fill="0079C1" w:themeFill="text2"/>
          </w:tcPr>
          <w:p w14:paraId="0886D432" w14:textId="77777777" w:rsidR="00B43607" w:rsidRPr="00C8327F" w:rsidRDefault="00B43607" w:rsidP="00BF630B">
            <w:pPr>
              <w:pStyle w:val="TableHeading1Centred"/>
              <w:rPr>
                <w:sz w:val="20"/>
              </w:rPr>
            </w:pPr>
            <w:r w:rsidRPr="00C8327F">
              <w:rPr>
                <w:sz w:val="20"/>
              </w:rPr>
              <w:t>Unsure</w:t>
            </w:r>
          </w:p>
        </w:tc>
        <w:tc>
          <w:tcPr>
            <w:tcW w:w="1815" w:type="dxa"/>
            <w:gridSpan w:val="2"/>
            <w:tcBorders>
              <w:bottom w:val="single" w:sz="4" w:space="0" w:color="BFE7FF" w:themeColor="text2" w:themeTint="33"/>
            </w:tcBorders>
            <w:shd w:val="clear" w:color="auto" w:fill="0079C1" w:themeFill="text2"/>
          </w:tcPr>
          <w:p w14:paraId="37873E55" w14:textId="77777777" w:rsidR="00B43607" w:rsidRPr="00C8327F" w:rsidRDefault="00B43607" w:rsidP="00BF630B">
            <w:pPr>
              <w:pStyle w:val="TableHeading1Centred"/>
              <w:rPr>
                <w:sz w:val="20"/>
              </w:rPr>
            </w:pPr>
            <w:r w:rsidRPr="00C8327F">
              <w:rPr>
                <w:sz w:val="20"/>
              </w:rPr>
              <w:t>Total</w:t>
            </w:r>
          </w:p>
        </w:tc>
      </w:tr>
      <w:tr w:rsidR="00AD2132" w:rsidRPr="00AD2132" w14:paraId="5C6DA79E" w14:textId="77777777" w:rsidTr="00777A29">
        <w:trPr>
          <w:tblHeader/>
        </w:trPr>
        <w:tc>
          <w:tcPr>
            <w:tcW w:w="2134" w:type="dxa"/>
            <w:vMerge/>
          </w:tcPr>
          <w:p w14:paraId="72DBB9F4" w14:textId="77777777" w:rsidR="00B43607" w:rsidRPr="00C8327F" w:rsidRDefault="00B43607" w:rsidP="00BF630B">
            <w:pPr>
              <w:pStyle w:val="TableHeading1Centred"/>
              <w:rPr>
                <w:sz w:val="20"/>
              </w:rPr>
            </w:pPr>
          </w:p>
        </w:tc>
        <w:tc>
          <w:tcPr>
            <w:tcW w:w="907" w:type="dxa"/>
            <w:tcBorders>
              <w:top w:val="single" w:sz="4" w:space="0" w:color="BFE7FF" w:themeColor="text2" w:themeTint="33"/>
            </w:tcBorders>
            <w:shd w:val="clear" w:color="auto" w:fill="0079C1" w:themeFill="text2"/>
          </w:tcPr>
          <w:p w14:paraId="7279BF52" w14:textId="77777777" w:rsidR="00B43607" w:rsidRPr="00C8327F" w:rsidRDefault="00B43607" w:rsidP="00BF630B">
            <w:pPr>
              <w:pStyle w:val="TableHeading1Centred"/>
              <w:rPr>
                <w:sz w:val="20"/>
              </w:rPr>
            </w:pPr>
            <w:r w:rsidRPr="00C8327F">
              <w:rPr>
                <w:sz w:val="20"/>
              </w:rPr>
              <w:t>n</w:t>
            </w:r>
          </w:p>
        </w:tc>
        <w:tc>
          <w:tcPr>
            <w:tcW w:w="907" w:type="dxa"/>
            <w:tcBorders>
              <w:top w:val="single" w:sz="4" w:space="0" w:color="BFE7FF" w:themeColor="text2" w:themeTint="33"/>
            </w:tcBorders>
            <w:shd w:val="clear" w:color="auto" w:fill="0079C1" w:themeFill="text2"/>
          </w:tcPr>
          <w:p w14:paraId="43ADAC64" w14:textId="77777777" w:rsidR="00B43607" w:rsidRPr="00C8327F" w:rsidRDefault="00B43607" w:rsidP="00BF630B">
            <w:pPr>
              <w:pStyle w:val="TableHeading1Centred"/>
              <w:rPr>
                <w:sz w:val="20"/>
              </w:rPr>
            </w:pPr>
            <w:r w:rsidRPr="00C8327F">
              <w:rPr>
                <w:sz w:val="20"/>
              </w:rPr>
              <w:t>%</w:t>
            </w:r>
          </w:p>
        </w:tc>
        <w:tc>
          <w:tcPr>
            <w:tcW w:w="907" w:type="dxa"/>
            <w:tcBorders>
              <w:top w:val="single" w:sz="4" w:space="0" w:color="BFE7FF" w:themeColor="text2" w:themeTint="33"/>
            </w:tcBorders>
            <w:shd w:val="clear" w:color="auto" w:fill="0079C1" w:themeFill="text2"/>
          </w:tcPr>
          <w:p w14:paraId="78BB5F0D" w14:textId="77777777" w:rsidR="00B43607" w:rsidRPr="00C8327F" w:rsidRDefault="00B43607" w:rsidP="00BF630B">
            <w:pPr>
              <w:pStyle w:val="TableHeading1Centred"/>
              <w:rPr>
                <w:sz w:val="20"/>
              </w:rPr>
            </w:pPr>
            <w:r w:rsidRPr="00C8327F">
              <w:rPr>
                <w:sz w:val="20"/>
              </w:rPr>
              <w:t>n</w:t>
            </w:r>
          </w:p>
        </w:tc>
        <w:tc>
          <w:tcPr>
            <w:tcW w:w="907" w:type="dxa"/>
            <w:tcBorders>
              <w:top w:val="single" w:sz="4" w:space="0" w:color="BFE7FF" w:themeColor="text2" w:themeTint="33"/>
            </w:tcBorders>
            <w:shd w:val="clear" w:color="auto" w:fill="0079C1" w:themeFill="text2"/>
          </w:tcPr>
          <w:p w14:paraId="473A770C" w14:textId="77777777" w:rsidR="00B43607" w:rsidRPr="00C8327F" w:rsidRDefault="00B43607" w:rsidP="00BF630B">
            <w:pPr>
              <w:pStyle w:val="TableHeading1Centred"/>
              <w:rPr>
                <w:sz w:val="20"/>
              </w:rPr>
            </w:pPr>
            <w:r w:rsidRPr="00C8327F">
              <w:rPr>
                <w:sz w:val="20"/>
              </w:rPr>
              <w:t>%</w:t>
            </w:r>
          </w:p>
        </w:tc>
        <w:tc>
          <w:tcPr>
            <w:tcW w:w="907" w:type="dxa"/>
            <w:tcBorders>
              <w:top w:val="single" w:sz="4" w:space="0" w:color="BFE7FF" w:themeColor="text2" w:themeTint="33"/>
            </w:tcBorders>
            <w:shd w:val="clear" w:color="auto" w:fill="0079C1" w:themeFill="text2"/>
          </w:tcPr>
          <w:p w14:paraId="28F5F4FB" w14:textId="77777777" w:rsidR="00B43607" w:rsidRPr="00C8327F" w:rsidRDefault="00B43607" w:rsidP="00BF630B">
            <w:pPr>
              <w:pStyle w:val="TableHeading1Centred"/>
              <w:rPr>
                <w:sz w:val="20"/>
              </w:rPr>
            </w:pPr>
            <w:r w:rsidRPr="00C8327F">
              <w:rPr>
                <w:sz w:val="20"/>
              </w:rPr>
              <w:t>n</w:t>
            </w:r>
          </w:p>
        </w:tc>
        <w:tc>
          <w:tcPr>
            <w:tcW w:w="907" w:type="dxa"/>
            <w:tcBorders>
              <w:top w:val="single" w:sz="4" w:space="0" w:color="BFE7FF" w:themeColor="text2" w:themeTint="33"/>
            </w:tcBorders>
            <w:shd w:val="clear" w:color="auto" w:fill="0079C1" w:themeFill="text2"/>
          </w:tcPr>
          <w:p w14:paraId="7EC4110E" w14:textId="77777777" w:rsidR="00B43607" w:rsidRPr="00C8327F" w:rsidRDefault="00B43607" w:rsidP="00BF630B">
            <w:pPr>
              <w:pStyle w:val="TableHeading1Centred"/>
              <w:rPr>
                <w:sz w:val="20"/>
              </w:rPr>
            </w:pPr>
            <w:r w:rsidRPr="00C8327F">
              <w:rPr>
                <w:sz w:val="20"/>
              </w:rPr>
              <w:t>%</w:t>
            </w:r>
          </w:p>
        </w:tc>
        <w:tc>
          <w:tcPr>
            <w:tcW w:w="907" w:type="dxa"/>
            <w:tcBorders>
              <w:top w:val="single" w:sz="4" w:space="0" w:color="BFE7FF" w:themeColor="text2" w:themeTint="33"/>
              <w:bottom w:val="nil"/>
            </w:tcBorders>
            <w:shd w:val="clear" w:color="auto" w:fill="0079C1" w:themeFill="text2"/>
          </w:tcPr>
          <w:p w14:paraId="42CF380D" w14:textId="77777777" w:rsidR="00B43607" w:rsidRPr="00C8327F" w:rsidRDefault="00B43607" w:rsidP="00BF630B">
            <w:pPr>
              <w:pStyle w:val="TableHeading1Centred"/>
              <w:rPr>
                <w:sz w:val="20"/>
              </w:rPr>
            </w:pPr>
            <w:r w:rsidRPr="00C8327F">
              <w:rPr>
                <w:sz w:val="20"/>
              </w:rPr>
              <w:t>n</w:t>
            </w:r>
          </w:p>
        </w:tc>
        <w:tc>
          <w:tcPr>
            <w:tcW w:w="908" w:type="dxa"/>
            <w:tcBorders>
              <w:top w:val="single" w:sz="4" w:space="0" w:color="BFE7FF" w:themeColor="text2" w:themeTint="33"/>
              <w:bottom w:val="nil"/>
            </w:tcBorders>
            <w:shd w:val="clear" w:color="auto" w:fill="0079C1" w:themeFill="text2"/>
          </w:tcPr>
          <w:p w14:paraId="22A62F34" w14:textId="77777777" w:rsidR="00B43607" w:rsidRPr="00C8327F" w:rsidRDefault="00B43607" w:rsidP="00BF630B">
            <w:pPr>
              <w:pStyle w:val="TableHeading1Centred"/>
              <w:rPr>
                <w:sz w:val="20"/>
              </w:rPr>
            </w:pPr>
            <w:r w:rsidRPr="00C8327F">
              <w:rPr>
                <w:sz w:val="20"/>
              </w:rPr>
              <w:t>%</w:t>
            </w:r>
          </w:p>
        </w:tc>
      </w:tr>
      <w:tr w:rsidR="004736E9" w:rsidRPr="00AD2132" w14:paraId="47582AF4" w14:textId="77777777" w:rsidTr="00C8327F">
        <w:tc>
          <w:tcPr>
            <w:tcW w:w="2134" w:type="dxa"/>
            <w:tcBorders>
              <w:top w:val="single" w:sz="4" w:space="0" w:color="0079C1" w:themeColor="text2"/>
              <w:right w:val="single" w:sz="4" w:space="0" w:color="0079C1"/>
            </w:tcBorders>
            <w:shd w:val="clear" w:color="auto" w:fill="FFFFFF" w:themeFill="background1"/>
          </w:tcPr>
          <w:p w14:paraId="75C44E68" w14:textId="77777777" w:rsidR="004736E9" w:rsidRPr="00C8327F" w:rsidRDefault="004736E9" w:rsidP="00BF630B">
            <w:pPr>
              <w:pStyle w:val="TableTextKeep"/>
              <w:rPr>
                <w:sz w:val="20"/>
                <w:szCs w:val="20"/>
              </w:rPr>
            </w:pPr>
            <w:r w:rsidRPr="00C8327F">
              <w:rPr>
                <w:sz w:val="20"/>
                <w:szCs w:val="20"/>
              </w:rPr>
              <w:t>Adoptee</w:t>
            </w:r>
          </w:p>
        </w:tc>
        <w:tc>
          <w:tcPr>
            <w:tcW w:w="907" w:type="dxa"/>
            <w:tcBorders>
              <w:top w:val="single" w:sz="4" w:space="0" w:color="0079C1" w:themeColor="text2"/>
              <w:left w:val="single" w:sz="4" w:space="0" w:color="0079C1"/>
            </w:tcBorders>
            <w:shd w:val="clear" w:color="auto" w:fill="FFFFFF" w:themeFill="background1"/>
          </w:tcPr>
          <w:p w14:paraId="0700EF36" w14:textId="65928249" w:rsidR="004736E9" w:rsidRPr="00C8327F" w:rsidRDefault="004736E9" w:rsidP="00AD2132">
            <w:pPr>
              <w:pStyle w:val="TableTextCentred"/>
              <w:rPr>
                <w:sz w:val="20"/>
                <w:szCs w:val="20"/>
              </w:rPr>
            </w:pPr>
            <w:r w:rsidRPr="00C8327F">
              <w:rPr>
                <w:sz w:val="20"/>
                <w:szCs w:val="20"/>
              </w:rPr>
              <w:t>54</w:t>
            </w:r>
          </w:p>
        </w:tc>
        <w:tc>
          <w:tcPr>
            <w:tcW w:w="907" w:type="dxa"/>
            <w:tcBorders>
              <w:top w:val="nil"/>
              <w:right w:val="single" w:sz="4" w:space="0" w:color="0079C1"/>
            </w:tcBorders>
            <w:shd w:val="clear" w:color="auto" w:fill="FFFFFF" w:themeFill="background1"/>
          </w:tcPr>
          <w:p w14:paraId="49E58ECF" w14:textId="409D2182" w:rsidR="004736E9" w:rsidRPr="00C8327F" w:rsidRDefault="004736E9" w:rsidP="00AD2132">
            <w:pPr>
              <w:pStyle w:val="TableTextCentred"/>
              <w:rPr>
                <w:sz w:val="20"/>
                <w:szCs w:val="20"/>
              </w:rPr>
            </w:pPr>
            <w:r w:rsidRPr="00C8327F">
              <w:rPr>
                <w:sz w:val="20"/>
                <w:szCs w:val="20"/>
              </w:rPr>
              <w:t>2.2%</w:t>
            </w:r>
          </w:p>
        </w:tc>
        <w:tc>
          <w:tcPr>
            <w:tcW w:w="907" w:type="dxa"/>
            <w:tcBorders>
              <w:top w:val="nil"/>
              <w:left w:val="single" w:sz="4" w:space="0" w:color="0079C1"/>
            </w:tcBorders>
            <w:shd w:val="clear" w:color="auto" w:fill="FFFFFF" w:themeFill="background1"/>
          </w:tcPr>
          <w:p w14:paraId="06A46AC7" w14:textId="1AF7CC94" w:rsidR="004736E9" w:rsidRPr="00C8327F" w:rsidRDefault="004736E9" w:rsidP="00AD2132">
            <w:pPr>
              <w:pStyle w:val="TableTextCentred"/>
              <w:rPr>
                <w:sz w:val="20"/>
                <w:szCs w:val="20"/>
              </w:rPr>
            </w:pPr>
            <w:r w:rsidRPr="00C8327F">
              <w:rPr>
                <w:sz w:val="20"/>
                <w:szCs w:val="20"/>
              </w:rPr>
              <w:t>2</w:t>
            </w:r>
          </w:p>
        </w:tc>
        <w:tc>
          <w:tcPr>
            <w:tcW w:w="907" w:type="dxa"/>
            <w:tcBorders>
              <w:top w:val="nil"/>
              <w:right w:val="single" w:sz="4" w:space="0" w:color="0079C1"/>
            </w:tcBorders>
            <w:shd w:val="clear" w:color="auto" w:fill="FFFFFF" w:themeFill="background1"/>
          </w:tcPr>
          <w:p w14:paraId="6CA10405" w14:textId="2F701046" w:rsidR="004736E9" w:rsidRPr="00C8327F" w:rsidRDefault="004736E9" w:rsidP="00AD2132">
            <w:pPr>
              <w:pStyle w:val="TableTextCentred"/>
              <w:rPr>
                <w:sz w:val="20"/>
                <w:szCs w:val="20"/>
              </w:rPr>
            </w:pPr>
            <w:r w:rsidRPr="00C8327F">
              <w:rPr>
                <w:sz w:val="20"/>
                <w:szCs w:val="20"/>
              </w:rPr>
              <w:t>2.8%</w:t>
            </w:r>
          </w:p>
        </w:tc>
        <w:tc>
          <w:tcPr>
            <w:tcW w:w="907" w:type="dxa"/>
            <w:tcBorders>
              <w:top w:val="nil"/>
              <w:left w:val="single" w:sz="4" w:space="0" w:color="0079C1"/>
            </w:tcBorders>
            <w:shd w:val="clear" w:color="auto" w:fill="FFFFFF" w:themeFill="background1"/>
          </w:tcPr>
          <w:p w14:paraId="782428B4" w14:textId="53D838C8" w:rsidR="004736E9" w:rsidRPr="00C8327F" w:rsidRDefault="004736E9" w:rsidP="00AD2132">
            <w:pPr>
              <w:pStyle w:val="TableTextCentred"/>
              <w:rPr>
                <w:sz w:val="20"/>
                <w:szCs w:val="20"/>
              </w:rPr>
            </w:pPr>
            <w:r w:rsidRPr="00C8327F">
              <w:rPr>
                <w:sz w:val="20"/>
                <w:szCs w:val="20"/>
              </w:rPr>
              <w:t>37</w:t>
            </w:r>
          </w:p>
        </w:tc>
        <w:tc>
          <w:tcPr>
            <w:tcW w:w="907" w:type="dxa"/>
            <w:tcBorders>
              <w:top w:val="nil"/>
              <w:right w:val="single" w:sz="4" w:space="0" w:color="0079C1"/>
            </w:tcBorders>
            <w:shd w:val="clear" w:color="auto" w:fill="FFFFFF" w:themeFill="background1"/>
          </w:tcPr>
          <w:p w14:paraId="1E3A6905" w14:textId="29073164" w:rsidR="004736E9" w:rsidRPr="00C8327F" w:rsidRDefault="004736E9" w:rsidP="00AD2132">
            <w:pPr>
              <w:pStyle w:val="TableTextCentred"/>
              <w:rPr>
                <w:sz w:val="20"/>
                <w:szCs w:val="20"/>
              </w:rPr>
            </w:pPr>
            <w:r w:rsidRPr="00C8327F">
              <w:rPr>
                <w:sz w:val="20"/>
                <w:szCs w:val="20"/>
              </w:rPr>
              <w:t>2.6%</w:t>
            </w:r>
          </w:p>
        </w:tc>
        <w:tc>
          <w:tcPr>
            <w:tcW w:w="907" w:type="dxa"/>
            <w:tcBorders>
              <w:top w:val="nil"/>
              <w:left w:val="single" w:sz="4" w:space="0" w:color="0079C1"/>
            </w:tcBorders>
            <w:shd w:val="clear" w:color="auto" w:fill="FFFFFF" w:themeFill="background1"/>
          </w:tcPr>
          <w:p w14:paraId="41DBA062" w14:textId="27E3BB88" w:rsidR="004736E9" w:rsidRPr="00C8327F" w:rsidRDefault="004736E9" w:rsidP="00AD2132">
            <w:pPr>
              <w:pStyle w:val="TableTextCentred"/>
              <w:rPr>
                <w:rStyle w:val="Strong"/>
                <w:sz w:val="20"/>
                <w:szCs w:val="20"/>
              </w:rPr>
            </w:pPr>
            <w:r w:rsidRPr="00C8327F">
              <w:rPr>
                <w:rStyle w:val="Strong"/>
                <w:sz w:val="20"/>
                <w:szCs w:val="20"/>
              </w:rPr>
              <w:t>93</w:t>
            </w:r>
          </w:p>
        </w:tc>
        <w:tc>
          <w:tcPr>
            <w:tcW w:w="908" w:type="dxa"/>
            <w:tcBorders>
              <w:top w:val="nil"/>
            </w:tcBorders>
            <w:shd w:val="clear" w:color="auto" w:fill="FFFFFF" w:themeFill="background1"/>
          </w:tcPr>
          <w:p w14:paraId="21A4B8F4" w14:textId="669E1ABC" w:rsidR="004736E9" w:rsidRPr="00C8327F" w:rsidRDefault="004736E9" w:rsidP="00AD2132">
            <w:pPr>
              <w:pStyle w:val="TableTextCentred"/>
              <w:rPr>
                <w:rStyle w:val="Strong"/>
                <w:sz w:val="20"/>
                <w:szCs w:val="20"/>
              </w:rPr>
            </w:pPr>
            <w:r w:rsidRPr="00C8327F">
              <w:rPr>
                <w:rStyle w:val="Strong"/>
                <w:sz w:val="20"/>
                <w:szCs w:val="20"/>
              </w:rPr>
              <w:t>2.3%</w:t>
            </w:r>
          </w:p>
        </w:tc>
      </w:tr>
      <w:tr w:rsidR="004736E9" w:rsidRPr="00AD2132" w14:paraId="148AF824" w14:textId="77777777" w:rsidTr="00C8327F">
        <w:tc>
          <w:tcPr>
            <w:tcW w:w="2134" w:type="dxa"/>
            <w:tcBorders>
              <w:right w:val="single" w:sz="4" w:space="0" w:color="0079C1"/>
            </w:tcBorders>
            <w:shd w:val="clear" w:color="auto" w:fill="auto"/>
          </w:tcPr>
          <w:p w14:paraId="1C74A2F7" w14:textId="77777777" w:rsidR="004736E9" w:rsidRPr="00C8327F" w:rsidRDefault="004736E9" w:rsidP="00AD2132">
            <w:pPr>
              <w:pStyle w:val="TableText"/>
              <w:rPr>
                <w:sz w:val="20"/>
                <w:szCs w:val="20"/>
              </w:rPr>
            </w:pPr>
            <w:r w:rsidRPr="00C8327F">
              <w:rPr>
                <w:sz w:val="20"/>
                <w:szCs w:val="20"/>
              </w:rPr>
              <w:t>Assessment finalised</w:t>
            </w:r>
          </w:p>
        </w:tc>
        <w:tc>
          <w:tcPr>
            <w:tcW w:w="907" w:type="dxa"/>
            <w:tcBorders>
              <w:left w:val="single" w:sz="4" w:space="0" w:color="0079C1"/>
            </w:tcBorders>
            <w:shd w:val="clear" w:color="auto" w:fill="FFFFFF" w:themeFill="background1"/>
          </w:tcPr>
          <w:p w14:paraId="419CACC8" w14:textId="42459BF9" w:rsidR="004736E9" w:rsidRPr="00C8327F" w:rsidRDefault="004736E9" w:rsidP="00AD2132">
            <w:pPr>
              <w:pStyle w:val="TableTextCentred"/>
              <w:rPr>
                <w:sz w:val="20"/>
                <w:szCs w:val="20"/>
              </w:rPr>
            </w:pPr>
            <w:r w:rsidRPr="00C8327F">
              <w:rPr>
                <w:sz w:val="20"/>
                <w:szCs w:val="20"/>
              </w:rPr>
              <w:t>5</w:t>
            </w:r>
          </w:p>
        </w:tc>
        <w:tc>
          <w:tcPr>
            <w:tcW w:w="907" w:type="dxa"/>
            <w:tcBorders>
              <w:right w:val="single" w:sz="4" w:space="0" w:color="0079C1"/>
            </w:tcBorders>
            <w:shd w:val="clear" w:color="auto" w:fill="FFFFFF" w:themeFill="background1"/>
          </w:tcPr>
          <w:p w14:paraId="329D4056" w14:textId="037D6CDD" w:rsidR="004736E9" w:rsidRPr="00C8327F" w:rsidRDefault="004736E9" w:rsidP="00AD2132">
            <w:pPr>
              <w:pStyle w:val="TableTextCentred"/>
              <w:rPr>
                <w:sz w:val="20"/>
                <w:szCs w:val="20"/>
              </w:rPr>
            </w:pPr>
            <w:r w:rsidRPr="00C8327F">
              <w:rPr>
                <w:sz w:val="20"/>
                <w:szCs w:val="20"/>
              </w:rPr>
              <w:t>0.2%</w:t>
            </w:r>
          </w:p>
        </w:tc>
        <w:tc>
          <w:tcPr>
            <w:tcW w:w="907" w:type="dxa"/>
            <w:tcBorders>
              <w:left w:val="single" w:sz="4" w:space="0" w:color="0079C1"/>
            </w:tcBorders>
            <w:shd w:val="clear" w:color="auto" w:fill="FFFFFF" w:themeFill="background1"/>
          </w:tcPr>
          <w:p w14:paraId="55B9E840" w14:textId="2FF13BB2" w:rsidR="004736E9" w:rsidRPr="00C8327F" w:rsidRDefault="004736E9" w:rsidP="00AD2132">
            <w:pPr>
              <w:pStyle w:val="TableTextCentred"/>
              <w:rPr>
                <w:sz w:val="20"/>
                <w:szCs w:val="20"/>
              </w:rPr>
            </w:pPr>
            <w:r w:rsidRPr="00C8327F">
              <w:rPr>
                <w:sz w:val="20"/>
                <w:szCs w:val="20"/>
              </w:rPr>
              <w:t>-</w:t>
            </w:r>
          </w:p>
        </w:tc>
        <w:tc>
          <w:tcPr>
            <w:tcW w:w="907" w:type="dxa"/>
            <w:tcBorders>
              <w:right w:val="single" w:sz="4" w:space="0" w:color="0079C1"/>
            </w:tcBorders>
            <w:shd w:val="clear" w:color="auto" w:fill="FFFFFF" w:themeFill="background1"/>
          </w:tcPr>
          <w:p w14:paraId="580FC441" w14:textId="548BF880" w:rsidR="004736E9" w:rsidRPr="00C8327F" w:rsidRDefault="004736E9" w:rsidP="00AD2132">
            <w:pPr>
              <w:pStyle w:val="TableTextCentred"/>
              <w:rPr>
                <w:sz w:val="20"/>
                <w:szCs w:val="20"/>
              </w:rPr>
            </w:pPr>
            <w:r w:rsidRPr="00C8327F">
              <w:rPr>
                <w:sz w:val="20"/>
                <w:szCs w:val="20"/>
              </w:rPr>
              <w:t>-</w:t>
            </w:r>
          </w:p>
        </w:tc>
        <w:tc>
          <w:tcPr>
            <w:tcW w:w="907" w:type="dxa"/>
            <w:tcBorders>
              <w:left w:val="single" w:sz="4" w:space="0" w:color="0079C1"/>
            </w:tcBorders>
            <w:shd w:val="clear" w:color="auto" w:fill="FFFFFF" w:themeFill="background1"/>
          </w:tcPr>
          <w:p w14:paraId="6FE8C5C1" w14:textId="773817C8" w:rsidR="004736E9" w:rsidRPr="00C8327F" w:rsidRDefault="004736E9" w:rsidP="00AD2132">
            <w:pPr>
              <w:pStyle w:val="TableTextCentred"/>
              <w:rPr>
                <w:sz w:val="20"/>
                <w:szCs w:val="20"/>
              </w:rPr>
            </w:pPr>
            <w:r w:rsidRPr="00C8327F">
              <w:rPr>
                <w:sz w:val="20"/>
                <w:szCs w:val="20"/>
              </w:rPr>
              <w:t>-</w:t>
            </w:r>
          </w:p>
        </w:tc>
        <w:tc>
          <w:tcPr>
            <w:tcW w:w="907" w:type="dxa"/>
            <w:tcBorders>
              <w:right w:val="single" w:sz="4" w:space="0" w:color="0079C1"/>
            </w:tcBorders>
            <w:shd w:val="clear" w:color="auto" w:fill="FFFFFF" w:themeFill="background1"/>
          </w:tcPr>
          <w:p w14:paraId="4FF77CA4" w14:textId="3DF5573B" w:rsidR="004736E9" w:rsidRPr="00C8327F" w:rsidRDefault="004736E9" w:rsidP="00AD2132">
            <w:pPr>
              <w:pStyle w:val="TableTextCentred"/>
              <w:rPr>
                <w:sz w:val="20"/>
                <w:szCs w:val="20"/>
              </w:rPr>
            </w:pPr>
            <w:r w:rsidRPr="00C8327F">
              <w:rPr>
                <w:sz w:val="20"/>
                <w:szCs w:val="20"/>
              </w:rPr>
              <w:t xml:space="preserve"> -</w:t>
            </w:r>
          </w:p>
        </w:tc>
        <w:tc>
          <w:tcPr>
            <w:tcW w:w="907" w:type="dxa"/>
            <w:tcBorders>
              <w:left w:val="single" w:sz="4" w:space="0" w:color="0079C1"/>
            </w:tcBorders>
            <w:shd w:val="clear" w:color="auto" w:fill="FFFFFF" w:themeFill="background1"/>
          </w:tcPr>
          <w:p w14:paraId="64757F69" w14:textId="59E16DB0" w:rsidR="004736E9" w:rsidRPr="00C8327F" w:rsidRDefault="004736E9" w:rsidP="00AD2132">
            <w:pPr>
              <w:pStyle w:val="TableTextCentred"/>
              <w:rPr>
                <w:rStyle w:val="Strong"/>
                <w:sz w:val="20"/>
                <w:szCs w:val="20"/>
              </w:rPr>
            </w:pPr>
            <w:r w:rsidRPr="00C8327F">
              <w:rPr>
                <w:rStyle w:val="Strong"/>
                <w:sz w:val="20"/>
                <w:szCs w:val="20"/>
              </w:rPr>
              <w:t>5</w:t>
            </w:r>
          </w:p>
        </w:tc>
        <w:tc>
          <w:tcPr>
            <w:tcW w:w="908" w:type="dxa"/>
            <w:shd w:val="clear" w:color="auto" w:fill="FFFFFF" w:themeFill="background1"/>
          </w:tcPr>
          <w:p w14:paraId="0AA5C533" w14:textId="3839D806" w:rsidR="004736E9" w:rsidRPr="00C8327F" w:rsidRDefault="004736E9" w:rsidP="00AD2132">
            <w:pPr>
              <w:pStyle w:val="TableTextCentred"/>
              <w:rPr>
                <w:rStyle w:val="Strong"/>
                <w:sz w:val="20"/>
                <w:szCs w:val="20"/>
              </w:rPr>
            </w:pPr>
            <w:r w:rsidRPr="00C8327F">
              <w:rPr>
                <w:rStyle w:val="Strong"/>
                <w:sz w:val="20"/>
                <w:szCs w:val="20"/>
              </w:rPr>
              <w:t>0.1%</w:t>
            </w:r>
          </w:p>
        </w:tc>
      </w:tr>
      <w:tr w:rsidR="004736E9" w:rsidRPr="00AD2132" w14:paraId="6EBDC5B0" w14:textId="77777777" w:rsidTr="00C8327F">
        <w:tc>
          <w:tcPr>
            <w:tcW w:w="2134" w:type="dxa"/>
            <w:tcBorders>
              <w:right w:val="single" w:sz="4" w:space="0" w:color="0079C1"/>
            </w:tcBorders>
            <w:shd w:val="clear" w:color="auto" w:fill="auto"/>
          </w:tcPr>
          <w:p w14:paraId="325E42EA" w14:textId="77777777" w:rsidR="004736E9" w:rsidRPr="00C8327F" w:rsidRDefault="004736E9" w:rsidP="00AD2132">
            <w:pPr>
              <w:pStyle w:val="TableText"/>
              <w:rPr>
                <w:sz w:val="20"/>
                <w:szCs w:val="20"/>
              </w:rPr>
            </w:pPr>
            <w:r w:rsidRPr="00C8327F">
              <w:rPr>
                <w:sz w:val="20"/>
                <w:szCs w:val="20"/>
              </w:rPr>
              <w:t>Assessment pending</w:t>
            </w:r>
          </w:p>
        </w:tc>
        <w:tc>
          <w:tcPr>
            <w:tcW w:w="907" w:type="dxa"/>
            <w:tcBorders>
              <w:left w:val="single" w:sz="4" w:space="0" w:color="0079C1"/>
            </w:tcBorders>
            <w:shd w:val="clear" w:color="auto" w:fill="FFFFFF" w:themeFill="background1"/>
          </w:tcPr>
          <w:p w14:paraId="6539C992" w14:textId="7891EA77" w:rsidR="004736E9" w:rsidRPr="00C8327F" w:rsidRDefault="004736E9" w:rsidP="00AD2132">
            <w:pPr>
              <w:pStyle w:val="TableTextCentred"/>
              <w:rPr>
                <w:sz w:val="20"/>
                <w:szCs w:val="20"/>
              </w:rPr>
            </w:pPr>
            <w:r w:rsidRPr="00C8327F">
              <w:rPr>
                <w:sz w:val="20"/>
                <w:szCs w:val="20"/>
              </w:rPr>
              <w:t>32</w:t>
            </w:r>
          </w:p>
        </w:tc>
        <w:tc>
          <w:tcPr>
            <w:tcW w:w="907" w:type="dxa"/>
            <w:tcBorders>
              <w:right w:val="single" w:sz="4" w:space="0" w:color="0079C1"/>
            </w:tcBorders>
            <w:shd w:val="clear" w:color="auto" w:fill="FFFFFF" w:themeFill="background1"/>
          </w:tcPr>
          <w:p w14:paraId="74F6D993" w14:textId="10DCBFAF" w:rsidR="004736E9" w:rsidRPr="00C8327F" w:rsidRDefault="004736E9" w:rsidP="00AD2132">
            <w:pPr>
              <w:pStyle w:val="TableTextCentred"/>
              <w:rPr>
                <w:sz w:val="20"/>
                <w:szCs w:val="20"/>
              </w:rPr>
            </w:pPr>
            <w:r w:rsidRPr="00C8327F">
              <w:rPr>
                <w:sz w:val="20"/>
                <w:szCs w:val="20"/>
              </w:rPr>
              <w:t>1.3%</w:t>
            </w:r>
          </w:p>
        </w:tc>
        <w:tc>
          <w:tcPr>
            <w:tcW w:w="907" w:type="dxa"/>
            <w:tcBorders>
              <w:left w:val="single" w:sz="4" w:space="0" w:color="0079C1"/>
            </w:tcBorders>
            <w:shd w:val="clear" w:color="auto" w:fill="FFFFFF" w:themeFill="background1"/>
          </w:tcPr>
          <w:p w14:paraId="3D05E00D" w14:textId="77E686AF" w:rsidR="004736E9" w:rsidRPr="00C8327F" w:rsidRDefault="004736E9" w:rsidP="00AD2132">
            <w:pPr>
              <w:pStyle w:val="TableTextCentred"/>
              <w:rPr>
                <w:sz w:val="20"/>
                <w:szCs w:val="20"/>
              </w:rPr>
            </w:pPr>
            <w:r w:rsidRPr="00C8327F">
              <w:rPr>
                <w:sz w:val="20"/>
                <w:szCs w:val="20"/>
              </w:rPr>
              <w:t>1</w:t>
            </w:r>
          </w:p>
        </w:tc>
        <w:tc>
          <w:tcPr>
            <w:tcW w:w="907" w:type="dxa"/>
            <w:tcBorders>
              <w:right w:val="single" w:sz="4" w:space="0" w:color="0079C1"/>
            </w:tcBorders>
            <w:shd w:val="clear" w:color="auto" w:fill="FFFFFF" w:themeFill="background1"/>
          </w:tcPr>
          <w:p w14:paraId="2571321C" w14:textId="61C9D87D" w:rsidR="004736E9" w:rsidRPr="00C8327F" w:rsidRDefault="004736E9" w:rsidP="00AD2132">
            <w:pPr>
              <w:pStyle w:val="TableTextCentred"/>
              <w:rPr>
                <w:sz w:val="20"/>
                <w:szCs w:val="20"/>
              </w:rPr>
            </w:pPr>
            <w:r w:rsidRPr="00C8327F">
              <w:rPr>
                <w:sz w:val="20"/>
                <w:szCs w:val="20"/>
              </w:rPr>
              <w:t>1.4%</w:t>
            </w:r>
          </w:p>
        </w:tc>
        <w:tc>
          <w:tcPr>
            <w:tcW w:w="907" w:type="dxa"/>
            <w:tcBorders>
              <w:left w:val="single" w:sz="4" w:space="0" w:color="0079C1"/>
            </w:tcBorders>
            <w:shd w:val="clear" w:color="auto" w:fill="FFFFFF" w:themeFill="background1"/>
          </w:tcPr>
          <w:p w14:paraId="029C186B" w14:textId="1DD8F14C" w:rsidR="004736E9" w:rsidRPr="00C8327F" w:rsidRDefault="004736E9" w:rsidP="00AD2132">
            <w:pPr>
              <w:pStyle w:val="TableTextCentred"/>
              <w:rPr>
                <w:sz w:val="20"/>
                <w:szCs w:val="20"/>
              </w:rPr>
            </w:pPr>
            <w:r w:rsidRPr="00C8327F">
              <w:rPr>
                <w:sz w:val="20"/>
                <w:szCs w:val="20"/>
              </w:rPr>
              <w:t>1</w:t>
            </w:r>
          </w:p>
        </w:tc>
        <w:tc>
          <w:tcPr>
            <w:tcW w:w="907" w:type="dxa"/>
            <w:tcBorders>
              <w:right w:val="single" w:sz="4" w:space="0" w:color="0079C1"/>
            </w:tcBorders>
            <w:shd w:val="clear" w:color="auto" w:fill="FFFFFF" w:themeFill="background1"/>
          </w:tcPr>
          <w:p w14:paraId="396175D9" w14:textId="26ADBB04" w:rsidR="004736E9" w:rsidRPr="00C8327F" w:rsidRDefault="004736E9" w:rsidP="00AD2132">
            <w:pPr>
              <w:pStyle w:val="TableTextCentred"/>
              <w:rPr>
                <w:sz w:val="20"/>
                <w:szCs w:val="20"/>
              </w:rPr>
            </w:pPr>
            <w:r w:rsidRPr="00C8327F">
              <w:rPr>
                <w:sz w:val="20"/>
                <w:szCs w:val="20"/>
              </w:rPr>
              <w:t>0.1%</w:t>
            </w:r>
          </w:p>
        </w:tc>
        <w:tc>
          <w:tcPr>
            <w:tcW w:w="907" w:type="dxa"/>
            <w:tcBorders>
              <w:left w:val="single" w:sz="4" w:space="0" w:color="0079C1"/>
            </w:tcBorders>
            <w:shd w:val="clear" w:color="auto" w:fill="FFFFFF" w:themeFill="background1"/>
          </w:tcPr>
          <w:p w14:paraId="6AF2C96B" w14:textId="10E332B2" w:rsidR="004736E9" w:rsidRPr="00C8327F" w:rsidRDefault="004736E9" w:rsidP="00AD2132">
            <w:pPr>
              <w:pStyle w:val="TableTextCentred"/>
              <w:rPr>
                <w:rStyle w:val="Strong"/>
                <w:sz w:val="20"/>
                <w:szCs w:val="20"/>
              </w:rPr>
            </w:pPr>
            <w:r w:rsidRPr="00C8327F">
              <w:rPr>
                <w:rStyle w:val="Strong"/>
                <w:sz w:val="20"/>
                <w:szCs w:val="20"/>
              </w:rPr>
              <w:t>34</w:t>
            </w:r>
          </w:p>
        </w:tc>
        <w:tc>
          <w:tcPr>
            <w:tcW w:w="908" w:type="dxa"/>
            <w:shd w:val="clear" w:color="auto" w:fill="FFFFFF" w:themeFill="background1"/>
          </w:tcPr>
          <w:p w14:paraId="7F25F891" w14:textId="771C7E26" w:rsidR="004736E9" w:rsidRPr="00C8327F" w:rsidRDefault="004736E9" w:rsidP="00AD2132">
            <w:pPr>
              <w:pStyle w:val="TableTextCentred"/>
              <w:rPr>
                <w:rStyle w:val="Strong"/>
                <w:sz w:val="20"/>
                <w:szCs w:val="20"/>
              </w:rPr>
            </w:pPr>
            <w:r w:rsidRPr="00C8327F">
              <w:rPr>
                <w:rStyle w:val="Strong"/>
                <w:sz w:val="20"/>
                <w:szCs w:val="20"/>
              </w:rPr>
              <w:t>0.9%</w:t>
            </w:r>
          </w:p>
        </w:tc>
      </w:tr>
      <w:tr w:rsidR="004736E9" w:rsidRPr="00AD2132" w14:paraId="5C94B4F2" w14:textId="77777777" w:rsidTr="00C8327F">
        <w:tc>
          <w:tcPr>
            <w:tcW w:w="2134" w:type="dxa"/>
            <w:tcBorders>
              <w:right w:val="single" w:sz="4" w:space="0" w:color="0079C1"/>
            </w:tcBorders>
            <w:shd w:val="clear" w:color="auto" w:fill="auto"/>
          </w:tcPr>
          <w:p w14:paraId="0155EA40" w14:textId="77777777" w:rsidR="004736E9" w:rsidRPr="00C8327F" w:rsidRDefault="004736E9" w:rsidP="00AD2132">
            <w:pPr>
              <w:pStyle w:val="TableText"/>
              <w:rPr>
                <w:sz w:val="20"/>
                <w:szCs w:val="20"/>
              </w:rPr>
            </w:pPr>
            <w:r w:rsidRPr="00C8327F">
              <w:rPr>
                <w:sz w:val="20"/>
                <w:szCs w:val="20"/>
              </w:rPr>
              <w:t xml:space="preserve">Awaiting allocation </w:t>
            </w:r>
          </w:p>
        </w:tc>
        <w:tc>
          <w:tcPr>
            <w:tcW w:w="907" w:type="dxa"/>
            <w:tcBorders>
              <w:left w:val="single" w:sz="4" w:space="0" w:color="0079C1"/>
            </w:tcBorders>
            <w:shd w:val="clear" w:color="auto" w:fill="FFFFFF" w:themeFill="background1"/>
          </w:tcPr>
          <w:p w14:paraId="58084FB9" w14:textId="461368A2" w:rsidR="004736E9" w:rsidRPr="00C8327F" w:rsidRDefault="004736E9" w:rsidP="00AD2132">
            <w:pPr>
              <w:pStyle w:val="TableTextCentred"/>
              <w:rPr>
                <w:sz w:val="20"/>
                <w:szCs w:val="20"/>
              </w:rPr>
            </w:pPr>
            <w:r w:rsidRPr="00C8327F">
              <w:rPr>
                <w:sz w:val="20"/>
                <w:szCs w:val="20"/>
              </w:rPr>
              <w:t>39</w:t>
            </w:r>
          </w:p>
        </w:tc>
        <w:tc>
          <w:tcPr>
            <w:tcW w:w="907" w:type="dxa"/>
            <w:tcBorders>
              <w:right w:val="single" w:sz="4" w:space="0" w:color="0079C1"/>
            </w:tcBorders>
            <w:shd w:val="clear" w:color="auto" w:fill="FFFFFF" w:themeFill="background1"/>
          </w:tcPr>
          <w:p w14:paraId="51E74812" w14:textId="71A1EDDC" w:rsidR="004736E9" w:rsidRPr="00C8327F" w:rsidRDefault="004736E9" w:rsidP="00AD2132">
            <w:pPr>
              <w:pStyle w:val="TableTextCentred"/>
              <w:rPr>
                <w:sz w:val="20"/>
                <w:szCs w:val="20"/>
              </w:rPr>
            </w:pPr>
            <w:r w:rsidRPr="00C8327F">
              <w:rPr>
                <w:sz w:val="20"/>
                <w:szCs w:val="20"/>
              </w:rPr>
              <w:t>1.6%</w:t>
            </w:r>
          </w:p>
        </w:tc>
        <w:tc>
          <w:tcPr>
            <w:tcW w:w="907" w:type="dxa"/>
            <w:tcBorders>
              <w:left w:val="single" w:sz="4" w:space="0" w:color="0079C1"/>
            </w:tcBorders>
            <w:shd w:val="clear" w:color="auto" w:fill="FFFFFF" w:themeFill="background1"/>
          </w:tcPr>
          <w:p w14:paraId="30C4B401" w14:textId="60C87760" w:rsidR="004736E9" w:rsidRPr="00C8327F" w:rsidRDefault="004736E9" w:rsidP="00AD2132">
            <w:pPr>
              <w:pStyle w:val="TableTextCentred"/>
              <w:rPr>
                <w:sz w:val="20"/>
                <w:szCs w:val="20"/>
              </w:rPr>
            </w:pPr>
            <w:r w:rsidRPr="00C8327F">
              <w:rPr>
                <w:sz w:val="20"/>
                <w:szCs w:val="20"/>
              </w:rPr>
              <w:t>-</w:t>
            </w:r>
          </w:p>
        </w:tc>
        <w:tc>
          <w:tcPr>
            <w:tcW w:w="907" w:type="dxa"/>
            <w:tcBorders>
              <w:right w:val="single" w:sz="4" w:space="0" w:color="0079C1"/>
            </w:tcBorders>
            <w:shd w:val="clear" w:color="auto" w:fill="FFFFFF" w:themeFill="background1"/>
          </w:tcPr>
          <w:p w14:paraId="053A5F90" w14:textId="05988CFF" w:rsidR="004736E9" w:rsidRPr="00C8327F" w:rsidRDefault="004736E9" w:rsidP="00AD2132">
            <w:pPr>
              <w:pStyle w:val="TableTextCentred"/>
              <w:rPr>
                <w:sz w:val="20"/>
                <w:szCs w:val="20"/>
              </w:rPr>
            </w:pPr>
            <w:r w:rsidRPr="00C8327F">
              <w:rPr>
                <w:sz w:val="20"/>
                <w:szCs w:val="20"/>
              </w:rPr>
              <w:t>-</w:t>
            </w:r>
          </w:p>
        </w:tc>
        <w:tc>
          <w:tcPr>
            <w:tcW w:w="907" w:type="dxa"/>
            <w:tcBorders>
              <w:left w:val="single" w:sz="4" w:space="0" w:color="0079C1"/>
            </w:tcBorders>
            <w:shd w:val="clear" w:color="auto" w:fill="FFFFFF" w:themeFill="background1"/>
          </w:tcPr>
          <w:p w14:paraId="2B70B895" w14:textId="05931F82" w:rsidR="004736E9" w:rsidRPr="00C8327F" w:rsidRDefault="004736E9" w:rsidP="00AD2132">
            <w:pPr>
              <w:pStyle w:val="TableTextCentred"/>
              <w:rPr>
                <w:sz w:val="20"/>
                <w:szCs w:val="20"/>
              </w:rPr>
            </w:pPr>
            <w:r w:rsidRPr="00C8327F">
              <w:rPr>
                <w:sz w:val="20"/>
                <w:szCs w:val="20"/>
              </w:rPr>
              <w:t>22</w:t>
            </w:r>
          </w:p>
        </w:tc>
        <w:tc>
          <w:tcPr>
            <w:tcW w:w="907" w:type="dxa"/>
            <w:tcBorders>
              <w:right w:val="single" w:sz="4" w:space="0" w:color="0079C1"/>
            </w:tcBorders>
            <w:shd w:val="clear" w:color="auto" w:fill="FFFFFF" w:themeFill="background1"/>
          </w:tcPr>
          <w:p w14:paraId="1E65F87C" w14:textId="782C83C2" w:rsidR="004736E9" w:rsidRPr="00C8327F" w:rsidRDefault="004736E9" w:rsidP="00AD2132">
            <w:pPr>
              <w:pStyle w:val="TableTextCentred"/>
              <w:rPr>
                <w:sz w:val="20"/>
                <w:szCs w:val="20"/>
              </w:rPr>
            </w:pPr>
            <w:r w:rsidRPr="00C8327F">
              <w:rPr>
                <w:sz w:val="20"/>
                <w:szCs w:val="20"/>
              </w:rPr>
              <w:t>1.5%</w:t>
            </w:r>
          </w:p>
        </w:tc>
        <w:tc>
          <w:tcPr>
            <w:tcW w:w="907" w:type="dxa"/>
            <w:tcBorders>
              <w:left w:val="single" w:sz="4" w:space="0" w:color="0079C1"/>
            </w:tcBorders>
            <w:shd w:val="clear" w:color="auto" w:fill="FFFFFF" w:themeFill="background1"/>
          </w:tcPr>
          <w:p w14:paraId="48FA640B" w14:textId="2A4166EE" w:rsidR="004736E9" w:rsidRPr="00C8327F" w:rsidRDefault="004736E9" w:rsidP="00AD2132">
            <w:pPr>
              <w:pStyle w:val="TableTextCentred"/>
              <w:rPr>
                <w:rStyle w:val="Strong"/>
                <w:sz w:val="20"/>
                <w:szCs w:val="20"/>
              </w:rPr>
            </w:pPr>
            <w:r w:rsidRPr="00C8327F">
              <w:rPr>
                <w:rStyle w:val="Strong"/>
                <w:sz w:val="20"/>
                <w:szCs w:val="20"/>
              </w:rPr>
              <w:t>61</w:t>
            </w:r>
          </w:p>
        </w:tc>
        <w:tc>
          <w:tcPr>
            <w:tcW w:w="908" w:type="dxa"/>
            <w:shd w:val="clear" w:color="auto" w:fill="FFFFFF" w:themeFill="background1"/>
          </w:tcPr>
          <w:p w14:paraId="48DCE046" w14:textId="2A1674DB" w:rsidR="004736E9" w:rsidRPr="00C8327F" w:rsidRDefault="004736E9" w:rsidP="00AD2132">
            <w:pPr>
              <w:pStyle w:val="TableTextCentred"/>
              <w:rPr>
                <w:rStyle w:val="Strong"/>
                <w:sz w:val="20"/>
                <w:szCs w:val="20"/>
              </w:rPr>
            </w:pPr>
            <w:r w:rsidRPr="00C8327F">
              <w:rPr>
                <w:rStyle w:val="Strong"/>
                <w:sz w:val="20"/>
                <w:szCs w:val="20"/>
              </w:rPr>
              <w:t>1.5%</w:t>
            </w:r>
          </w:p>
        </w:tc>
      </w:tr>
      <w:tr w:rsidR="004736E9" w:rsidRPr="00AD2132" w14:paraId="64592DF2" w14:textId="77777777" w:rsidTr="00C8327F">
        <w:tc>
          <w:tcPr>
            <w:tcW w:w="2134" w:type="dxa"/>
            <w:tcBorders>
              <w:right w:val="single" w:sz="4" w:space="0" w:color="0079C1"/>
            </w:tcBorders>
            <w:shd w:val="clear" w:color="auto" w:fill="auto"/>
          </w:tcPr>
          <w:p w14:paraId="4FEE87BF" w14:textId="77777777" w:rsidR="004736E9" w:rsidRPr="00C8327F" w:rsidRDefault="004736E9" w:rsidP="00AD2132">
            <w:pPr>
              <w:pStyle w:val="TableText"/>
              <w:rPr>
                <w:sz w:val="20"/>
                <w:szCs w:val="20"/>
              </w:rPr>
            </w:pPr>
            <w:r w:rsidRPr="00C8327F">
              <w:rPr>
                <w:sz w:val="20"/>
                <w:szCs w:val="20"/>
              </w:rPr>
              <w:t xml:space="preserve">Matched and waiting </w:t>
            </w:r>
          </w:p>
        </w:tc>
        <w:tc>
          <w:tcPr>
            <w:tcW w:w="907" w:type="dxa"/>
            <w:tcBorders>
              <w:left w:val="single" w:sz="4" w:space="0" w:color="0079C1"/>
            </w:tcBorders>
            <w:shd w:val="clear" w:color="auto" w:fill="FFFFFF" w:themeFill="background1"/>
          </w:tcPr>
          <w:p w14:paraId="0CDA9071" w14:textId="69EAB54C" w:rsidR="004736E9" w:rsidRPr="00C8327F" w:rsidRDefault="004736E9" w:rsidP="00AD2132">
            <w:pPr>
              <w:pStyle w:val="TableTextCentred"/>
              <w:rPr>
                <w:sz w:val="20"/>
                <w:szCs w:val="20"/>
              </w:rPr>
            </w:pPr>
            <w:r w:rsidRPr="00C8327F">
              <w:rPr>
                <w:sz w:val="20"/>
                <w:szCs w:val="20"/>
              </w:rPr>
              <w:t>65</w:t>
            </w:r>
          </w:p>
        </w:tc>
        <w:tc>
          <w:tcPr>
            <w:tcW w:w="907" w:type="dxa"/>
            <w:tcBorders>
              <w:right w:val="single" w:sz="4" w:space="0" w:color="0079C1"/>
            </w:tcBorders>
            <w:shd w:val="clear" w:color="auto" w:fill="FFFFFF" w:themeFill="background1"/>
          </w:tcPr>
          <w:p w14:paraId="37E401AA" w14:textId="6C3A1F6A" w:rsidR="004736E9" w:rsidRPr="00C8327F" w:rsidRDefault="004736E9" w:rsidP="00AD2132">
            <w:pPr>
              <w:pStyle w:val="TableTextCentred"/>
              <w:rPr>
                <w:sz w:val="20"/>
                <w:szCs w:val="20"/>
              </w:rPr>
            </w:pPr>
            <w:r w:rsidRPr="00C8327F">
              <w:rPr>
                <w:sz w:val="20"/>
                <w:szCs w:val="20"/>
              </w:rPr>
              <w:t>2.6%</w:t>
            </w:r>
          </w:p>
        </w:tc>
        <w:tc>
          <w:tcPr>
            <w:tcW w:w="907" w:type="dxa"/>
            <w:tcBorders>
              <w:left w:val="single" w:sz="4" w:space="0" w:color="0079C1"/>
            </w:tcBorders>
            <w:shd w:val="clear" w:color="auto" w:fill="FFFFFF" w:themeFill="background1"/>
          </w:tcPr>
          <w:p w14:paraId="41209C97" w14:textId="400B3C0F" w:rsidR="004736E9" w:rsidRPr="00C8327F" w:rsidRDefault="004736E9" w:rsidP="00AD2132">
            <w:pPr>
              <w:pStyle w:val="TableTextCentred"/>
              <w:rPr>
                <w:sz w:val="20"/>
                <w:szCs w:val="20"/>
              </w:rPr>
            </w:pPr>
            <w:r w:rsidRPr="00C8327F">
              <w:rPr>
                <w:sz w:val="20"/>
                <w:szCs w:val="20"/>
              </w:rPr>
              <w:t>-</w:t>
            </w:r>
          </w:p>
        </w:tc>
        <w:tc>
          <w:tcPr>
            <w:tcW w:w="907" w:type="dxa"/>
            <w:tcBorders>
              <w:right w:val="single" w:sz="4" w:space="0" w:color="0079C1"/>
            </w:tcBorders>
            <w:shd w:val="clear" w:color="auto" w:fill="FFFFFF" w:themeFill="background1"/>
          </w:tcPr>
          <w:p w14:paraId="1B2431C9" w14:textId="0A0BE511" w:rsidR="004736E9" w:rsidRPr="00C8327F" w:rsidRDefault="004736E9" w:rsidP="00AD2132">
            <w:pPr>
              <w:pStyle w:val="TableTextCentred"/>
              <w:rPr>
                <w:sz w:val="20"/>
                <w:szCs w:val="20"/>
              </w:rPr>
            </w:pPr>
            <w:r w:rsidRPr="00C8327F">
              <w:rPr>
                <w:sz w:val="20"/>
                <w:szCs w:val="20"/>
              </w:rPr>
              <w:t>-</w:t>
            </w:r>
          </w:p>
        </w:tc>
        <w:tc>
          <w:tcPr>
            <w:tcW w:w="907" w:type="dxa"/>
            <w:tcBorders>
              <w:left w:val="single" w:sz="4" w:space="0" w:color="0079C1"/>
            </w:tcBorders>
            <w:shd w:val="clear" w:color="auto" w:fill="FFFFFF" w:themeFill="background1"/>
          </w:tcPr>
          <w:p w14:paraId="5696B932" w14:textId="3AD5F84E" w:rsidR="004736E9" w:rsidRPr="00C8327F" w:rsidRDefault="004736E9" w:rsidP="00AD2132">
            <w:pPr>
              <w:pStyle w:val="TableTextCentred"/>
              <w:rPr>
                <w:sz w:val="20"/>
                <w:szCs w:val="20"/>
              </w:rPr>
            </w:pPr>
            <w:r w:rsidRPr="00C8327F">
              <w:rPr>
                <w:sz w:val="20"/>
                <w:szCs w:val="20"/>
              </w:rPr>
              <w:t>38</w:t>
            </w:r>
          </w:p>
        </w:tc>
        <w:tc>
          <w:tcPr>
            <w:tcW w:w="907" w:type="dxa"/>
            <w:tcBorders>
              <w:right w:val="single" w:sz="4" w:space="0" w:color="0079C1"/>
            </w:tcBorders>
            <w:shd w:val="clear" w:color="auto" w:fill="FFFFFF" w:themeFill="background1"/>
          </w:tcPr>
          <w:p w14:paraId="6F4B9072" w14:textId="3DA39570" w:rsidR="004736E9" w:rsidRPr="00C8327F" w:rsidRDefault="004736E9" w:rsidP="00AD2132">
            <w:pPr>
              <w:pStyle w:val="TableTextCentred"/>
              <w:rPr>
                <w:sz w:val="20"/>
                <w:szCs w:val="20"/>
              </w:rPr>
            </w:pPr>
            <w:r w:rsidRPr="00C8327F">
              <w:rPr>
                <w:sz w:val="20"/>
                <w:szCs w:val="20"/>
              </w:rPr>
              <w:t>2.6%</w:t>
            </w:r>
          </w:p>
        </w:tc>
        <w:tc>
          <w:tcPr>
            <w:tcW w:w="907" w:type="dxa"/>
            <w:tcBorders>
              <w:left w:val="single" w:sz="4" w:space="0" w:color="0079C1"/>
            </w:tcBorders>
            <w:shd w:val="clear" w:color="auto" w:fill="FFFFFF" w:themeFill="background1"/>
          </w:tcPr>
          <w:p w14:paraId="40F16B16" w14:textId="2FDAC9CB" w:rsidR="004736E9" w:rsidRPr="00C8327F" w:rsidRDefault="004736E9" w:rsidP="00AD2132">
            <w:pPr>
              <w:pStyle w:val="TableTextCentred"/>
              <w:rPr>
                <w:rStyle w:val="Strong"/>
                <w:sz w:val="20"/>
                <w:szCs w:val="20"/>
              </w:rPr>
            </w:pPr>
            <w:r w:rsidRPr="00C8327F">
              <w:rPr>
                <w:rStyle w:val="Strong"/>
                <w:sz w:val="20"/>
                <w:szCs w:val="20"/>
              </w:rPr>
              <w:t>103</w:t>
            </w:r>
          </w:p>
        </w:tc>
        <w:tc>
          <w:tcPr>
            <w:tcW w:w="908" w:type="dxa"/>
            <w:shd w:val="clear" w:color="auto" w:fill="FFFFFF" w:themeFill="background1"/>
          </w:tcPr>
          <w:p w14:paraId="08A606A2" w14:textId="777C4C01" w:rsidR="004736E9" w:rsidRPr="00C8327F" w:rsidRDefault="004736E9" w:rsidP="00AD2132">
            <w:pPr>
              <w:pStyle w:val="TableTextCentred"/>
              <w:rPr>
                <w:rStyle w:val="Strong"/>
                <w:sz w:val="20"/>
                <w:szCs w:val="20"/>
              </w:rPr>
            </w:pPr>
            <w:r w:rsidRPr="00C8327F">
              <w:rPr>
                <w:rStyle w:val="Strong"/>
                <w:sz w:val="20"/>
                <w:szCs w:val="20"/>
              </w:rPr>
              <w:t>2.6%</w:t>
            </w:r>
          </w:p>
        </w:tc>
      </w:tr>
      <w:tr w:rsidR="004736E9" w:rsidRPr="00AD2132" w14:paraId="28BE13A5" w14:textId="77777777" w:rsidTr="00C8327F">
        <w:tc>
          <w:tcPr>
            <w:tcW w:w="2134" w:type="dxa"/>
            <w:tcBorders>
              <w:right w:val="single" w:sz="4" w:space="0" w:color="0079C1"/>
            </w:tcBorders>
            <w:shd w:val="clear" w:color="auto" w:fill="auto"/>
          </w:tcPr>
          <w:p w14:paraId="4C44867D" w14:textId="77777777" w:rsidR="004736E9" w:rsidRPr="00C8327F" w:rsidRDefault="004736E9" w:rsidP="00AD2132">
            <w:pPr>
              <w:pStyle w:val="TableText"/>
              <w:rPr>
                <w:sz w:val="20"/>
                <w:szCs w:val="20"/>
              </w:rPr>
            </w:pPr>
            <w:r w:rsidRPr="00C8327F">
              <w:rPr>
                <w:sz w:val="20"/>
                <w:szCs w:val="20"/>
              </w:rPr>
              <w:t>Others affected by adoption</w:t>
            </w:r>
          </w:p>
        </w:tc>
        <w:tc>
          <w:tcPr>
            <w:tcW w:w="907" w:type="dxa"/>
            <w:tcBorders>
              <w:left w:val="single" w:sz="4" w:space="0" w:color="0079C1"/>
            </w:tcBorders>
            <w:shd w:val="clear" w:color="auto" w:fill="FFFFFF" w:themeFill="background1"/>
          </w:tcPr>
          <w:p w14:paraId="7BE840A0" w14:textId="2C9FB6A5" w:rsidR="004736E9" w:rsidRPr="00C8327F" w:rsidRDefault="004736E9" w:rsidP="00AD2132">
            <w:pPr>
              <w:pStyle w:val="TableTextCentred"/>
              <w:rPr>
                <w:sz w:val="20"/>
                <w:szCs w:val="20"/>
              </w:rPr>
            </w:pPr>
            <w:r w:rsidRPr="00C8327F">
              <w:rPr>
                <w:sz w:val="20"/>
                <w:szCs w:val="20"/>
              </w:rPr>
              <w:t>70</w:t>
            </w:r>
          </w:p>
        </w:tc>
        <w:tc>
          <w:tcPr>
            <w:tcW w:w="907" w:type="dxa"/>
            <w:tcBorders>
              <w:right w:val="single" w:sz="4" w:space="0" w:color="0079C1"/>
            </w:tcBorders>
            <w:shd w:val="clear" w:color="auto" w:fill="FFFFFF" w:themeFill="background1"/>
          </w:tcPr>
          <w:p w14:paraId="18042473" w14:textId="062EB455" w:rsidR="004736E9" w:rsidRPr="00C8327F" w:rsidRDefault="004736E9" w:rsidP="00AD2132">
            <w:pPr>
              <w:pStyle w:val="TableTextCentred"/>
              <w:rPr>
                <w:sz w:val="20"/>
                <w:szCs w:val="20"/>
              </w:rPr>
            </w:pPr>
            <w:r w:rsidRPr="00C8327F">
              <w:rPr>
                <w:sz w:val="20"/>
                <w:szCs w:val="20"/>
              </w:rPr>
              <w:t>2.8%</w:t>
            </w:r>
          </w:p>
        </w:tc>
        <w:tc>
          <w:tcPr>
            <w:tcW w:w="907" w:type="dxa"/>
            <w:tcBorders>
              <w:left w:val="single" w:sz="4" w:space="0" w:color="0079C1"/>
            </w:tcBorders>
            <w:shd w:val="clear" w:color="auto" w:fill="FFFFFF" w:themeFill="background1"/>
          </w:tcPr>
          <w:p w14:paraId="71F72006" w14:textId="5B50DB30" w:rsidR="004736E9" w:rsidRPr="00C8327F" w:rsidRDefault="004736E9" w:rsidP="00AD2132">
            <w:pPr>
              <w:pStyle w:val="TableTextCentred"/>
              <w:rPr>
                <w:sz w:val="20"/>
                <w:szCs w:val="20"/>
              </w:rPr>
            </w:pPr>
            <w:r w:rsidRPr="00C8327F">
              <w:rPr>
                <w:sz w:val="20"/>
                <w:szCs w:val="20"/>
              </w:rPr>
              <w:t>-</w:t>
            </w:r>
          </w:p>
        </w:tc>
        <w:tc>
          <w:tcPr>
            <w:tcW w:w="907" w:type="dxa"/>
            <w:tcBorders>
              <w:right w:val="single" w:sz="4" w:space="0" w:color="0079C1"/>
            </w:tcBorders>
            <w:shd w:val="clear" w:color="auto" w:fill="FFFFFF" w:themeFill="background1"/>
          </w:tcPr>
          <w:p w14:paraId="309474A0" w14:textId="47F59B66" w:rsidR="004736E9" w:rsidRPr="00C8327F" w:rsidRDefault="004736E9" w:rsidP="00AD2132">
            <w:pPr>
              <w:pStyle w:val="TableTextCentred"/>
              <w:rPr>
                <w:sz w:val="20"/>
                <w:szCs w:val="20"/>
              </w:rPr>
            </w:pPr>
            <w:r w:rsidRPr="00C8327F">
              <w:rPr>
                <w:sz w:val="20"/>
                <w:szCs w:val="20"/>
              </w:rPr>
              <w:t>-</w:t>
            </w:r>
          </w:p>
        </w:tc>
        <w:tc>
          <w:tcPr>
            <w:tcW w:w="907" w:type="dxa"/>
            <w:tcBorders>
              <w:left w:val="single" w:sz="4" w:space="0" w:color="0079C1"/>
            </w:tcBorders>
            <w:shd w:val="clear" w:color="auto" w:fill="FFFFFF" w:themeFill="background1"/>
          </w:tcPr>
          <w:p w14:paraId="4A4AEE13" w14:textId="1CAA4DFB" w:rsidR="004736E9" w:rsidRPr="00C8327F" w:rsidRDefault="004736E9" w:rsidP="00AD2132">
            <w:pPr>
              <w:pStyle w:val="TableTextCentred"/>
              <w:rPr>
                <w:sz w:val="20"/>
                <w:szCs w:val="20"/>
              </w:rPr>
            </w:pPr>
            <w:r w:rsidRPr="00C8327F">
              <w:rPr>
                <w:sz w:val="20"/>
                <w:szCs w:val="20"/>
              </w:rPr>
              <w:t>37</w:t>
            </w:r>
          </w:p>
        </w:tc>
        <w:tc>
          <w:tcPr>
            <w:tcW w:w="907" w:type="dxa"/>
            <w:tcBorders>
              <w:right w:val="single" w:sz="4" w:space="0" w:color="0079C1"/>
            </w:tcBorders>
            <w:shd w:val="clear" w:color="auto" w:fill="FFFFFF" w:themeFill="background1"/>
          </w:tcPr>
          <w:p w14:paraId="379C2179" w14:textId="4C7E6A07" w:rsidR="004736E9" w:rsidRPr="00C8327F" w:rsidRDefault="004736E9" w:rsidP="00AD2132">
            <w:pPr>
              <w:pStyle w:val="TableTextCentred"/>
              <w:rPr>
                <w:sz w:val="20"/>
                <w:szCs w:val="20"/>
              </w:rPr>
            </w:pPr>
            <w:r w:rsidRPr="00C8327F">
              <w:rPr>
                <w:sz w:val="20"/>
                <w:szCs w:val="20"/>
              </w:rPr>
              <w:t>2.6%</w:t>
            </w:r>
          </w:p>
        </w:tc>
        <w:tc>
          <w:tcPr>
            <w:tcW w:w="907" w:type="dxa"/>
            <w:tcBorders>
              <w:left w:val="single" w:sz="4" w:space="0" w:color="0079C1"/>
            </w:tcBorders>
            <w:shd w:val="clear" w:color="auto" w:fill="FFFFFF" w:themeFill="background1"/>
          </w:tcPr>
          <w:p w14:paraId="7BBCFF3D" w14:textId="7A47D854" w:rsidR="004736E9" w:rsidRPr="00C8327F" w:rsidRDefault="004736E9" w:rsidP="00AD2132">
            <w:pPr>
              <w:pStyle w:val="TableTextCentred"/>
              <w:rPr>
                <w:rStyle w:val="Strong"/>
                <w:sz w:val="20"/>
                <w:szCs w:val="20"/>
              </w:rPr>
            </w:pPr>
            <w:r w:rsidRPr="00C8327F">
              <w:rPr>
                <w:rStyle w:val="Strong"/>
                <w:sz w:val="20"/>
                <w:szCs w:val="20"/>
              </w:rPr>
              <w:t>107</w:t>
            </w:r>
          </w:p>
        </w:tc>
        <w:tc>
          <w:tcPr>
            <w:tcW w:w="908" w:type="dxa"/>
            <w:shd w:val="clear" w:color="auto" w:fill="FFFFFF" w:themeFill="background1"/>
          </w:tcPr>
          <w:p w14:paraId="1C98B0A9" w14:textId="31430B7F" w:rsidR="004736E9" w:rsidRPr="00C8327F" w:rsidRDefault="004736E9" w:rsidP="00AD2132">
            <w:pPr>
              <w:pStyle w:val="TableTextCentred"/>
              <w:rPr>
                <w:rStyle w:val="Strong"/>
                <w:sz w:val="20"/>
                <w:szCs w:val="20"/>
              </w:rPr>
            </w:pPr>
            <w:r w:rsidRPr="00C8327F">
              <w:rPr>
                <w:rStyle w:val="Strong"/>
                <w:sz w:val="20"/>
                <w:szCs w:val="20"/>
              </w:rPr>
              <w:t>2.7%</w:t>
            </w:r>
          </w:p>
        </w:tc>
      </w:tr>
      <w:tr w:rsidR="004736E9" w:rsidRPr="00AD2132" w14:paraId="7D5AB5CD" w14:textId="77777777" w:rsidTr="00C8327F">
        <w:tc>
          <w:tcPr>
            <w:tcW w:w="2134" w:type="dxa"/>
            <w:tcBorders>
              <w:right w:val="single" w:sz="4" w:space="0" w:color="0079C1"/>
            </w:tcBorders>
            <w:shd w:val="clear" w:color="auto" w:fill="auto"/>
          </w:tcPr>
          <w:p w14:paraId="1F046906" w14:textId="77777777" w:rsidR="004736E9" w:rsidRPr="00C8327F" w:rsidRDefault="004736E9" w:rsidP="00AD2132">
            <w:pPr>
              <w:pStyle w:val="TableText"/>
              <w:rPr>
                <w:sz w:val="20"/>
                <w:szCs w:val="20"/>
              </w:rPr>
            </w:pPr>
            <w:r w:rsidRPr="00C8327F">
              <w:rPr>
                <w:sz w:val="20"/>
                <w:szCs w:val="20"/>
              </w:rPr>
              <w:t>Post-adoption in Australia</w:t>
            </w:r>
          </w:p>
        </w:tc>
        <w:tc>
          <w:tcPr>
            <w:tcW w:w="907" w:type="dxa"/>
            <w:tcBorders>
              <w:left w:val="single" w:sz="4" w:space="0" w:color="0079C1"/>
            </w:tcBorders>
            <w:shd w:val="clear" w:color="auto" w:fill="FFFFFF" w:themeFill="background1"/>
          </w:tcPr>
          <w:p w14:paraId="073DDAFB" w14:textId="12CD2A0C" w:rsidR="004736E9" w:rsidRPr="00C8327F" w:rsidRDefault="004736E9" w:rsidP="00AD2132">
            <w:pPr>
              <w:pStyle w:val="TableTextCentred"/>
              <w:rPr>
                <w:sz w:val="20"/>
                <w:szCs w:val="20"/>
              </w:rPr>
            </w:pPr>
            <w:r w:rsidRPr="00C8327F">
              <w:rPr>
                <w:sz w:val="20"/>
                <w:szCs w:val="20"/>
              </w:rPr>
              <w:t>140</w:t>
            </w:r>
          </w:p>
        </w:tc>
        <w:tc>
          <w:tcPr>
            <w:tcW w:w="907" w:type="dxa"/>
            <w:tcBorders>
              <w:right w:val="single" w:sz="4" w:space="0" w:color="0079C1"/>
            </w:tcBorders>
            <w:shd w:val="clear" w:color="auto" w:fill="FFFFFF" w:themeFill="background1"/>
          </w:tcPr>
          <w:p w14:paraId="6B0693D1" w14:textId="63D2CC79" w:rsidR="004736E9" w:rsidRPr="00C8327F" w:rsidRDefault="004736E9" w:rsidP="00AD2132">
            <w:pPr>
              <w:pStyle w:val="TableTextCentred"/>
              <w:rPr>
                <w:sz w:val="20"/>
                <w:szCs w:val="20"/>
              </w:rPr>
            </w:pPr>
            <w:r w:rsidRPr="00C8327F">
              <w:rPr>
                <w:sz w:val="20"/>
                <w:szCs w:val="20"/>
              </w:rPr>
              <w:t>5.7%</w:t>
            </w:r>
          </w:p>
        </w:tc>
        <w:tc>
          <w:tcPr>
            <w:tcW w:w="907" w:type="dxa"/>
            <w:tcBorders>
              <w:left w:val="single" w:sz="4" w:space="0" w:color="0079C1"/>
            </w:tcBorders>
            <w:shd w:val="clear" w:color="auto" w:fill="FFFFFF" w:themeFill="background1"/>
          </w:tcPr>
          <w:p w14:paraId="7661A173" w14:textId="4722785F" w:rsidR="004736E9" w:rsidRPr="00C8327F" w:rsidRDefault="004736E9" w:rsidP="00AD2132">
            <w:pPr>
              <w:pStyle w:val="TableTextCentred"/>
              <w:rPr>
                <w:sz w:val="20"/>
                <w:szCs w:val="20"/>
              </w:rPr>
            </w:pPr>
            <w:r w:rsidRPr="00C8327F">
              <w:rPr>
                <w:sz w:val="20"/>
                <w:szCs w:val="20"/>
              </w:rPr>
              <w:t>5</w:t>
            </w:r>
          </w:p>
        </w:tc>
        <w:tc>
          <w:tcPr>
            <w:tcW w:w="907" w:type="dxa"/>
            <w:tcBorders>
              <w:right w:val="single" w:sz="4" w:space="0" w:color="0079C1"/>
            </w:tcBorders>
            <w:shd w:val="clear" w:color="auto" w:fill="FFFFFF" w:themeFill="background1"/>
          </w:tcPr>
          <w:p w14:paraId="1A7BA19B" w14:textId="1070B193" w:rsidR="004736E9" w:rsidRPr="00C8327F" w:rsidRDefault="004736E9" w:rsidP="00AD2132">
            <w:pPr>
              <w:pStyle w:val="TableTextCentred"/>
              <w:rPr>
                <w:sz w:val="20"/>
                <w:szCs w:val="20"/>
              </w:rPr>
            </w:pPr>
            <w:r w:rsidRPr="00C8327F">
              <w:rPr>
                <w:sz w:val="20"/>
                <w:szCs w:val="20"/>
              </w:rPr>
              <w:t>7.0%</w:t>
            </w:r>
          </w:p>
        </w:tc>
        <w:tc>
          <w:tcPr>
            <w:tcW w:w="907" w:type="dxa"/>
            <w:tcBorders>
              <w:left w:val="single" w:sz="4" w:space="0" w:color="0079C1"/>
            </w:tcBorders>
            <w:shd w:val="clear" w:color="auto" w:fill="FFFFFF" w:themeFill="background1"/>
          </w:tcPr>
          <w:p w14:paraId="13F36F48" w14:textId="4BFFACD6" w:rsidR="004736E9" w:rsidRPr="00C8327F" w:rsidRDefault="004736E9" w:rsidP="00AD2132">
            <w:pPr>
              <w:pStyle w:val="TableTextCentred"/>
              <w:rPr>
                <w:sz w:val="20"/>
                <w:szCs w:val="20"/>
              </w:rPr>
            </w:pPr>
            <w:r w:rsidRPr="00C8327F">
              <w:rPr>
                <w:sz w:val="20"/>
                <w:szCs w:val="20"/>
              </w:rPr>
              <w:t>56</w:t>
            </w:r>
          </w:p>
        </w:tc>
        <w:tc>
          <w:tcPr>
            <w:tcW w:w="907" w:type="dxa"/>
            <w:tcBorders>
              <w:right w:val="single" w:sz="4" w:space="0" w:color="0079C1"/>
            </w:tcBorders>
            <w:shd w:val="clear" w:color="auto" w:fill="FFFFFF" w:themeFill="background1"/>
          </w:tcPr>
          <w:p w14:paraId="7D00EAEE" w14:textId="2A966C14" w:rsidR="004736E9" w:rsidRPr="00C8327F" w:rsidRDefault="004736E9" w:rsidP="00AD2132">
            <w:pPr>
              <w:pStyle w:val="TableTextCentred"/>
              <w:rPr>
                <w:sz w:val="20"/>
                <w:szCs w:val="20"/>
              </w:rPr>
            </w:pPr>
            <w:r w:rsidRPr="00C8327F">
              <w:rPr>
                <w:sz w:val="20"/>
                <w:szCs w:val="20"/>
              </w:rPr>
              <w:t>3.9%</w:t>
            </w:r>
          </w:p>
        </w:tc>
        <w:tc>
          <w:tcPr>
            <w:tcW w:w="907" w:type="dxa"/>
            <w:tcBorders>
              <w:left w:val="single" w:sz="4" w:space="0" w:color="0079C1"/>
            </w:tcBorders>
            <w:shd w:val="clear" w:color="auto" w:fill="FFFFFF" w:themeFill="background1"/>
          </w:tcPr>
          <w:p w14:paraId="27419B22" w14:textId="5A10B34D" w:rsidR="004736E9" w:rsidRPr="00C8327F" w:rsidRDefault="004736E9" w:rsidP="00AD2132">
            <w:pPr>
              <w:pStyle w:val="TableTextCentred"/>
              <w:rPr>
                <w:rStyle w:val="Strong"/>
                <w:sz w:val="20"/>
                <w:szCs w:val="20"/>
              </w:rPr>
            </w:pPr>
            <w:r w:rsidRPr="00C8327F">
              <w:rPr>
                <w:rStyle w:val="Strong"/>
                <w:sz w:val="20"/>
                <w:szCs w:val="20"/>
              </w:rPr>
              <w:t>201</w:t>
            </w:r>
          </w:p>
        </w:tc>
        <w:tc>
          <w:tcPr>
            <w:tcW w:w="908" w:type="dxa"/>
            <w:shd w:val="clear" w:color="auto" w:fill="FFFFFF" w:themeFill="background1"/>
          </w:tcPr>
          <w:p w14:paraId="1AE925C5" w14:textId="4DBB75AD" w:rsidR="004736E9" w:rsidRPr="00C8327F" w:rsidRDefault="004736E9" w:rsidP="00AD2132">
            <w:pPr>
              <w:pStyle w:val="TableTextCentred"/>
              <w:rPr>
                <w:rStyle w:val="Strong"/>
                <w:sz w:val="20"/>
                <w:szCs w:val="20"/>
              </w:rPr>
            </w:pPr>
            <w:r w:rsidRPr="00C8327F">
              <w:rPr>
                <w:rStyle w:val="Strong"/>
                <w:sz w:val="20"/>
                <w:szCs w:val="20"/>
              </w:rPr>
              <w:t>5.1%</w:t>
            </w:r>
          </w:p>
        </w:tc>
      </w:tr>
      <w:tr w:rsidR="004736E9" w:rsidRPr="00AD2132" w14:paraId="4C9DF61C" w14:textId="77777777" w:rsidTr="00C8327F">
        <w:tc>
          <w:tcPr>
            <w:tcW w:w="2134" w:type="dxa"/>
            <w:tcBorders>
              <w:right w:val="single" w:sz="4" w:space="0" w:color="0079C1"/>
            </w:tcBorders>
            <w:shd w:val="clear" w:color="auto" w:fill="auto"/>
          </w:tcPr>
          <w:p w14:paraId="1BFD855E" w14:textId="77777777" w:rsidR="004736E9" w:rsidRPr="00C8327F" w:rsidRDefault="004736E9" w:rsidP="00AD2132">
            <w:pPr>
              <w:pStyle w:val="TableText"/>
              <w:rPr>
                <w:sz w:val="20"/>
                <w:szCs w:val="20"/>
              </w:rPr>
            </w:pPr>
            <w:r w:rsidRPr="00C8327F">
              <w:rPr>
                <w:sz w:val="20"/>
                <w:szCs w:val="20"/>
              </w:rPr>
              <w:t>Pre-adoption</w:t>
            </w:r>
          </w:p>
        </w:tc>
        <w:tc>
          <w:tcPr>
            <w:tcW w:w="907" w:type="dxa"/>
            <w:tcBorders>
              <w:left w:val="single" w:sz="4" w:space="0" w:color="0079C1"/>
            </w:tcBorders>
            <w:shd w:val="clear" w:color="auto" w:fill="FFFFFF" w:themeFill="background1"/>
          </w:tcPr>
          <w:p w14:paraId="67F21F6B" w14:textId="72E8F454" w:rsidR="004736E9" w:rsidRPr="00C8327F" w:rsidRDefault="004736E9" w:rsidP="00AD2132">
            <w:pPr>
              <w:pStyle w:val="TableTextCentred"/>
              <w:rPr>
                <w:sz w:val="20"/>
                <w:szCs w:val="20"/>
              </w:rPr>
            </w:pPr>
            <w:r w:rsidRPr="00C8327F">
              <w:rPr>
                <w:sz w:val="20"/>
                <w:szCs w:val="20"/>
              </w:rPr>
              <w:t>1809</w:t>
            </w:r>
          </w:p>
        </w:tc>
        <w:tc>
          <w:tcPr>
            <w:tcW w:w="907" w:type="dxa"/>
            <w:tcBorders>
              <w:right w:val="single" w:sz="4" w:space="0" w:color="0079C1"/>
            </w:tcBorders>
            <w:shd w:val="clear" w:color="auto" w:fill="FFFFFF" w:themeFill="background1"/>
          </w:tcPr>
          <w:p w14:paraId="4EAC3585" w14:textId="6DF23F10" w:rsidR="004736E9" w:rsidRPr="00C8327F" w:rsidRDefault="004736E9" w:rsidP="00AD2132">
            <w:pPr>
              <w:pStyle w:val="TableTextCentred"/>
              <w:rPr>
                <w:sz w:val="20"/>
                <w:szCs w:val="20"/>
              </w:rPr>
            </w:pPr>
            <w:r w:rsidRPr="00C8327F">
              <w:rPr>
                <w:sz w:val="20"/>
                <w:szCs w:val="20"/>
              </w:rPr>
              <w:t>73.4%</w:t>
            </w:r>
          </w:p>
        </w:tc>
        <w:tc>
          <w:tcPr>
            <w:tcW w:w="907" w:type="dxa"/>
            <w:tcBorders>
              <w:left w:val="single" w:sz="4" w:space="0" w:color="0079C1"/>
            </w:tcBorders>
            <w:shd w:val="clear" w:color="auto" w:fill="FFFFFF" w:themeFill="background1"/>
          </w:tcPr>
          <w:p w14:paraId="3F8E0D80" w14:textId="619D5CF2" w:rsidR="004736E9" w:rsidRPr="00C8327F" w:rsidRDefault="004736E9" w:rsidP="00AD2132">
            <w:pPr>
              <w:pStyle w:val="TableTextCentred"/>
              <w:rPr>
                <w:sz w:val="20"/>
                <w:szCs w:val="20"/>
              </w:rPr>
            </w:pPr>
            <w:r w:rsidRPr="00C8327F">
              <w:rPr>
                <w:sz w:val="20"/>
                <w:szCs w:val="20"/>
              </w:rPr>
              <w:t>50</w:t>
            </w:r>
          </w:p>
        </w:tc>
        <w:tc>
          <w:tcPr>
            <w:tcW w:w="907" w:type="dxa"/>
            <w:tcBorders>
              <w:right w:val="single" w:sz="4" w:space="0" w:color="0079C1"/>
            </w:tcBorders>
            <w:shd w:val="clear" w:color="auto" w:fill="FFFFFF" w:themeFill="background1"/>
          </w:tcPr>
          <w:p w14:paraId="47A8CDB4" w14:textId="6D0396B7" w:rsidR="004736E9" w:rsidRPr="00C8327F" w:rsidRDefault="004736E9" w:rsidP="00AD2132">
            <w:pPr>
              <w:pStyle w:val="TableTextCentred"/>
              <w:rPr>
                <w:sz w:val="20"/>
                <w:szCs w:val="20"/>
              </w:rPr>
            </w:pPr>
            <w:r w:rsidRPr="00C8327F">
              <w:rPr>
                <w:sz w:val="20"/>
                <w:szCs w:val="20"/>
              </w:rPr>
              <w:t>70.4%</w:t>
            </w:r>
          </w:p>
        </w:tc>
        <w:tc>
          <w:tcPr>
            <w:tcW w:w="907" w:type="dxa"/>
            <w:tcBorders>
              <w:left w:val="single" w:sz="4" w:space="0" w:color="0079C1"/>
            </w:tcBorders>
            <w:shd w:val="clear" w:color="auto" w:fill="FFFFFF" w:themeFill="background1"/>
          </w:tcPr>
          <w:p w14:paraId="31E842F1" w14:textId="1D9B8DB6" w:rsidR="004736E9" w:rsidRPr="00C8327F" w:rsidRDefault="004736E9" w:rsidP="00AD2132">
            <w:pPr>
              <w:pStyle w:val="TableTextCentred"/>
              <w:rPr>
                <w:sz w:val="20"/>
                <w:szCs w:val="20"/>
              </w:rPr>
            </w:pPr>
            <w:r w:rsidRPr="00C8327F">
              <w:rPr>
                <w:sz w:val="20"/>
                <w:szCs w:val="20"/>
              </w:rPr>
              <w:t>1139</w:t>
            </w:r>
          </w:p>
        </w:tc>
        <w:tc>
          <w:tcPr>
            <w:tcW w:w="907" w:type="dxa"/>
            <w:tcBorders>
              <w:right w:val="single" w:sz="4" w:space="0" w:color="0079C1"/>
            </w:tcBorders>
            <w:shd w:val="clear" w:color="auto" w:fill="FFFFFF" w:themeFill="background1"/>
          </w:tcPr>
          <w:p w14:paraId="365CD525" w14:textId="739830B8" w:rsidR="004736E9" w:rsidRPr="00C8327F" w:rsidRDefault="004736E9" w:rsidP="00AD2132">
            <w:pPr>
              <w:pStyle w:val="TableTextCentred"/>
              <w:rPr>
                <w:sz w:val="20"/>
                <w:szCs w:val="20"/>
              </w:rPr>
            </w:pPr>
            <w:r w:rsidRPr="00C8327F">
              <w:rPr>
                <w:sz w:val="20"/>
                <w:szCs w:val="20"/>
              </w:rPr>
              <w:t>79.4%</w:t>
            </w:r>
          </w:p>
        </w:tc>
        <w:tc>
          <w:tcPr>
            <w:tcW w:w="907" w:type="dxa"/>
            <w:tcBorders>
              <w:left w:val="single" w:sz="4" w:space="0" w:color="0079C1"/>
            </w:tcBorders>
            <w:shd w:val="clear" w:color="auto" w:fill="FFFFFF" w:themeFill="background1"/>
          </w:tcPr>
          <w:p w14:paraId="2269ABC2" w14:textId="68362706" w:rsidR="004736E9" w:rsidRPr="00C8327F" w:rsidRDefault="004736E9" w:rsidP="00AD2132">
            <w:pPr>
              <w:pStyle w:val="TableTextCentred"/>
              <w:rPr>
                <w:rStyle w:val="Strong"/>
                <w:sz w:val="20"/>
                <w:szCs w:val="20"/>
              </w:rPr>
            </w:pPr>
            <w:r w:rsidRPr="00C8327F">
              <w:rPr>
                <w:rStyle w:val="Strong"/>
                <w:sz w:val="20"/>
                <w:szCs w:val="20"/>
              </w:rPr>
              <w:t>2998</w:t>
            </w:r>
          </w:p>
        </w:tc>
        <w:tc>
          <w:tcPr>
            <w:tcW w:w="908" w:type="dxa"/>
            <w:shd w:val="clear" w:color="auto" w:fill="FFFFFF" w:themeFill="background1"/>
          </w:tcPr>
          <w:p w14:paraId="4AEEF79C" w14:textId="00840360" w:rsidR="004736E9" w:rsidRPr="00C8327F" w:rsidRDefault="004736E9" w:rsidP="00AD2132">
            <w:pPr>
              <w:pStyle w:val="TableTextCentred"/>
              <w:rPr>
                <w:rStyle w:val="Strong"/>
                <w:sz w:val="20"/>
                <w:szCs w:val="20"/>
              </w:rPr>
            </w:pPr>
            <w:r w:rsidRPr="00C8327F">
              <w:rPr>
                <w:rStyle w:val="Strong"/>
                <w:sz w:val="20"/>
                <w:szCs w:val="20"/>
              </w:rPr>
              <w:t>75.5%</w:t>
            </w:r>
          </w:p>
        </w:tc>
      </w:tr>
      <w:tr w:rsidR="005652BA" w:rsidRPr="005652BA" w14:paraId="2BD0D3BF" w14:textId="77777777" w:rsidTr="00C8327F">
        <w:tc>
          <w:tcPr>
            <w:tcW w:w="2134" w:type="dxa"/>
            <w:tcBorders>
              <w:right w:val="single" w:sz="4" w:space="0" w:color="0079C1"/>
            </w:tcBorders>
            <w:shd w:val="clear" w:color="auto" w:fill="E2F4FF" w:themeFill="accent1" w:themeFillTint="33"/>
          </w:tcPr>
          <w:p w14:paraId="1D7ECE9F" w14:textId="69F4B0BF" w:rsidR="005652BA" w:rsidRPr="00C8327F" w:rsidRDefault="005652BA" w:rsidP="005652BA">
            <w:pPr>
              <w:pStyle w:val="TableText"/>
              <w:rPr>
                <w:rStyle w:val="Strong"/>
                <w:b w:val="0"/>
                <w:sz w:val="20"/>
                <w:szCs w:val="20"/>
              </w:rPr>
            </w:pPr>
            <w:r w:rsidRPr="00C8327F">
              <w:rPr>
                <w:rStyle w:val="Strong"/>
                <w:b w:val="0"/>
                <w:sz w:val="20"/>
                <w:szCs w:val="20"/>
              </w:rPr>
              <w:t xml:space="preserve">Subtotal </w:t>
            </w:r>
          </w:p>
        </w:tc>
        <w:tc>
          <w:tcPr>
            <w:tcW w:w="907" w:type="dxa"/>
            <w:tcBorders>
              <w:left w:val="single" w:sz="4" w:space="0" w:color="0079C1"/>
            </w:tcBorders>
            <w:shd w:val="clear" w:color="auto" w:fill="E2F4FF" w:themeFill="accent1" w:themeFillTint="33"/>
          </w:tcPr>
          <w:p w14:paraId="24C95EBD" w14:textId="4EF12B7C" w:rsidR="005652BA" w:rsidRPr="00C8327F" w:rsidRDefault="005652BA" w:rsidP="005652BA">
            <w:pPr>
              <w:pStyle w:val="TableText"/>
              <w:jc w:val="center"/>
              <w:rPr>
                <w:rStyle w:val="Strong"/>
                <w:b w:val="0"/>
                <w:sz w:val="20"/>
                <w:szCs w:val="20"/>
              </w:rPr>
            </w:pPr>
            <w:r w:rsidRPr="00C8327F">
              <w:rPr>
                <w:rStyle w:val="Strong"/>
                <w:b w:val="0"/>
                <w:sz w:val="20"/>
                <w:szCs w:val="20"/>
              </w:rPr>
              <w:t>2214</w:t>
            </w:r>
          </w:p>
        </w:tc>
        <w:tc>
          <w:tcPr>
            <w:tcW w:w="907" w:type="dxa"/>
            <w:tcBorders>
              <w:right w:val="single" w:sz="4" w:space="0" w:color="0079C1"/>
            </w:tcBorders>
            <w:shd w:val="clear" w:color="auto" w:fill="E2F4FF" w:themeFill="accent1" w:themeFillTint="33"/>
          </w:tcPr>
          <w:p w14:paraId="5C443C3E" w14:textId="151E0D5D" w:rsidR="005652BA" w:rsidRPr="00C8327F" w:rsidRDefault="005652BA" w:rsidP="005652BA">
            <w:pPr>
              <w:pStyle w:val="TableText"/>
              <w:jc w:val="center"/>
              <w:rPr>
                <w:rStyle w:val="Strong"/>
                <w:b w:val="0"/>
                <w:sz w:val="20"/>
                <w:szCs w:val="20"/>
              </w:rPr>
            </w:pPr>
            <w:r w:rsidRPr="00C8327F">
              <w:rPr>
                <w:rStyle w:val="Strong"/>
                <w:b w:val="0"/>
                <w:sz w:val="20"/>
                <w:szCs w:val="20"/>
              </w:rPr>
              <w:t>89.80%</w:t>
            </w:r>
          </w:p>
        </w:tc>
        <w:tc>
          <w:tcPr>
            <w:tcW w:w="907" w:type="dxa"/>
            <w:tcBorders>
              <w:left w:val="single" w:sz="4" w:space="0" w:color="0079C1"/>
            </w:tcBorders>
            <w:shd w:val="clear" w:color="auto" w:fill="E2F4FF" w:themeFill="accent1" w:themeFillTint="33"/>
          </w:tcPr>
          <w:p w14:paraId="40C81095" w14:textId="3CF3700B" w:rsidR="005652BA" w:rsidRPr="00C8327F" w:rsidRDefault="005652BA" w:rsidP="005652BA">
            <w:pPr>
              <w:pStyle w:val="TableText"/>
              <w:jc w:val="center"/>
              <w:rPr>
                <w:rStyle w:val="Strong"/>
                <w:b w:val="0"/>
                <w:sz w:val="20"/>
                <w:szCs w:val="20"/>
              </w:rPr>
            </w:pPr>
            <w:r w:rsidRPr="00C8327F">
              <w:rPr>
                <w:rStyle w:val="Strong"/>
                <w:b w:val="0"/>
                <w:sz w:val="20"/>
                <w:szCs w:val="20"/>
              </w:rPr>
              <w:t>58</w:t>
            </w:r>
          </w:p>
        </w:tc>
        <w:tc>
          <w:tcPr>
            <w:tcW w:w="907" w:type="dxa"/>
            <w:tcBorders>
              <w:right w:val="single" w:sz="4" w:space="0" w:color="0079C1"/>
            </w:tcBorders>
            <w:shd w:val="clear" w:color="auto" w:fill="E2F4FF" w:themeFill="accent1" w:themeFillTint="33"/>
          </w:tcPr>
          <w:p w14:paraId="5630F9D9" w14:textId="621E25DE" w:rsidR="005652BA" w:rsidRPr="00C8327F" w:rsidRDefault="005652BA" w:rsidP="005652BA">
            <w:pPr>
              <w:pStyle w:val="TableText"/>
              <w:jc w:val="center"/>
              <w:rPr>
                <w:rStyle w:val="Strong"/>
                <w:b w:val="0"/>
                <w:sz w:val="20"/>
                <w:szCs w:val="20"/>
              </w:rPr>
            </w:pPr>
            <w:r w:rsidRPr="00C8327F">
              <w:rPr>
                <w:rStyle w:val="Strong"/>
                <w:b w:val="0"/>
                <w:sz w:val="20"/>
                <w:szCs w:val="20"/>
              </w:rPr>
              <w:t>81.60%</w:t>
            </w:r>
          </w:p>
        </w:tc>
        <w:tc>
          <w:tcPr>
            <w:tcW w:w="907" w:type="dxa"/>
            <w:tcBorders>
              <w:left w:val="single" w:sz="4" w:space="0" w:color="0079C1"/>
            </w:tcBorders>
            <w:shd w:val="clear" w:color="auto" w:fill="E2F4FF" w:themeFill="accent1" w:themeFillTint="33"/>
          </w:tcPr>
          <w:p w14:paraId="2FEDCBE1" w14:textId="399FA79D" w:rsidR="005652BA" w:rsidRPr="00C8327F" w:rsidRDefault="005652BA" w:rsidP="005652BA">
            <w:pPr>
              <w:pStyle w:val="TableText"/>
              <w:jc w:val="center"/>
              <w:rPr>
                <w:rStyle w:val="Strong"/>
                <w:b w:val="0"/>
                <w:sz w:val="20"/>
                <w:szCs w:val="20"/>
              </w:rPr>
            </w:pPr>
            <w:r w:rsidRPr="00C8327F">
              <w:rPr>
                <w:rStyle w:val="Strong"/>
                <w:b w:val="0"/>
                <w:sz w:val="20"/>
                <w:szCs w:val="20"/>
              </w:rPr>
              <w:t>1330</w:t>
            </w:r>
          </w:p>
        </w:tc>
        <w:tc>
          <w:tcPr>
            <w:tcW w:w="907" w:type="dxa"/>
            <w:tcBorders>
              <w:right w:val="single" w:sz="4" w:space="0" w:color="0079C1"/>
            </w:tcBorders>
            <w:shd w:val="clear" w:color="auto" w:fill="E2F4FF" w:themeFill="accent1" w:themeFillTint="33"/>
          </w:tcPr>
          <w:p w14:paraId="50B34C9B" w14:textId="3CEE1671" w:rsidR="005652BA" w:rsidRPr="00C8327F" w:rsidRDefault="005652BA" w:rsidP="005652BA">
            <w:pPr>
              <w:pStyle w:val="TableText"/>
              <w:jc w:val="center"/>
              <w:rPr>
                <w:rStyle w:val="Strong"/>
                <w:b w:val="0"/>
                <w:sz w:val="20"/>
                <w:szCs w:val="20"/>
              </w:rPr>
            </w:pPr>
            <w:r w:rsidRPr="00C8327F">
              <w:rPr>
                <w:rStyle w:val="Strong"/>
                <w:b w:val="0"/>
                <w:sz w:val="20"/>
                <w:szCs w:val="20"/>
              </w:rPr>
              <w:t>92.70%</w:t>
            </w:r>
          </w:p>
        </w:tc>
        <w:tc>
          <w:tcPr>
            <w:tcW w:w="907" w:type="dxa"/>
            <w:tcBorders>
              <w:left w:val="single" w:sz="4" w:space="0" w:color="0079C1"/>
            </w:tcBorders>
            <w:shd w:val="clear" w:color="auto" w:fill="E2F4FF" w:themeFill="accent1" w:themeFillTint="33"/>
          </w:tcPr>
          <w:p w14:paraId="098EB64C" w14:textId="14DFAFD1" w:rsidR="005652BA" w:rsidRPr="00C8327F" w:rsidRDefault="005652BA" w:rsidP="005652BA">
            <w:pPr>
              <w:pStyle w:val="TableText"/>
              <w:jc w:val="center"/>
              <w:rPr>
                <w:rStyle w:val="Strong"/>
                <w:b w:val="0"/>
                <w:sz w:val="20"/>
                <w:szCs w:val="20"/>
              </w:rPr>
            </w:pPr>
            <w:r w:rsidRPr="00C8327F">
              <w:rPr>
                <w:rStyle w:val="Strong"/>
                <w:b w:val="0"/>
                <w:sz w:val="20"/>
                <w:szCs w:val="20"/>
              </w:rPr>
              <w:t>3602</w:t>
            </w:r>
          </w:p>
        </w:tc>
        <w:tc>
          <w:tcPr>
            <w:tcW w:w="908" w:type="dxa"/>
            <w:shd w:val="clear" w:color="auto" w:fill="E2F4FF" w:themeFill="accent1" w:themeFillTint="33"/>
          </w:tcPr>
          <w:p w14:paraId="42F428DF" w14:textId="64689255" w:rsidR="005652BA" w:rsidRPr="00C8327F" w:rsidRDefault="005652BA" w:rsidP="005652BA">
            <w:pPr>
              <w:pStyle w:val="TableText"/>
              <w:jc w:val="center"/>
              <w:rPr>
                <w:rStyle w:val="Strong"/>
                <w:b w:val="0"/>
                <w:sz w:val="20"/>
                <w:szCs w:val="20"/>
              </w:rPr>
            </w:pPr>
            <w:r w:rsidRPr="00C8327F">
              <w:rPr>
                <w:rStyle w:val="Strong"/>
                <w:b w:val="0"/>
                <w:sz w:val="20"/>
                <w:szCs w:val="20"/>
              </w:rPr>
              <w:t>90.70%</w:t>
            </w:r>
          </w:p>
        </w:tc>
      </w:tr>
      <w:tr w:rsidR="004736E9" w:rsidRPr="00AD2132" w14:paraId="5DDDFE7C" w14:textId="77777777" w:rsidTr="00C8327F">
        <w:tc>
          <w:tcPr>
            <w:tcW w:w="2134" w:type="dxa"/>
            <w:tcBorders>
              <w:right w:val="single" w:sz="4" w:space="0" w:color="0079C1"/>
            </w:tcBorders>
            <w:shd w:val="clear" w:color="auto" w:fill="auto"/>
          </w:tcPr>
          <w:p w14:paraId="62F7733A" w14:textId="66D61FE4" w:rsidR="004736E9" w:rsidRPr="00C8327F" w:rsidRDefault="004736E9" w:rsidP="00AD2132">
            <w:pPr>
              <w:pStyle w:val="TableText"/>
              <w:rPr>
                <w:sz w:val="20"/>
                <w:szCs w:val="20"/>
              </w:rPr>
            </w:pPr>
            <w:r w:rsidRPr="00C8327F">
              <w:rPr>
                <w:sz w:val="20"/>
                <w:szCs w:val="20"/>
              </w:rPr>
              <w:t>n/a</w:t>
            </w:r>
            <w:r w:rsidR="001D0E7C" w:rsidRPr="00C8327F">
              <w:rPr>
                <w:rStyle w:val="FootnoteReference"/>
                <w:sz w:val="20"/>
                <w:szCs w:val="20"/>
              </w:rPr>
              <w:footnoteReference w:id="3"/>
            </w:r>
          </w:p>
        </w:tc>
        <w:tc>
          <w:tcPr>
            <w:tcW w:w="907" w:type="dxa"/>
            <w:tcBorders>
              <w:left w:val="single" w:sz="4" w:space="0" w:color="0079C1"/>
            </w:tcBorders>
            <w:shd w:val="clear" w:color="auto" w:fill="FFFFFF" w:themeFill="background1"/>
          </w:tcPr>
          <w:p w14:paraId="4A0C56DB" w14:textId="130A3345" w:rsidR="004736E9" w:rsidRPr="00C8327F" w:rsidRDefault="004736E9" w:rsidP="00AD2132">
            <w:pPr>
              <w:pStyle w:val="TableTextCentred"/>
              <w:rPr>
                <w:sz w:val="20"/>
                <w:szCs w:val="20"/>
              </w:rPr>
            </w:pPr>
            <w:r w:rsidRPr="00C8327F">
              <w:rPr>
                <w:sz w:val="20"/>
                <w:szCs w:val="20"/>
              </w:rPr>
              <w:t>252</w:t>
            </w:r>
          </w:p>
        </w:tc>
        <w:tc>
          <w:tcPr>
            <w:tcW w:w="907" w:type="dxa"/>
            <w:tcBorders>
              <w:right w:val="single" w:sz="4" w:space="0" w:color="0079C1"/>
            </w:tcBorders>
            <w:shd w:val="clear" w:color="auto" w:fill="FFFFFF" w:themeFill="background1"/>
          </w:tcPr>
          <w:p w14:paraId="566CE0C8" w14:textId="095D9811" w:rsidR="004736E9" w:rsidRPr="00C8327F" w:rsidRDefault="004736E9" w:rsidP="00AD2132">
            <w:pPr>
              <w:pStyle w:val="TableTextCentred"/>
              <w:rPr>
                <w:sz w:val="20"/>
                <w:szCs w:val="20"/>
              </w:rPr>
            </w:pPr>
            <w:r w:rsidRPr="00C8327F">
              <w:rPr>
                <w:sz w:val="20"/>
                <w:szCs w:val="20"/>
              </w:rPr>
              <w:t>10.2%</w:t>
            </w:r>
          </w:p>
        </w:tc>
        <w:tc>
          <w:tcPr>
            <w:tcW w:w="907" w:type="dxa"/>
            <w:tcBorders>
              <w:left w:val="single" w:sz="4" w:space="0" w:color="0079C1"/>
            </w:tcBorders>
            <w:shd w:val="clear" w:color="auto" w:fill="FFFFFF" w:themeFill="background1"/>
          </w:tcPr>
          <w:p w14:paraId="29F82E9A" w14:textId="0C626E80" w:rsidR="004736E9" w:rsidRPr="00C8327F" w:rsidRDefault="004736E9" w:rsidP="00AD2132">
            <w:pPr>
              <w:pStyle w:val="TableTextCentred"/>
              <w:rPr>
                <w:sz w:val="20"/>
                <w:szCs w:val="20"/>
              </w:rPr>
            </w:pPr>
            <w:r w:rsidRPr="00C8327F">
              <w:rPr>
                <w:sz w:val="20"/>
                <w:szCs w:val="20"/>
              </w:rPr>
              <w:t>13</w:t>
            </w:r>
          </w:p>
        </w:tc>
        <w:tc>
          <w:tcPr>
            <w:tcW w:w="907" w:type="dxa"/>
            <w:tcBorders>
              <w:right w:val="single" w:sz="4" w:space="0" w:color="0079C1"/>
            </w:tcBorders>
            <w:shd w:val="clear" w:color="auto" w:fill="FFFFFF" w:themeFill="background1"/>
          </w:tcPr>
          <w:p w14:paraId="31208A89" w14:textId="3735ECF5" w:rsidR="004736E9" w:rsidRPr="00C8327F" w:rsidRDefault="004736E9" w:rsidP="00AD2132">
            <w:pPr>
              <w:pStyle w:val="TableTextCentred"/>
              <w:rPr>
                <w:sz w:val="20"/>
                <w:szCs w:val="20"/>
              </w:rPr>
            </w:pPr>
            <w:r w:rsidRPr="00C8327F">
              <w:rPr>
                <w:sz w:val="20"/>
                <w:szCs w:val="20"/>
              </w:rPr>
              <w:t>18.3%</w:t>
            </w:r>
          </w:p>
        </w:tc>
        <w:tc>
          <w:tcPr>
            <w:tcW w:w="907" w:type="dxa"/>
            <w:tcBorders>
              <w:left w:val="single" w:sz="4" w:space="0" w:color="0079C1"/>
            </w:tcBorders>
            <w:shd w:val="clear" w:color="auto" w:fill="FFFFFF" w:themeFill="background1"/>
          </w:tcPr>
          <w:p w14:paraId="486F7346" w14:textId="1218838D" w:rsidR="004736E9" w:rsidRPr="00C8327F" w:rsidRDefault="004736E9" w:rsidP="00AD2132">
            <w:pPr>
              <w:pStyle w:val="TableTextCentred"/>
              <w:rPr>
                <w:sz w:val="20"/>
                <w:szCs w:val="20"/>
              </w:rPr>
            </w:pPr>
            <w:r w:rsidRPr="00C8327F">
              <w:rPr>
                <w:sz w:val="20"/>
                <w:szCs w:val="20"/>
              </w:rPr>
              <w:t>105</w:t>
            </w:r>
          </w:p>
        </w:tc>
        <w:tc>
          <w:tcPr>
            <w:tcW w:w="907" w:type="dxa"/>
            <w:tcBorders>
              <w:right w:val="single" w:sz="4" w:space="0" w:color="0079C1"/>
            </w:tcBorders>
            <w:shd w:val="clear" w:color="auto" w:fill="FFFFFF" w:themeFill="background1"/>
          </w:tcPr>
          <w:p w14:paraId="76A62589" w14:textId="517B7C42" w:rsidR="004736E9" w:rsidRPr="00C8327F" w:rsidRDefault="004736E9" w:rsidP="00AD2132">
            <w:pPr>
              <w:pStyle w:val="TableTextCentred"/>
              <w:rPr>
                <w:sz w:val="20"/>
                <w:szCs w:val="20"/>
              </w:rPr>
            </w:pPr>
            <w:r w:rsidRPr="00C8327F">
              <w:rPr>
                <w:sz w:val="20"/>
                <w:szCs w:val="20"/>
              </w:rPr>
              <w:t>7.3%</w:t>
            </w:r>
          </w:p>
        </w:tc>
        <w:tc>
          <w:tcPr>
            <w:tcW w:w="907" w:type="dxa"/>
            <w:tcBorders>
              <w:left w:val="single" w:sz="4" w:space="0" w:color="0079C1"/>
            </w:tcBorders>
            <w:shd w:val="clear" w:color="auto" w:fill="FFFFFF" w:themeFill="background1"/>
          </w:tcPr>
          <w:p w14:paraId="5EFAE231" w14:textId="7A95AD40" w:rsidR="004736E9" w:rsidRPr="00C8327F" w:rsidRDefault="004736E9" w:rsidP="00AD2132">
            <w:pPr>
              <w:pStyle w:val="TableTextCentred"/>
              <w:rPr>
                <w:rStyle w:val="Strong"/>
                <w:sz w:val="20"/>
                <w:szCs w:val="20"/>
              </w:rPr>
            </w:pPr>
            <w:r w:rsidRPr="00C8327F">
              <w:rPr>
                <w:rStyle w:val="Strong"/>
                <w:sz w:val="20"/>
                <w:szCs w:val="20"/>
              </w:rPr>
              <w:t>370</w:t>
            </w:r>
          </w:p>
        </w:tc>
        <w:tc>
          <w:tcPr>
            <w:tcW w:w="908" w:type="dxa"/>
            <w:shd w:val="clear" w:color="auto" w:fill="FFFFFF" w:themeFill="background1"/>
          </w:tcPr>
          <w:p w14:paraId="59C46185" w14:textId="5B246AE8" w:rsidR="004736E9" w:rsidRPr="00C8327F" w:rsidRDefault="004736E9" w:rsidP="00AD2132">
            <w:pPr>
              <w:pStyle w:val="TableTextCentred"/>
              <w:rPr>
                <w:rStyle w:val="Strong"/>
                <w:sz w:val="20"/>
                <w:szCs w:val="20"/>
              </w:rPr>
            </w:pPr>
            <w:r w:rsidRPr="00C8327F">
              <w:rPr>
                <w:rStyle w:val="Strong"/>
                <w:sz w:val="20"/>
                <w:szCs w:val="20"/>
              </w:rPr>
              <w:t>9.3%</w:t>
            </w:r>
          </w:p>
        </w:tc>
      </w:tr>
      <w:tr w:rsidR="004736E9" w:rsidRPr="004736E9" w14:paraId="10C7B889" w14:textId="77777777" w:rsidTr="00400687">
        <w:tc>
          <w:tcPr>
            <w:tcW w:w="2134" w:type="dxa"/>
            <w:tcBorders>
              <w:right w:val="single" w:sz="4" w:space="0" w:color="0079C1"/>
            </w:tcBorders>
            <w:shd w:val="clear" w:color="auto" w:fill="E2F4FF" w:themeFill="accent1" w:themeFillTint="33"/>
          </w:tcPr>
          <w:p w14:paraId="2878CCB7" w14:textId="77777777" w:rsidR="004736E9" w:rsidRPr="00C8327F" w:rsidRDefault="004736E9" w:rsidP="00AD2132">
            <w:pPr>
              <w:pStyle w:val="TableText"/>
              <w:rPr>
                <w:rStyle w:val="Strong"/>
                <w:sz w:val="20"/>
                <w:szCs w:val="20"/>
              </w:rPr>
            </w:pPr>
            <w:r w:rsidRPr="00C8327F">
              <w:rPr>
                <w:rStyle w:val="Strong"/>
                <w:sz w:val="20"/>
                <w:szCs w:val="20"/>
              </w:rPr>
              <w:t xml:space="preserve">Total </w:t>
            </w:r>
          </w:p>
        </w:tc>
        <w:tc>
          <w:tcPr>
            <w:tcW w:w="907" w:type="dxa"/>
            <w:tcBorders>
              <w:left w:val="single" w:sz="4" w:space="0" w:color="0079C1"/>
            </w:tcBorders>
            <w:shd w:val="clear" w:color="auto" w:fill="E2F4FF" w:themeFill="accent1" w:themeFillTint="33"/>
          </w:tcPr>
          <w:p w14:paraId="3D525103" w14:textId="16AABFEB" w:rsidR="004736E9" w:rsidRPr="00C8327F" w:rsidRDefault="004736E9" w:rsidP="00AD2132">
            <w:pPr>
              <w:pStyle w:val="TableTextCentred"/>
              <w:rPr>
                <w:rStyle w:val="Strong"/>
                <w:sz w:val="20"/>
                <w:szCs w:val="20"/>
              </w:rPr>
            </w:pPr>
            <w:r w:rsidRPr="00C8327F">
              <w:rPr>
                <w:rStyle w:val="Strong"/>
                <w:sz w:val="20"/>
                <w:szCs w:val="20"/>
              </w:rPr>
              <w:t>2466</w:t>
            </w:r>
          </w:p>
        </w:tc>
        <w:tc>
          <w:tcPr>
            <w:tcW w:w="907" w:type="dxa"/>
            <w:tcBorders>
              <w:right w:val="single" w:sz="4" w:space="0" w:color="0079C1"/>
            </w:tcBorders>
            <w:shd w:val="clear" w:color="auto" w:fill="E2F4FF" w:themeFill="accent1" w:themeFillTint="33"/>
          </w:tcPr>
          <w:p w14:paraId="19FAB356" w14:textId="2F9148C1" w:rsidR="004736E9" w:rsidRPr="00C8327F" w:rsidRDefault="004736E9" w:rsidP="00AD2132">
            <w:pPr>
              <w:pStyle w:val="TableTextCentred"/>
              <w:rPr>
                <w:rStyle w:val="Strong"/>
                <w:sz w:val="20"/>
                <w:szCs w:val="20"/>
              </w:rPr>
            </w:pPr>
            <w:r w:rsidRPr="00C8327F">
              <w:rPr>
                <w:rStyle w:val="Strong"/>
                <w:sz w:val="20"/>
                <w:szCs w:val="20"/>
              </w:rPr>
              <w:t>100.0%</w:t>
            </w:r>
          </w:p>
        </w:tc>
        <w:tc>
          <w:tcPr>
            <w:tcW w:w="907" w:type="dxa"/>
            <w:tcBorders>
              <w:left w:val="single" w:sz="4" w:space="0" w:color="0079C1"/>
            </w:tcBorders>
            <w:shd w:val="clear" w:color="auto" w:fill="E2F4FF" w:themeFill="accent1" w:themeFillTint="33"/>
          </w:tcPr>
          <w:p w14:paraId="41BEBC84" w14:textId="7C96C0AF" w:rsidR="004736E9" w:rsidRPr="00C8327F" w:rsidRDefault="004736E9" w:rsidP="00AD2132">
            <w:pPr>
              <w:pStyle w:val="TableTextCentred"/>
              <w:rPr>
                <w:rStyle w:val="Strong"/>
                <w:sz w:val="20"/>
                <w:szCs w:val="20"/>
              </w:rPr>
            </w:pPr>
            <w:r w:rsidRPr="00C8327F">
              <w:rPr>
                <w:rStyle w:val="Strong"/>
                <w:sz w:val="20"/>
                <w:szCs w:val="20"/>
              </w:rPr>
              <w:t>71</w:t>
            </w:r>
          </w:p>
        </w:tc>
        <w:tc>
          <w:tcPr>
            <w:tcW w:w="907" w:type="dxa"/>
            <w:tcBorders>
              <w:right w:val="single" w:sz="4" w:space="0" w:color="0079C1"/>
            </w:tcBorders>
            <w:shd w:val="clear" w:color="auto" w:fill="E2F4FF" w:themeFill="accent1" w:themeFillTint="33"/>
          </w:tcPr>
          <w:p w14:paraId="4D52D85D" w14:textId="3E6AFB20" w:rsidR="004736E9" w:rsidRPr="00C8327F" w:rsidRDefault="004736E9" w:rsidP="00AD2132">
            <w:pPr>
              <w:pStyle w:val="TableTextCentred"/>
              <w:rPr>
                <w:rStyle w:val="Strong"/>
                <w:sz w:val="20"/>
                <w:szCs w:val="20"/>
              </w:rPr>
            </w:pPr>
            <w:r w:rsidRPr="00C8327F">
              <w:rPr>
                <w:rStyle w:val="Strong"/>
                <w:sz w:val="20"/>
                <w:szCs w:val="20"/>
              </w:rPr>
              <w:t>100.0%</w:t>
            </w:r>
          </w:p>
        </w:tc>
        <w:tc>
          <w:tcPr>
            <w:tcW w:w="907" w:type="dxa"/>
            <w:tcBorders>
              <w:left w:val="single" w:sz="4" w:space="0" w:color="0079C1"/>
            </w:tcBorders>
            <w:shd w:val="clear" w:color="auto" w:fill="E2F4FF" w:themeFill="accent1" w:themeFillTint="33"/>
          </w:tcPr>
          <w:p w14:paraId="7E433B67" w14:textId="51A9E706" w:rsidR="004736E9" w:rsidRPr="00C8327F" w:rsidRDefault="004736E9" w:rsidP="00AD2132">
            <w:pPr>
              <w:pStyle w:val="TableTextCentred"/>
              <w:rPr>
                <w:rStyle w:val="Strong"/>
                <w:sz w:val="20"/>
                <w:szCs w:val="20"/>
              </w:rPr>
            </w:pPr>
            <w:r w:rsidRPr="00C8327F">
              <w:rPr>
                <w:rStyle w:val="Strong"/>
                <w:sz w:val="20"/>
                <w:szCs w:val="20"/>
              </w:rPr>
              <w:t>1435</w:t>
            </w:r>
          </w:p>
        </w:tc>
        <w:tc>
          <w:tcPr>
            <w:tcW w:w="907" w:type="dxa"/>
            <w:tcBorders>
              <w:right w:val="single" w:sz="4" w:space="0" w:color="0079C1"/>
            </w:tcBorders>
            <w:shd w:val="clear" w:color="auto" w:fill="E2F4FF" w:themeFill="accent1" w:themeFillTint="33"/>
          </w:tcPr>
          <w:p w14:paraId="744AD387" w14:textId="7E10A206" w:rsidR="004736E9" w:rsidRPr="00C8327F" w:rsidRDefault="004736E9" w:rsidP="00AD2132">
            <w:pPr>
              <w:pStyle w:val="TableTextCentred"/>
              <w:rPr>
                <w:rStyle w:val="Strong"/>
                <w:sz w:val="20"/>
                <w:szCs w:val="20"/>
              </w:rPr>
            </w:pPr>
            <w:r w:rsidRPr="00C8327F">
              <w:rPr>
                <w:rStyle w:val="Strong"/>
                <w:sz w:val="20"/>
                <w:szCs w:val="20"/>
              </w:rPr>
              <w:t>100.0%</w:t>
            </w:r>
          </w:p>
        </w:tc>
        <w:tc>
          <w:tcPr>
            <w:tcW w:w="907" w:type="dxa"/>
            <w:tcBorders>
              <w:left w:val="single" w:sz="4" w:space="0" w:color="0079C1"/>
            </w:tcBorders>
            <w:shd w:val="clear" w:color="auto" w:fill="E2F4FF" w:themeFill="accent1" w:themeFillTint="33"/>
          </w:tcPr>
          <w:p w14:paraId="75A1DEA5" w14:textId="1FE6E1EC" w:rsidR="004736E9" w:rsidRPr="00C8327F" w:rsidRDefault="004736E9" w:rsidP="00AD2132">
            <w:pPr>
              <w:pStyle w:val="TableTextCentred"/>
              <w:rPr>
                <w:rStyle w:val="Strong"/>
                <w:sz w:val="20"/>
                <w:szCs w:val="20"/>
              </w:rPr>
            </w:pPr>
            <w:r w:rsidRPr="00C8327F">
              <w:rPr>
                <w:rStyle w:val="Strong"/>
                <w:sz w:val="20"/>
                <w:szCs w:val="20"/>
              </w:rPr>
              <w:t>3972</w:t>
            </w:r>
          </w:p>
        </w:tc>
        <w:tc>
          <w:tcPr>
            <w:tcW w:w="908" w:type="dxa"/>
            <w:shd w:val="clear" w:color="auto" w:fill="E2F4FF" w:themeFill="accent1" w:themeFillTint="33"/>
          </w:tcPr>
          <w:p w14:paraId="5DE762D7" w14:textId="7775E25D" w:rsidR="004736E9" w:rsidRPr="00C8327F" w:rsidRDefault="004736E9" w:rsidP="00AD2132">
            <w:pPr>
              <w:pStyle w:val="TableTextCentred"/>
              <w:rPr>
                <w:rStyle w:val="Strong"/>
                <w:sz w:val="20"/>
                <w:szCs w:val="20"/>
              </w:rPr>
            </w:pPr>
            <w:r w:rsidRPr="00C8327F">
              <w:rPr>
                <w:rStyle w:val="Strong"/>
                <w:sz w:val="20"/>
                <w:szCs w:val="20"/>
              </w:rPr>
              <w:t>100.0%</w:t>
            </w:r>
          </w:p>
        </w:tc>
      </w:tr>
    </w:tbl>
    <w:p w14:paraId="215E5D09" w14:textId="77777777" w:rsidR="00C8327F" w:rsidRDefault="00C8327F" w:rsidP="00AD2132">
      <w:pPr>
        <w:pStyle w:val="Paragraph"/>
      </w:pPr>
    </w:p>
    <w:p w14:paraId="58FF1EDC" w14:textId="77777777" w:rsidR="00B43607" w:rsidRPr="00B43607" w:rsidRDefault="00B43607" w:rsidP="00AD2132">
      <w:pPr>
        <w:pStyle w:val="Paragraph"/>
      </w:pPr>
      <w:r w:rsidRPr="00B43607">
        <w:lastRenderedPageBreak/>
        <w:t xml:space="preserve">In the survey, only 36 of the 220 parental respondents (16.4%) indicated they had used both the information line and IAA website, the majority of whom were considering ICA for the first time (26/36, 72.2%).  Given the small number of dual users, service usefulness is assessed for the information line and website separately (see Measures 2a and 2b respectively). </w:t>
      </w:r>
    </w:p>
    <w:p w14:paraId="4E4FB583" w14:textId="6DF431AE" w:rsidR="00B43607" w:rsidRPr="00B43607" w:rsidRDefault="00B43607" w:rsidP="00AD2132">
      <w:pPr>
        <w:pStyle w:val="ParagraphKeep"/>
      </w:pPr>
      <w:r w:rsidRPr="00B43607">
        <w:t xml:space="preserve">All survey respondents </w:t>
      </w:r>
      <w:r w:rsidR="000847AF">
        <w:t xml:space="preserve">(including adoptees and ineligible clients) </w:t>
      </w:r>
      <w:r w:rsidRPr="00B43607">
        <w:t xml:space="preserve">were given an opportunity to list what they considered to be the main benefits of the IAA service.  Of the 148 valid </w:t>
      </w:r>
      <w:r w:rsidR="008F3FA6">
        <w:t xml:space="preserve">free text </w:t>
      </w:r>
      <w:r w:rsidRPr="00B43607">
        <w:t xml:space="preserve">responses provided, the following </w:t>
      </w:r>
      <w:r w:rsidR="000847AF">
        <w:t xml:space="preserve">key </w:t>
      </w:r>
      <w:r w:rsidRPr="00B43607">
        <w:t>benefits were identified:</w:t>
      </w:r>
    </w:p>
    <w:p w14:paraId="62F34964" w14:textId="05702E45" w:rsidR="00B43607" w:rsidRPr="00B43607" w:rsidRDefault="00B43607" w:rsidP="00AD2132">
      <w:pPr>
        <w:pStyle w:val="Bullet1"/>
      </w:pPr>
      <w:r w:rsidRPr="00B43607">
        <w:t xml:space="preserve">The IAA service made it easy </w:t>
      </w:r>
      <w:r w:rsidR="0042751E">
        <w:t>to access information which was</w:t>
      </w:r>
      <w:r w:rsidRPr="00B43607">
        <w:t xml:space="preserve"> reliable, timely and consistent (76</w:t>
      </w:r>
      <w:r w:rsidR="00BF4784">
        <w:t>/148</w:t>
      </w:r>
      <w:r w:rsidRPr="00B43607">
        <w:t>, 51.4%)</w:t>
      </w:r>
    </w:p>
    <w:p w14:paraId="2A536343" w14:textId="62ACB569" w:rsidR="00B43607" w:rsidRPr="00B43607" w:rsidRDefault="00B43607" w:rsidP="00AD2132">
      <w:pPr>
        <w:pStyle w:val="Bullet1"/>
      </w:pPr>
      <w:r w:rsidRPr="00B43607">
        <w:t>IAA was beneficial as an additional support (24</w:t>
      </w:r>
      <w:r w:rsidR="00BF4784">
        <w:t>/148</w:t>
      </w:r>
      <w:r w:rsidRPr="00B43607">
        <w:t xml:space="preserve">, 16.2%) </w:t>
      </w:r>
    </w:p>
    <w:p w14:paraId="5C13C453" w14:textId="722D2FA4" w:rsidR="00B43607" w:rsidRPr="00B43607" w:rsidRDefault="00B43607" w:rsidP="00AD2132">
      <w:pPr>
        <w:pStyle w:val="Bullet1"/>
      </w:pPr>
      <w:r w:rsidRPr="00B43607">
        <w:t>IAA was valued as an independent agency, providing respondents with someone t</w:t>
      </w:r>
      <w:r w:rsidR="000847AF">
        <w:t xml:space="preserve">o talk to other than their STCA </w:t>
      </w:r>
      <w:r w:rsidRPr="00B43607">
        <w:t>(9</w:t>
      </w:r>
      <w:r w:rsidR="00BF4784">
        <w:t>/148</w:t>
      </w:r>
      <w:r w:rsidRPr="00B43607">
        <w:t xml:space="preserve">, 6.1%). </w:t>
      </w:r>
    </w:p>
    <w:tbl>
      <w:tblPr>
        <w:tblStyle w:val="TableGrid"/>
        <w:tblW w:w="9349" w:type="dxa"/>
        <w:tblInd w:w="108" w:type="dxa"/>
        <w:tblBorders>
          <w:top w:val="single" w:sz="4" w:space="0" w:color="0079C1" w:themeColor="text2"/>
          <w:left w:val="single" w:sz="4" w:space="0" w:color="0079C1" w:themeColor="text2"/>
          <w:bottom w:val="single" w:sz="4" w:space="0" w:color="0079C1" w:themeColor="text2"/>
          <w:right w:val="single" w:sz="4" w:space="0" w:color="0079C1" w:themeColor="text2"/>
          <w:insideH w:val="none" w:sz="0" w:space="0" w:color="auto"/>
          <w:insideV w:val="none" w:sz="0" w:space="0" w:color="auto"/>
        </w:tblBorders>
        <w:shd w:val="clear" w:color="auto" w:fill="E2F4FF" w:themeFill="accent1" w:themeFillTint="33"/>
        <w:tblLook w:val="04A0" w:firstRow="1" w:lastRow="0" w:firstColumn="1" w:lastColumn="0" w:noHBand="0" w:noVBand="1"/>
        <w:tblCaption w:val="Key findings:"/>
        <w:tblDescription w:val="Key findings:&#10;• 61.5% of all IAA clients were categorised as having had their query resolved and only 1.8% were categorised as not being resolved.  This surrogate measure suggests high levels of satisfaction with the service overall&#10;• The absence of clear objective measures of client satisfaction limits the assessment of client satisfaction based on Sharepoint client data&#10;• Survey respondents’ perceptions of the usefulness of IAA was evident in the range of benefits listed, which included IAA providing:&#10; Easy access to information&#10; Additional support &#10; An independent agency to talk with. &#10;"/>
      </w:tblPr>
      <w:tblGrid>
        <w:gridCol w:w="9349"/>
      </w:tblGrid>
      <w:tr w:rsidR="00B43607" w:rsidRPr="00B43607" w14:paraId="7CEA0EB5" w14:textId="77777777" w:rsidTr="004E43C8">
        <w:trPr>
          <w:cantSplit/>
          <w:tblHeader/>
        </w:trPr>
        <w:tc>
          <w:tcPr>
            <w:tcW w:w="9349" w:type="dxa"/>
            <w:shd w:val="clear" w:color="auto" w:fill="E2F4FF" w:themeFill="accent1" w:themeFillTint="33"/>
          </w:tcPr>
          <w:p w14:paraId="2F05E0A1" w14:textId="77777777" w:rsidR="00B43607" w:rsidRPr="008A1452" w:rsidRDefault="00B43607" w:rsidP="005762AD">
            <w:pPr>
              <w:pStyle w:val="Heading4"/>
              <w:outlineLvl w:val="3"/>
              <w:rPr>
                <w:color w:val="auto"/>
                <w:lang w:val="en-AU"/>
              </w:rPr>
            </w:pPr>
            <w:r w:rsidRPr="008A1452">
              <w:rPr>
                <w:color w:val="auto"/>
                <w:lang w:val="en-AU"/>
              </w:rPr>
              <w:t>Key findings:</w:t>
            </w:r>
          </w:p>
          <w:p w14:paraId="0F8754A3" w14:textId="1A335C80" w:rsidR="00B43607" w:rsidRPr="00B43607" w:rsidRDefault="00536B04" w:rsidP="005762AD">
            <w:pPr>
              <w:pStyle w:val="Bullet1"/>
              <w:rPr>
                <w:lang w:val="en-AU"/>
              </w:rPr>
            </w:pPr>
            <w:r>
              <w:rPr>
                <w:lang w:val="en-AU"/>
              </w:rPr>
              <w:t>61.5</w:t>
            </w:r>
            <w:r w:rsidR="00B43607" w:rsidRPr="00B43607">
              <w:rPr>
                <w:lang w:val="en-AU"/>
              </w:rPr>
              <w:t>% of all</w:t>
            </w:r>
            <w:r w:rsidR="000847AF">
              <w:rPr>
                <w:lang w:val="en-AU"/>
              </w:rPr>
              <w:t xml:space="preserve"> IAA client</w:t>
            </w:r>
            <w:r w:rsidR="00311DED">
              <w:rPr>
                <w:lang w:val="en-AU"/>
              </w:rPr>
              <w:t xml:space="preserve">s </w:t>
            </w:r>
            <w:r w:rsidR="00352B7D">
              <w:rPr>
                <w:lang w:val="en-AU"/>
              </w:rPr>
              <w:t xml:space="preserve">were categorised as having had </w:t>
            </w:r>
            <w:r w:rsidR="005964F6">
              <w:rPr>
                <w:lang w:val="en-AU"/>
              </w:rPr>
              <w:t>their query</w:t>
            </w:r>
            <w:r w:rsidR="00352B7D">
              <w:rPr>
                <w:lang w:val="en-AU"/>
              </w:rPr>
              <w:t xml:space="preserve"> resolved and </w:t>
            </w:r>
            <w:r w:rsidR="00352B7D" w:rsidRPr="00B43607">
              <w:rPr>
                <w:lang w:val="en-AU"/>
              </w:rPr>
              <w:t>only</w:t>
            </w:r>
            <w:r w:rsidR="00B43607" w:rsidRPr="00B43607">
              <w:rPr>
                <w:lang w:val="en-AU"/>
              </w:rPr>
              <w:t xml:space="preserve"> 1.8% were categorised as</w:t>
            </w:r>
            <w:r w:rsidR="00352B7D">
              <w:rPr>
                <w:lang w:val="en-AU"/>
              </w:rPr>
              <w:t xml:space="preserve"> no</w:t>
            </w:r>
            <w:r w:rsidR="005964F6">
              <w:rPr>
                <w:lang w:val="en-AU"/>
              </w:rPr>
              <w:t>t being resolved</w:t>
            </w:r>
            <w:r w:rsidR="00352B7D">
              <w:rPr>
                <w:lang w:val="en-AU"/>
              </w:rPr>
              <w:t xml:space="preserve">.  This surrogate measure suggests </w:t>
            </w:r>
            <w:r w:rsidR="00B43607" w:rsidRPr="00B43607">
              <w:rPr>
                <w:lang w:val="en-AU"/>
              </w:rPr>
              <w:t>high levels of satisfaction with the service overall</w:t>
            </w:r>
          </w:p>
          <w:p w14:paraId="55C6A404" w14:textId="492CB5BD" w:rsidR="00B43607" w:rsidRPr="00B43607" w:rsidRDefault="00B43607" w:rsidP="005762AD">
            <w:pPr>
              <w:pStyle w:val="Bullet1"/>
              <w:rPr>
                <w:lang w:val="en-AU"/>
              </w:rPr>
            </w:pPr>
            <w:r w:rsidRPr="00B43607">
              <w:rPr>
                <w:lang w:val="en-AU"/>
              </w:rPr>
              <w:t xml:space="preserve">The absence of clear objective measures of client satisfaction limits the assessment of client satisfaction based on </w:t>
            </w:r>
            <w:r w:rsidR="00220EB5">
              <w:rPr>
                <w:lang w:val="en-AU"/>
              </w:rPr>
              <w:t xml:space="preserve">Sharepoint </w:t>
            </w:r>
            <w:r w:rsidRPr="00B43607">
              <w:rPr>
                <w:lang w:val="en-AU"/>
              </w:rPr>
              <w:t>client data</w:t>
            </w:r>
          </w:p>
          <w:p w14:paraId="408F0D23" w14:textId="1771F114" w:rsidR="00B43607" w:rsidRPr="00B43607" w:rsidRDefault="00B43607" w:rsidP="005762AD">
            <w:pPr>
              <w:pStyle w:val="Bullet1"/>
              <w:rPr>
                <w:lang w:val="en-AU"/>
              </w:rPr>
            </w:pPr>
            <w:r w:rsidRPr="00B43607">
              <w:t xml:space="preserve">Survey respondents’ perceptions of the usefulness of IAA was evident </w:t>
            </w:r>
            <w:r w:rsidRPr="00B43607">
              <w:rPr>
                <w:lang w:val="en-AU"/>
              </w:rPr>
              <w:t>in the range of benefits listed, which included IAA providing:</w:t>
            </w:r>
          </w:p>
          <w:p w14:paraId="4AF7CFD5" w14:textId="77777777" w:rsidR="00B43607" w:rsidRPr="00B43607" w:rsidRDefault="00B43607" w:rsidP="00EF341C">
            <w:pPr>
              <w:pStyle w:val="Bullet2"/>
              <w:rPr>
                <w:lang w:val="en-AU"/>
              </w:rPr>
            </w:pPr>
            <w:r w:rsidRPr="00B43607">
              <w:rPr>
                <w:lang w:val="en-AU"/>
              </w:rPr>
              <w:t>Easy access to information</w:t>
            </w:r>
          </w:p>
          <w:p w14:paraId="1FECE93C" w14:textId="77777777" w:rsidR="00B43607" w:rsidRPr="00B43607" w:rsidRDefault="00B43607" w:rsidP="00EF341C">
            <w:pPr>
              <w:pStyle w:val="Bullet2"/>
              <w:rPr>
                <w:lang w:val="en-AU"/>
              </w:rPr>
            </w:pPr>
            <w:r w:rsidRPr="00B43607">
              <w:rPr>
                <w:lang w:val="en-AU"/>
              </w:rPr>
              <w:t xml:space="preserve">Additional support </w:t>
            </w:r>
          </w:p>
          <w:p w14:paraId="5EBC67E1" w14:textId="77777777" w:rsidR="00B43607" w:rsidRPr="00B43607" w:rsidRDefault="00B43607" w:rsidP="00EF341C">
            <w:pPr>
              <w:pStyle w:val="Bullet2"/>
              <w:rPr>
                <w:lang w:val="en-AU"/>
              </w:rPr>
            </w:pPr>
            <w:r w:rsidRPr="00B43607">
              <w:rPr>
                <w:lang w:val="en-AU"/>
              </w:rPr>
              <w:t xml:space="preserve">An independent agency to talk with. </w:t>
            </w:r>
          </w:p>
        </w:tc>
      </w:tr>
    </w:tbl>
    <w:p w14:paraId="3E013A9E" w14:textId="43CC7D0E" w:rsidR="00B43607" w:rsidRPr="00B43607" w:rsidRDefault="00B43607" w:rsidP="00C23A9A">
      <w:pPr>
        <w:pStyle w:val="Heading4"/>
      </w:pPr>
      <w:r w:rsidRPr="00B43607">
        <w:t>Measure 2a:  Of all the people who access</w:t>
      </w:r>
      <w:r w:rsidR="001E573E">
        <w:t>ed</w:t>
      </w:r>
      <w:r w:rsidRPr="00B43607">
        <w:t xml:space="preserve"> the service at least 80% report satisfaction with the information provided</w:t>
      </w:r>
    </w:p>
    <w:p w14:paraId="50329B8F" w14:textId="77777777" w:rsidR="00B43607" w:rsidRPr="00B43607" w:rsidRDefault="00B43607" w:rsidP="00C23A9A">
      <w:pPr>
        <w:pStyle w:val="ParagraphKeep"/>
      </w:pPr>
      <w:r w:rsidRPr="00B43607">
        <w:t>In the survey, a total of 41 parental respondents indicated that they had used the IAA information line.  Of these:</w:t>
      </w:r>
    </w:p>
    <w:p w14:paraId="4086A6D3" w14:textId="77777777" w:rsidR="00B43607" w:rsidRPr="00B43607" w:rsidRDefault="00B43607" w:rsidP="00C23A9A">
      <w:pPr>
        <w:pStyle w:val="Bullet1"/>
      </w:pPr>
      <w:r w:rsidRPr="00B43607">
        <w:t>37 were wanting to adopt, either for the first time or as repeat adoptive parents</w:t>
      </w:r>
    </w:p>
    <w:p w14:paraId="08BAB962" w14:textId="76FE0BE9" w:rsidR="00B43607" w:rsidRPr="00B43607" w:rsidRDefault="0042751E" w:rsidP="00C23A9A">
      <w:pPr>
        <w:pStyle w:val="Bullet1"/>
      </w:pPr>
      <w:r>
        <w:t xml:space="preserve">Two </w:t>
      </w:r>
      <w:r w:rsidR="00B43607" w:rsidRPr="00B43607">
        <w:t>were in the post adoption phase</w:t>
      </w:r>
    </w:p>
    <w:p w14:paraId="7E669813" w14:textId="65EC8DEE" w:rsidR="00B43607" w:rsidRPr="00B43607" w:rsidRDefault="0042751E" w:rsidP="00C23A9A">
      <w:pPr>
        <w:pStyle w:val="Bullet1"/>
      </w:pPr>
      <w:r>
        <w:t>Two</w:t>
      </w:r>
      <w:r w:rsidR="00B43607" w:rsidRPr="00B43607">
        <w:t xml:space="preserve"> had considered adopting </w:t>
      </w:r>
      <w:r w:rsidR="00A370C5">
        <w:t>but had decided not to continue.</w:t>
      </w:r>
    </w:p>
    <w:p w14:paraId="40E508F0" w14:textId="1DDB86CF" w:rsidR="00B43607" w:rsidRPr="00B43607" w:rsidRDefault="00B43607" w:rsidP="00C23A9A">
      <w:pPr>
        <w:pStyle w:val="Paragraph"/>
      </w:pPr>
      <w:r w:rsidRPr="00B43607">
        <w:t xml:space="preserve">In addition to these parental respondents, </w:t>
      </w:r>
      <w:r w:rsidR="000847AF">
        <w:t>two</w:t>
      </w:r>
      <w:r w:rsidRPr="00B43607">
        <w:t xml:space="preserve"> adult adoptees also responded to the information line usage questions.  Responses for the latter are not included in</w:t>
      </w:r>
      <w:r w:rsidRPr="00B43607">
        <w:rPr>
          <w:i/>
          <w:iCs/>
        </w:rPr>
        <w:t xml:space="preserve"> </w:t>
      </w:r>
      <w:r w:rsidRPr="00B43607">
        <w:rPr>
          <w:i/>
          <w:iCs/>
        </w:rPr>
        <w:fldChar w:fldCharType="begin"/>
      </w:r>
      <w:r w:rsidRPr="00B43607">
        <w:rPr>
          <w:i/>
          <w:iCs/>
        </w:rPr>
        <w:instrText xml:space="preserve"> REF _Ref462823346 \h  \* MERGEFORMAT </w:instrText>
      </w:r>
      <w:r w:rsidRPr="00B43607">
        <w:rPr>
          <w:i/>
          <w:iCs/>
        </w:rPr>
      </w:r>
      <w:r w:rsidRPr="00B43607">
        <w:rPr>
          <w:i/>
          <w:iCs/>
        </w:rPr>
        <w:fldChar w:fldCharType="separate"/>
      </w:r>
      <w:r w:rsidR="00487073" w:rsidRPr="00487073">
        <w:rPr>
          <w:i/>
          <w:iCs/>
        </w:rPr>
        <w:t>Table 5</w:t>
      </w:r>
      <w:r w:rsidR="00487073" w:rsidRPr="00487073">
        <w:rPr>
          <w:i/>
          <w:iCs/>
        </w:rPr>
        <w:noBreakHyphen/>
        <w:t>9</w:t>
      </w:r>
      <w:r w:rsidRPr="00B43607">
        <w:rPr>
          <w:i/>
          <w:iCs/>
        </w:rPr>
        <w:fldChar w:fldCharType="end"/>
      </w:r>
      <w:r w:rsidRPr="00B43607">
        <w:rPr>
          <w:iCs/>
        </w:rPr>
        <w:t xml:space="preserve"> </w:t>
      </w:r>
      <w:r w:rsidRPr="00B43607">
        <w:t xml:space="preserve">and are discussed separately later in this section.  </w:t>
      </w:r>
    </w:p>
    <w:p w14:paraId="2D94B8BA" w14:textId="718450E0" w:rsidR="002F6F1C" w:rsidRDefault="00B43607" w:rsidP="00C23A9A">
      <w:pPr>
        <w:pStyle w:val="Paragraph"/>
        <w:rPr>
          <w:lang w:eastAsia="en-AU"/>
        </w:rPr>
      </w:pPr>
      <w:bookmarkStart w:id="99" w:name="_Hlk490122376"/>
      <w:r w:rsidRPr="00B43607">
        <w:rPr>
          <w:lang w:eastAsia="en-AU"/>
        </w:rPr>
        <w:t xml:space="preserve">Overall, </w:t>
      </w:r>
      <w:r w:rsidR="00173E19">
        <w:rPr>
          <w:lang w:eastAsia="en-AU"/>
        </w:rPr>
        <w:t>almost</w:t>
      </w:r>
      <w:r w:rsidRPr="00B43607">
        <w:rPr>
          <w:lang w:eastAsia="en-AU"/>
        </w:rPr>
        <w:t xml:space="preserve"> one in five of all parental respondents (</w:t>
      </w:r>
      <w:r w:rsidR="00173E19">
        <w:rPr>
          <w:lang w:eastAsia="en-AU"/>
        </w:rPr>
        <w:t>42/220, 19.1</w:t>
      </w:r>
      <w:r w:rsidRPr="00B43607">
        <w:rPr>
          <w:lang w:eastAsia="en-AU"/>
        </w:rPr>
        <w:t>%) indicated that they had used the 1800 information line (</w:t>
      </w:r>
      <w:r w:rsidRPr="00B43607">
        <w:rPr>
          <w:i/>
          <w:iCs/>
        </w:rPr>
        <w:fldChar w:fldCharType="begin"/>
      </w:r>
      <w:r w:rsidRPr="00B43607">
        <w:rPr>
          <w:i/>
          <w:iCs/>
        </w:rPr>
        <w:instrText xml:space="preserve"> REF _Ref462823346 \h  \* MERGEFORMAT </w:instrText>
      </w:r>
      <w:r w:rsidRPr="00B43607">
        <w:rPr>
          <w:i/>
          <w:iCs/>
        </w:rPr>
      </w:r>
      <w:r w:rsidRPr="00B43607">
        <w:rPr>
          <w:i/>
          <w:iCs/>
        </w:rPr>
        <w:fldChar w:fldCharType="separate"/>
      </w:r>
      <w:r w:rsidR="00487073" w:rsidRPr="00487073">
        <w:rPr>
          <w:i/>
          <w:iCs/>
        </w:rPr>
        <w:t>Table 5</w:t>
      </w:r>
      <w:r w:rsidR="00487073" w:rsidRPr="00487073">
        <w:rPr>
          <w:i/>
          <w:iCs/>
        </w:rPr>
        <w:noBreakHyphen/>
        <w:t>9</w:t>
      </w:r>
      <w:r w:rsidRPr="00B43607">
        <w:rPr>
          <w:i/>
          <w:iCs/>
        </w:rPr>
        <w:fldChar w:fldCharType="end"/>
      </w:r>
      <w:r w:rsidR="000E6A08">
        <w:rPr>
          <w:i/>
          <w:iCs/>
        </w:rPr>
        <w:t>)</w:t>
      </w:r>
      <w:r w:rsidRPr="00B43607">
        <w:rPr>
          <w:lang w:eastAsia="en-AU"/>
        </w:rPr>
        <w:t xml:space="preserve">.  </w:t>
      </w:r>
      <w:bookmarkEnd w:id="99"/>
      <w:r w:rsidRPr="00B43607">
        <w:rPr>
          <w:lang w:eastAsia="en-AU"/>
        </w:rPr>
        <w:t>Those wanting to adopt for the first time accounted for the greatest proportion of information line users</w:t>
      </w:r>
      <w:r w:rsidR="00311DED">
        <w:rPr>
          <w:lang w:eastAsia="en-AU"/>
        </w:rPr>
        <w:t xml:space="preserve"> (</w:t>
      </w:r>
      <w:r w:rsidR="00173E19">
        <w:rPr>
          <w:lang w:eastAsia="en-AU"/>
        </w:rPr>
        <w:t>31</w:t>
      </w:r>
      <w:r w:rsidR="003C5204">
        <w:rPr>
          <w:lang w:eastAsia="en-AU"/>
        </w:rPr>
        <w:t>/</w:t>
      </w:r>
      <w:r w:rsidR="00173E19">
        <w:rPr>
          <w:lang w:eastAsia="en-AU"/>
        </w:rPr>
        <w:t>42</w:t>
      </w:r>
      <w:r w:rsidR="00AC4063">
        <w:rPr>
          <w:lang w:eastAsia="en-AU"/>
        </w:rPr>
        <w:t xml:space="preserve">, </w:t>
      </w:r>
      <w:r w:rsidR="00173E19">
        <w:rPr>
          <w:lang w:eastAsia="en-AU"/>
        </w:rPr>
        <w:t>73.8</w:t>
      </w:r>
      <w:r w:rsidR="0018795A">
        <w:rPr>
          <w:lang w:eastAsia="en-AU"/>
        </w:rPr>
        <w:t>%</w:t>
      </w:r>
      <w:r w:rsidR="00311DED">
        <w:rPr>
          <w:lang w:eastAsia="en-AU"/>
        </w:rPr>
        <w:t>)</w:t>
      </w:r>
      <w:r w:rsidRPr="00B43607">
        <w:rPr>
          <w:lang w:eastAsia="en-AU"/>
        </w:rPr>
        <w:t xml:space="preserve">. </w:t>
      </w:r>
    </w:p>
    <w:p w14:paraId="2F234F41" w14:textId="77777777" w:rsidR="002F6F1C" w:rsidRDefault="002F6F1C">
      <w:pPr>
        <w:rPr>
          <w:lang w:eastAsia="en-AU"/>
        </w:rPr>
      </w:pPr>
      <w:r>
        <w:rPr>
          <w:lang w:eastAsia="en-AU"/>
        </w:rPr>
        <w:br w:type="page"/>
      </w:r>
    </w:p>
    <w:p w14:paraId="3D7F93BC" w14:textId="15456A24" w:rsidR="00B43607" w:rsidRPr="00B43607" w:rsidRDefault="00B43607" w:rsidP="00C23A9A">
      <w:pPr>
        <w:pStyle w:val="Caption"/>
      </w:pPr>
      <w:bookmarkStart w:id="100" w:name="_Ref462823346"/>
      <w:bookmarkStart w:id="101" w:name="_Toc490481659"/>
      <w:bookmarkStart w:id="102" w:name="_Hlk489547253"/>
      <w:bookmarkStart w:id="103" w:name="_Hlk489620195"/>
      <w:r w:rsidRPr="00B43607">
        <w:lastRenderedPageBreak/>
        <w:t xml:space="preserve">Table </w:t>
      </w:r>
      <w:r w:rsidR="00644B63">
        <w:fldChar w:fldCharType="begin"/>
      </w:r>
      <w:r w:rsidR="00644B63">
        <w:instrText xml:space="preserve"> STYLEREF 1 \s </w:instrText>
      </w:r>
      <w:r w:rsidR="00644B63">
        <w:fldChar w:fldCharType="separate"/>
      </w:r>
      <w:r w:rsidR="00487073">
        <w:rPr>
          <w:noProof/>
        </w:rPr>
        <w:t>5</w:t>
      </w:r>
      <w:r w:rsidR="00644B63">
        <w:fldChar w:fldCharType="end"/>
      </w:r>
      <w:r w:rsidR="00644B63">
        <w:noBreakHyphen/>
      </w:r>
      <w:r w:rsidR="00644B63">
        <w:fldChar w:fldCharType="begin"/>
      </w:r>
      <w:r w:rsidR="00644B63">
        <w:instrText xml:space="preserve"> SEQ Table \* ARABIC \s 1 </w:instrText>
      </w:r>
      <w:r w:rsidR="00644B63">
        <w:fldChar w:fldCharType="separate"/>
      </w:r>
      <w:r w:rsidR="00487073">
        <w:rPr>
          <w:noProof/>
        </w:rPr>
        <w:t>9</w:t>
      </w:r>
      <w:r w:rsidR="00644B63">
        <w:fldChar w:fldCharType="end"/>
      </w:r>
      <w:bookmarkEnd w:id="100"/>
      <w:r w:rsidRPr="00B43607">
        <w:t>:</w:t>
      </w:r>
      <w:r w:rsidR="00E07D8E">
        <w:tab/>
      </w:r>
      <w:r w:rsidR="003C5204">
        <w:t>Parental r</w:t>
      </w:r>
      <w:r w:rsidR="000E6A08">
        <w:t>espondents' usage of IAA’s</w:t>
      </w:r>
      <w:r w:rsidRPr="00B43607">
        <w:t xml:space="preserve"> information line</w:t>
      </w:r>
      <w:bookmarkEnd w:id="101"/>
    </w:p>
    <w:tbl>
      <w:tblPr>
        <w:tblStyle w:val="TableGrid10"/>
        <w:tblW w:w="9248" w:type="dxa"/>
        <w:tblInd w:w="108"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Description w:val="Table 5 9: Parental respondents' usage of IAA’s information line"/>
      </w:tblPr>
      <w:tblGrid>
        <w:gridCol w:w="1276"/>
        <w:gridCol w:w="709"/>
        <w:gridCol w:w="992"/>
        <w:gridCol w:w="578"/>
        <w:gridCol w:w="981"/>
        <w:gridCol w:w="510"/>
        <w:gridCol w:w="952"/>
        <w:gridCol w:w="620"/>
        <w:gridCol w:w="871"/>
        <w:gridCol w:w="751"/>
        <w:gridCol w:w="1008"/>
      </w:tblGrid>
      <w:tr w:rsidR="00B43607" w:rsidRPr="002F6F1C" w14:paraId="727DD049" w14:textId="77777777" w:rsidTr="008E7495">
        <w:trPr>
          <w:tblHeader/>
        </w:trPr>
        <w:tc>
          <w:tcPr>
            <w:tcW w:w="1276" w:type="dxa"/>
            <w:vMerge w:val="restart"/>
            <w:tcBorders>
              <w:top w:val="single" w:sz="4" w:space="0" w:color="0079C1" w:themeColor="text2"/>
              <w:bottom w:val="single" w:sz="4" w:space="0" w:color="BFE7FF" w:themeColor="text2" w:themeTint="33"/>
            </w:tcBorders>
            <w:shd w:val="clear" w:color="auto" w:fill="0079C1" w:themeFill="text2"/>
            <w:vAlign w:val="center"/>
          </w:tcPr>
          <w:p w14:paraId="625356CE" w14:textId="77777777" w:rsidR="00B43607" w:rsidRPr="00C8327F" w:rsidRDefault="00B43607" w:rsidP="00C23A9A">
            <w:pPr>
              <w:pStyle w:val="TableHeading1"/>
              <w:rPr>
                <w:sz w:val="20"/>
              </w:rPr>
            </w:pPr>
            <w:r w:rsidRPr="00C8327F">
              <w:rPr>
                <w:sz w:val="20"/>
              </w:rPr>
              <w:t>Information line usage</w:t>
            </w:r>
          </w:p>
        </w:tc>
        <w:tc>
          <w:tcPr>
            <w:tcW w:w="3260" w:type="dxa"/>
            <w:gridSpan w:val="4"/>
            <w:tcBorders>
              <w:top w:val="single" w:sz="4" w:space="0" w:color="0079C1" w:themeColor="text2"/>
              <w:bottom w:val="single" w:sz="4" w:space="0" w:color="BFE7FF" w:themeColor="text2" w:themeTint="33"/>
            </w:tcBorders>
            <w:shd w:val="clear" w:color="auto" w:fill="0079C1" w:themeFill="text2"/>
          </w:tcPr>
          <w:p w14:paraId="32360FED" w14:textId="77777777" w:rsidR="00B43607" w:rsidRPr="00C8327F" w:rsidRDefault="00B43607" w:rsidP="00C23A9A">
            <w:pPr>
              <w:pStyle w:val="TableHeading1Centred"/>
              <w:rPr>
                <w:sz w:val="20"/>
              </w:rPr>
            </w:pPr>
            <w:r w:rsidRPr="00C8327F">
              <w:rPr>
                <w:sz w:val="20"/>
              </w:rPr>
              <w:t>Wanting to adopt</w:t>
            </w:r>
          </w:p>
        </w:tc>
        <w:tc>
          <w:tcPr>
            <w:tcW w:w="1462" w:type="dxa"/>
            <w:gridSpan w:val="2"/>
            <w:vMerge w:val="restart"/>
            <w:tcBorders>
              <w:top w:val="single" w:sz="4" w:space="0" w:color="0079C1" w:themeColor="text2"/>
              <w:bottom w:val="single" w:sz="4" w:space="0" w:color="BFE7FF" w:themeColor="text2" w:themeTint="33"/>
            </w:tcBorders>
            <w:shd w:val="clear" w:color="auto" w:fill="0079C1" w:themeFill="text2"/>
            <w:vAlign w:val="center"/>
          </w:tcPr>
          <w:p w14:paraId="5F0DD0EF" w14:textId="77777777" w:rsidR="00B43607" w:rsidRPr="00C8327F" w:rsidRDefault="00B43607" w:rsidP="00C23A9A">
            <w:pPr>
              <w:pStyle w:val="TableHeading1Centred"/>
              <w:rPr>
                <w:sz w:val="20"/>
              </w:rPr>
            </w:pPr>
            <w:r w:rsidRPr="00C8327F">
              <w:rPr>
                <w:sz w:val="20"/>
              </w:rPr>
              <w:t>Post adoption</w:t>
            </w:r>
          </w:p>
        </w:tc>
        <w:tc>
          <w:tcPr>
            <w:tcW w:w="1491" w:type="dxa"/>
            <w:gridSpan w:val="2"/>
            <w:vMerge w:val="restart"/>
            <w:tcBorders>
              <w:top w:val="single" w:sz="4" w:space="0" w:color="0079C1" w:themeColor="text2"/>
              <w:bottom w:val="single" w:sz="4" w:space="0" w:color="BFE7FF" w:themeColor="text2" w:themeTint="33"/>
            </w:tcBorders>
            <w:shd w:val="clear" w:color="auto" w:fill="0079C1" w:themeFill="text2"/>
            <w:vAlign w:val="center"/>
          </w:tcPr>
          <w:p w14:paraId="301558DC" w14:textId="77777777" w:rsidR="00B43607" w:rsidRPr="00C8327F" w:rsidRDefault="00B43607" w:rsidP="00C23A9A">
            <w:pPr>
              <w:pStyle w:val="TableHeading1Centred"/>
              <w:rPr>
                <w:sz w:val="20"/>
              </w:rPr>
            </w:pPr>
            <w:r w:rsidRPr="00C8327F">
              <w:rPr>
                <w:sz w:val="20"/>
              </w:rPr>
              <w:t>Did not continue</w:t>
            </w:r>
          </w:p>
        </w:tc>
        <w:tc>
          <w:tcPr>
            <w:tcW w:w="1759" w:type="dxa"/>
            <w:gridSpan w:val="2"/>
            <w:vMerge w:val="restart"/>
            <w:tcBorders>
              <w:top w:val="single" w:sz="4" w:space="0" w:color="0079C1" w:themeColor="text2"/>
              <w:bottom w:val="single" w:sz="4" w:space="0" w:color="BFE7FF" w:themeColor="text2" w:themeTint="33"/>
            </w:tcBorders>
            <w:shd w:val="clear" w:color="auto" w:fill="0079C1" w:themeFill="text2"/>
            <w:vAlign w:val="center"/>
          </w:tcPr>
          <w:p w14:paraId="3DFEC950" w14:textId="77777777" w:rsidR="00B43607" w:rsidRPr="00C8327F" w:rsidRDefault="00B43607" w:rsidP="00C23A9A">
            <w:pPr>
              <w:pStyle w:val="TableHeading1Centred"/>
              <w:rPr>
                <w:sz w:val="20"/>
              </w:rPr>
            </w:pPr>
            <w:r w:rsidRPr="00C8327F">
              <w:rPr>
                <w:sz w:val="20"/>
              </w:rPr>
              <w:t>Total</w:t>
            </w:r>
          </w:p>
        </w:tc>
      </w:tr>
      <w:tr w:rsidR="00B43607" w:rsidRPr="00B43607" w14:paraId="52671A7A" w14:textId="77777777" w:rsidTr="008E7495">
        <w:trPr>
          <w:tblHeader/>
        </w:trPr>
        <w:tc>
          <w:tcPr>
            <w:tcW w:w="1276" w:type="dxa"/>
            <w:vMerge/>
            <w:tcBorders>
              <w:top w:val="single" w:sz="4" w:space="0" w:color="BFE7FF" w:themeColor="text2" w:themeTint="33"/>
              <w:bottom w:val="single" w:sz="4" w:space="0" w:color="BFE7FF" w:themeColor="text2" w:themeTint="33"/>
              <w:right w:val="single" w:sz="4" w:space="0" w:color="BFE7FF" w:themeColor="text2" w:themeTint="33"/>
            </w:tcBorders>
            <w:shd w:val="clear" w:color="auto" w:fill="0079C1" w:themeFill="text2"/>
          </w:tcPr>
          <w:p w14:paraId="5FAC72A2" w14:textId="77777777" w:rsidR="00B43607" w:rsidRPr="00C8327F" w:rsidRDefault="00B43607" w:rsidP="00C23A9A">
            <w:pPr>
              <w:pStyle w:val="TableText"/>
              <w:rPr>
                <w:sz w:val="20"/>
                <w:szCs w:val="20"/>
                <w:lang w:eastAsia="en-AU"/>
              </w:rPr>
            </w:pPr>
          </w:p>
        </w:tc>
        <w:tc>
          <w:tcPr>
            <w:tcW w:w="1701" w:type="dxa"/>
            <w:gridSpan w:val="2"/>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shd w:val="clear" w:color="auto" w:fill="0079C1" w:themeFill="text2"/>
          </w:tcPr>
          <w:p w14:paraId="75B6A344" w14:textId="77777777" w:rsidR="00B43607" w:rsidRPr="00C8327F" w:rsidRDefault="00B43607" w:rsidP="00C23A9A">
            <w:pPr>
              <w:pStyle w:val="TableHeading1Centred"/>
              <w:rPr>
                <w:sz w:val="20"/>
              </w:rPr>
            </w:pPr>
            <w:r w:rsidRPr="00C8327F">
              <w:rPr>
                <w:sz w:val="20"/>
              </w:rPr>
              <w:t>First time</w:t>
            </w:r>
          </w:p>
        </w:tc>
        <w:tc>
          <w:tcPr>
            <w:tcW w:w="1559" w:type="dxa"/>
            <w:gridSpan w:val="2"/>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shd w:val="clear" w:color="auto" w:fill="0079C1" w:themeFill="text2"/>
          </w:tcPr>
          <w:p w14:paraId="7AA24F8D" w14:textId="77777777" w:rsidR="00B43607" w:rsidRPr="00C8327F" w:rsidRDefault="00B43607" w:rsidP="00C23A9A">
            <w:pPr>
              <w:pStyle w:val="TableHeading1Centred"/>
              <w:rPr>
                <w:sz w:val="20"/>
              </w:rPr>
            </w:pPr>
            <w:r w:rsidRPr="00C8327F">
              <w:rPr>
                <w:sz w:val="20"/>
              </w:rPr>
              <w:t>Repeat</w:t>
            </w:r>
          </w:p>
        </w:tc>
        <w:tc>
          <w:tcPr>
            <w:tcW w:w="1462" w:type="dxa"/>
            <w:gridSpan w:val="2"/>
            <w:vMerge/>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shd w:val="clear" w:color="auto" w:fill="0079C1" w:themeFill="text2"/>
          </w:tcPr>
          <w:p w14:paraId="3FD2CB22" w14:textId="77777777" w:rsidR="00B43607" w:rsidRPr="00C8327F" w:rsidRDefault="00B43607" w:rsidP="00C23A9A">
            <w:pPr>
              <w:pStyle w:val="TableHeading1Centred"/>
              <w:rPr>
                <w:sz w:val="20"/>
              </w:rPr>
            </w:pPr>
          </w:p>
        </w:tc>
        <w:tc>
          <w:tcPr>
            <w:tcW w:w="1491" w:type="dxa"/>
            <w:gridSpan w:val="2"/>
            <w:vMerge/>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shd w:val="clear" w:color="auto" w:fill="0079C1" w:themeFill="text2"/>
          </w:tcPr>
          <w:p w14:paraId="14C7BB62" w14:textId="77777777" w:rsidR="00B43607" w:rsidRPr="00C8327F" w:rsidRDefault="00B43607" w:rsidP="00C23A9A">
            <w:pPr>
              <w:pStyle w:val="TableHeading1Centred"/>
              <w:rPr>
                <w:sz w:val="20"/>
              </w:rPr>
            </w:pPr>
          </w:p>
        </w:tc>
        <w:tc>
          <w:tcPr>
            <w:tcW w:w="1759" w:type="dxa"/>
            <w:gridSpan w:val="2"/>
            <w:vMerge/>
            <w:tcBorders>
              <w:top w:val="single" w:sz="4" w:space="0" w:color="BFE7FF" w:themeColor="text2" w:themeTint="33"/>
              <w:left w:val="single" w:sz="4" w:space="0" w:color="BFE7FF" w:themeColor="text2" w:themeTint="33"/>
              <w:bottom w:val="single" w:sz="4" w:space="0" w:color="BFE7FF" w:themeColor="text2" w:themeTint="33"/>
            </w:tcBorders>
            <w:shd w:val="clear" w:color="auto" w:fill="0079C1" w:themeFill="text2"/>
          </w:tcPr>
          <w:p w14:paraId="4D6C64E2" w14:textId="77777777" w:rsidR="00B43607" w:rsidRPr="00C8327F" w:rsidRDefault="00B43607" w:rsidP="00C23A9A">
            <w:pPr>
              <w:pStyle w:val="TableHeading1Centred"/>
              <w:rPr>
                <w:sz w:val="20"/>
              </w:rPr>
            </w:pPr>
          </w:p>
        </w:tc>
      </w:tr>
      <w:tr w:rsidR="00B43607" w:rsidRPr="00B43607" w14:paraId="53AE079B" w14:textId="77777777" w:rsidTr="008E7495">
        <w:trPr>
          <w:tblHeader/>
        </w:trPr>
        <w:tc>
          <w:tcPr>
            <w:tcW w:w="1276" w:type="dxa"/>
            <w:vMerge/>
            <w:tcBorders>
              <w:top w:val="single" w:sz="4" w:space="0" w:color="BFE7FF" w:themeColor="text2" w:themeTint="33"/>
              <w:bottom w:val="single" w:sz="4" w:space="0" w:color="BFE7FF" w:themeColor="text2" w:themeTint="33"/>
            </w:tcBorders>
          </w:tcPr>
          <w:p w14:paraId="586F9522" w14:textId="77777777" w:rsidR="00B43607" w:rsidRPr="00C8327F" w:rsidRDefault="00B43607" w:rsidP="00C23A9A">
            <w:pPr>
              <w:pStyle w:val="TableText"/>
              <w:rPr>
                <w:rFonts w:cs="Arial"/>
                <w:color w:val="333333"/>
                <w:sz w:val="20"/>
                <w:szCs w:val="20"/>
              </w:rPr>
            </w:pPr>
          </w:p>
        </w:tc>
        <w:tc>
          <w:tcPr>
            <w:tcW w:w="709" w:type="dxa"/>
            <w:tcBorders>
              <w:top w:val="single" w:sz="4" w:space="0" w:color="BFE7FF" w:themeColor="text2" w:themeTint="33"/>
              <w:bottom w:val="single" w:sz="4" w:space="0" w:color="BFE7FF" w:themeColor="text2" w:themeTint="33"/>
            </w:tcBorders>
            <w:shd w:val="clear" w:color="auto" w:fill="0079C1" w:themeFill="text2"/>
          </w:tcPr>
          <w:p w14:paraId="4BB918E2" w14:textId="77777777" w:rsidR="00B43607" w:rsidRPr="00C8327F" w:rsidRDefault="00B43607" w:rsidP="00C23A9A">
            <w:pPr>
              <w:pStyle w:val="TableHeading1Centred"/>
              <w:rPr>
                <w:sz w:val="20"/>
              </w:rPr>
            </w:pPr>
            <w:r w:rsidRPr="00C8327F">
              <w:rPr>
                <w:sz w:val="20"/>
              </w:rPr>
              <w:t>n</w:t>
            </w:r>
          </w:p>
        </w:tc>
        <w:tc>
          <w:tcPr>
            <w:tcW w:w="992" w:type="dxa"/>
            <w:tcBorders>
              <w:top w:val="single" w:sz="4" w:space="0" w:color="BFE7FF" w:themeColor="text2" w:themeTint="33"/>
              <w:bottom w:val="single" w:sz="4" w:space="0" w:color="BFE7FF" w:themeColor="text2" w:themeTint="33"/>
            </w:tcBorders>
            <w:shd w:val="clear" w:color="auto" w:fill="0079C1" w:themeFill="text2"/>
          </w:tcPr>
          <w:p w14:paraId="16FC86A6" w14:textId="77777777" w:rsidR="00B43607" w:rsidRPr="00C8327F" w:rsidRDefault="00B43607" w:rsidP="00C23A9A">
            <w:pPr>
              <w:pStyle w:val="TableHeading1Centred"/>
              <w:rPr>
                <w:sz w:val="20"/>
              </w:rPr>
            </w:pPr>
            <w:r w:rsidRPr="00C8327F">
              <w:rPr>
                <w:sz w:val="20"/>
              </w:rPr>
              <w:t>%</w:t>
            </w:r>
          </w:p>
        </w:tc>
        <w:tc>
          <w:tcPr>
            <w:tcW w:w="578" w:type="dxa"/>
            <w:tcBorders>
              <w:top w:val="single" w:sz="4" w:space="0" w:color="BFE7FF" w:themeColor="text2" w:themeTint="33"/>
              <w:bottom w:val="single" w:sz="4" w:space="0" w:color="BFE7FF" w:themeColor="text2" w:themeTint="33"/>
            </w:tcBorders>
            <w:shd w:val="clear" w:color="auto" w:fill="0079C1" w:themeFill="text2"/>
          </w:tcPr>
          <w:p w14:paraId="70C63B09" w14:textId="77777777" w:rsidR="00B43607" w:rsidRPr="00C8327F" w:rsidRDefault="00B43607" w:rsidP="00C23A9A">
            <w:pPr>
              <w:pStyle w:val="TableHeading1Centred"/>
              <w:rPr>
                <w:sz w:val="20"/>
              </w:rPr>
            </w:pPr>
            <w:r w:rsidRPr="00C8327F">
              <w:rPr>
                <w:sz w:val="20"/>
              </w:rPr>
              <w:t>n</w:t>
            </w:r>
          </w:p>
        </w:tc>
        <w:tc>
          <w:tcPr>
            <w:tcW w:w="981" w:type="dxa"/>
            <w:tcBorders>
              <w:top w:val="single" w:sz="4" w:space="0" w:color="BFE7FF" w:themeColor="text2" w:themeTint="33"/>
              <w:bottom w:val="single" w:sz="4" w:space="0" w:color="BFE7FF" w:themeColor="text2" w:themeTint="33"/>
            </w:tcBorders>
            <w:shd w:val="clear" w:color="auto" w:fill="0079C1" w:themeFill="text2"/>
          </w:tcPr>
          <w:p w14:paraId="7FD3B2F7" w14:textId="77777777" w:rsidR="00B43607" w:rsidRPr="00C8327F" w:rsidRDefault="00B43607" w:rsidP="00C23A9A">
            <w:pPr>
              <w:pStyle w:val="TableHeading1Centred"/>
              <w:rPr>
                <w:sz w:val="20"/>
              </w:rPr>
            </w:pPr>
            <w:r w:rsidRPr="00C8327F">
              <w:rPr>
                <w:sz w:val="20"/>
              </w:rPr>
              <w:t>%</w:t>
            </w:r>
          </w:p>
        </w:tc>
        <w:tc>
          <w:tcPr>
            <w:tcW w:w="510" w:type="dxa"/>
            <w:tcBorders>
              <w:top w:val="single" w:sz="4" w:space="0" w:color="BFE7FF" w:themeColor="text2" w:themeTint="33"/>
              <w:bottom w:val="single" w:sz="4" w:space="0" w:color="BFE7FF" w:themeColor="text2" w:themeTint="33"/>
            </w:tcBorders>
            <w:shd w:val="clear" w:color="auto" w:fill="0079C1" w:themeFill="text2"/>
          </w:tcPr>
          <w:p w14:paraId="7785A0BE" w14:textId="77777777" w:rsidR="00B43607" w:rsidRPr="00C8327F" w:rsidRDefault="00B43607" w:rsidP="00C23A9A">
            <w:pPr>
              <w:pStyle w:val="TableHeading1Centred"/>
              <w:rPr>
                <w:sz w:val="20"/>
              </w:rPr>
            </w:pPr>
            <w:r w:rsidRPr="00C8327F">
              <w:rPr>
                <w:sz w:val="20"/>
              </w:rPr>
              <w:t>n</w:t>
            </w:r>
          </w:p>
        </w:tc>
        <w:tc>
          <w:tcPr>
            <w:tcW w:w="952" w:type="dxa"/>
            <w:tcBorders>
              <w:top w:val="single" w:sz="4" w:space="0" w:color="BFE7FF" w:themeColor="text2" w:themeTint="33"/>
              <w:bottom w:val="single" w:sz="4" w:space="0" w:color="BFE7FF" w:themeColor="text2" w:themeTint="33"/>
            </w:tcBorders>
            <w:shd w:val="clear" w:color="auto" w:fill="0079C1" w:themeFill="text2"/>
          </w:tcPr>
          <w:p w14:paraId="5C749255" w14:textId="77777777" w:rsidR="00B43607" w:rsidRPr="00C8327F" w:rsidRDefault="00B43607" w:rsidP="00C23A9A">
            <w:pPr>
              <w:pStyle w:val="TableHeading1Centred"/>
              <w:rPr>
                <w:sz w:val="20"/>
              </w:rPr>
            </w:pPr>
            <w:r w:rsidRPr="00C8327F">
              <w:rPr>
                <w:sz w:val="20"/>
              </w:rPr>
              <w:t>%</w:t>
            </w:r>
          </w:p>
        </w:tc>
        <w:tc>
          <w:tcPr>
            <w:tcW w:w="620" w:type="dxa"/>
            <w:tcBorders>
              <w:top w:val="single" w:sz="4" w:space="0" w:color="BFE7FF" w:themeColor="text2" w:themeTint="33"/>
              <w:bottom w:val="single" w:sz="4" w:space="0" w:color="BFE7FF" w:themeColor="text2" w:themeTint="33"/>
            </w:tcBorders>
            <w:shd w:val="clear" w:color="auto" w:fill="0079C1" w:themeFill="text2"/>
          </w:tcPr>
          <w:p w14:paraId="7F1EA3B6" w14:textId="77777777" w:rsidR="00B43607" w:rsidRPr="00C8327F" w:rsidRDefault="00B43607" w:rsidP="00C23A9A">
            <w:pPr>
              <w:pStyle w:val="TableHeading1Centred"/>
              <w:rPr>
                <w:sz w:val="20"/>
              </w:rPr>
            </w:pPr>
            <w:r w:rsidRPr="00C8327F">
              <w:rPr>
                <w:sz w:val="20"/>
              </w:rPr>
              <w:t>n</w:t>
            </w:r>
          </w:p>
        </w:tc>
        <w:tc>
          <w:tcPr>
            <w:tcW w:w="871" w:type="dxa"/>
            <w:tcBorders>
              <w:top w:val="single" w:sz="4" w:space="0" w:color="BFE7FF" w:themeColor="text2" w:themeTint="33"/>
              <w:bottom w:val="single" w:sz="4" w:space="0" w:color="BFE7FF" w:themeColor="text2" w:themeTint="33"/>
            </w:tcBorders>
            <w:shd w:val="clear" w:color="auto" w:fill="0079C1" w:themeFill="text2"/>
          </w:tcPr>
          <w:p w14:paraId="557B7F57" w14:textId="77777777" w:rsidR="00B43607" w:rsidRPr="00C8327F" w:rsidRDefault="00B43607" w:rsidP="00C23A9A">
            <w:pPr>
              <w:pStyle w:val="TableHeading1Centred"/>
              <w:rPr>
                <w:sz w:val="20"/>
              </w:rPr>
            </w:pPr>
            <w:r w:rsidRPr="00C8327F">
              <w:rPr>
                <w:sz w:val="20"/>
              </w:rPr>
              <w:t>%</w:t>
            </w:r>
          </w:p>
        </w:tc>
        <w:tc>
          <w:tcPr>
            <w:tcW w:w="751" w:type="dxa"/>
            <w:tcBorders>
              <w:top w:val="single" w:sz="4" w:space="0" w:color="BFE7FF" w:themeColor="text2" w:themeTint="33"/>
              <w:bottom w:val="single" w:sz="4" w:space="0" w:color="BFE7FF" w:themeColor="text2" w:themeTint="33"/>
            </w:tcBorders>
            <w:shd w:val="clear" w:color="auto" w:fill="0079C1" w:themeFill="text2"/>
          </w:tcPr>
          <w:p w14:paraId="7DD1211E" w14:textId="77777777" w:rsidR="00B43607" w:rsidRPr="00C8327F" w:rsidRDefault="00B43607" w:rsidP="00C23A9A">
            <w:pPr>
              <w:pStyle w:val="TableHeading1Centred"/>
              <w:rPr>
                <w:sz w:val="20"/>
              </w:rPr>
            </w:pPr>
            <w:r w:rsidRPr="00C8327F">
              <w:rPr>
                <w:sz w:val="20"/>
              </w:rPr>
              <w:t>n</w:t>
            </w:r>
          </w:p>
        </w:tc>
        <w:tc>
          <w:tcPr>
            <w:tcW w:w="1008" w:type="dxa"/>
            <w:tcBorders>
              <w:top w:val="single" w:sz="4" w:space="0" w:color="BFE7FF" w:themeColor="text2" w:themeTint="33"/>
              <w:bottom w:val="single" w:sz="4" w:space="0" w:color="BFE7FF" w:themeColor="text2" w:themeTint="33"/>
            </w:tcBorders>
            <w:shd w:val="clear" w:color="auto" w:fill="0079C1" w:themeFill="text2"/>
          </w:tcPr>
          <w:p w14:paraId="5AF0670B" w14:textId="77777777" w:rsidR="00B43607" w:rsidRPr="00C8327F" w:rsidRDefault="00B43607" w:rsidP="00C23A9A">
            <w:pPr>
              <w:pStyle w:val="TableHeading1Centred"/>
              <w:rPr>
                <w:sz w:val="20"/>
              </w:rPr>
            </w:pPr>
            <w:r w:rsidRPr="00C8327F">
              <w:rPr>
                <w:sz w:val="20"/>
              </w:rPr>
              <w:t>%</w:t>
            </w:r>
          </w:p>
        </w:tc>
      </w:tr>
      <w:tr w:rsidR="00220EB5" w:rsidRPr="00C8327F" w14:paraId="3E9F400A" w14:textId="77777777" w:rsidTr="00C8327F">
        <w:trPr>
          <w:trHeight w:val="249"/>
        </w:trPr>
        <w:tc>
          <w:tcPr>
            <w:tcW w:w="1276" w:type="dxa"/>
            <w:tcBorders>
              <w:top w:val="single" w:sz="4" w:space="0" w:color="BFE7FF" w:themeColor="text2" w:themeTint="33"/>
              <w:bottom w:val="single" w:sz="4" w:space="0" w:color="BFE7FF" w:themeColor="text2" w:themeTint="33"/>
              <w:right w:val="single" w:sz="4" w:space="0" w:color="0079C1"/>
            </w:tcBorders>
            <w:shd w:val="clear" w:color="auto" w:fill="auto"/>
          </w:tcPr>
          <w:p w14:paraId="5666B3C0" w14:textId="77777777" w:rsidR="00220EB5" w:rsidRPr="00C8327F" w:rsidRDefault="00220EB5" w:rsidP="00220EB5">
            <w:pPr>
              <w:pStyle w:val="TableText"/>
              <w:rPr>
                <w:sz w:val="20"/>
              </w:rPr>
            </w:pPr>
            <w:r w:rsidRPr="00C8327F">
              <w:rPr>
                <w:sz w:val="20"/>
              </w:rPr>
              <w:t>Yes</w:t>
            </w:r>
          </w:p>
        </w:tc>
        <w:tc>
          <w:tcPr>
            <w:tcW w:w="709" w:type="dxa"/>
            <w:tcBorders>
              <w:top w:val="single" w:sz="4" w:space="0" w:color="BFE7FF" w:themeColor="text2" w:themeTint="33"/>
              <w:left w:val="single" w:sz="4" w:space="0" w:color="0079C1"/>
              <w:bottom w:val="single" w:sz="4" w:space="0" w:color="BFE7FF" w:themeColor="text2" w:themeTint="33"/>
            </w:tcBorders>
            <w:shd w:val="clear" w:color="auto" w:fill="auto"/>
          </w:tcPr>
          <w:p w14:paraId="3D0AC2EA" w14:textId="1BEE6F67" w:rsidR="00220EB5" w:rsidRPr="00C8327F" w:rsidRDefault="00220EB5" w:rsidP="00220EB5">
            <w:pPr>
              <w:pStyle w:val="TableTextCentred"/>
              <w:rPr>
                <w:sz w:val="20"/>
              </w:rPr>
            </w:pPr>
            <w:r w:rsidRPr="00C8327F">
              <w:rPr>
                <w:sz w:val="20"/>
              </w:rPr>
              <w:t>31</w:t>
            </w:r>
          </w:p>
        </w:tc>
        <w:tc>
          <w:tcPr>
            <w:tcW w:w="992" w:type="dxa"/>
            <w:tcBorders>
              <w:top w:val="single" w:sz="4" w:space="0" w:color="BFE7FF" w:themeColor="text2" w:themeTint="33"/>
              <w:bottom w:val="single" w:sz="4" w:space="0" w:color="BFE7FF" w:themeColor="text2" w:themeTint="33"/>
              <w:right w:val="single" w:sz="4" w:space="0" w:color="0079C1"/>
            </w:tcBorders>
            <w:shd w:val="clear" w:color="auto" w:fill="auto"/>
          </w:tcPr>
          <w:p w14:paraId="60E44FA4" w14:textId="68CC81AA" w:rsidR="00220EB5" w:rsidRPr="00C8327F" w:rsidRDefault="00220EB5" w:rsidP="00220EB5">
            <w:pPr>
              <w:pStyle w:val="TableTextCentred"/>
              <w:rPr>
                <w:sz w:val="20"/>
              </w:rPr>
            </w:pPr>
            <w:r w:rsidRPr="00C8327F">
              <w:rPr>
                <w:sz w:val="20"/>
              </w:rPr>
              <w:t>28.7%</w:t>
            </w:r>
          </w:p>
        </w:tc>
        <w:tc>
          <w:tcPr>
            <w:tcW w:w="578" w:type="dxa"/>
            <w:tcBorders>
              <w:top w:val="single" w:sz="4" w:space="0" w:color="BFE7FF" w:themeColor="text2" w:themeTint="33"/>
              <w:left w:val="single" w:sz="4" w:space="0" w:color="0079C1"/>
              <w:bottom w:val="single" w:sz="4" w:space="0" w:color="BFE7FF" w:themeColor="text2" w:themeTint="33"/>
            </w:tcBorders>
            <w:shd w:val="clear" w:color="auto" w:fill="auto"/>
          </w:tcPr>
          <w:p w14:paraId="31D02F1B" w14:textId="2C1EC485" w:rsidR="00220EB5" w:rsidRPr="00C8327F" w:rsidRDefault="00220EB5" w:rsidP="00220EB5">
            <w:pPr>
              <w:pStyle w:val="TableTextCentred"/>
              <w:rPr>
                <w:sz w:val="20"/>
              </w:rPr>
            </w:pPr>
            <w:r w:rsidRPr="00C8327F">
              <w:rPr>
                <w:sz w:val="20"/>
              </w:rPr>
              <w:t>2</w:t>
            </w:r>
          </w:p>
        </w:tc>
        <w:tc>
          <w:tcPr>
            <w:tcW w:w="981" w:type="dxa"/>
            <w:tcBorders>
              <w:top w:val="single" w:sz="4" w:space="0" w:color="BFE7FF" w:themeColor="text2" w:themeTint="33"/>
              <w:bottom w:val="single" w:sz="4" w:space="0" w:color="BFE7FF" w:themeColor="text2" w:themeTint="33"/>
              <w:right w:val="single" w:sz="4" w:space="0" w:color="0079C1"/>
            </w:tcBorders>
            <w:shd w:val="clear" w:color="auto" w:fill="auto"/>
          </w:tcPr>
          <w:p w14:paraId="1AABE133" w14:textId="6AF1B76A" w:rsidR="00220EB5" w:rsidRPr="00C8327F" w:rsidRDefault="00220EB5" w:rsidP="00220EB5">
            <w:pPr>
              <w:pStyle w:val="TableTextCentred"/>
              <w:rPr>
                <w:sz w:val="20"/>
              </w:rPr>
            </w:pPr>
            <w:r w:rsidRPr="00C8327F">
              <w:rPr>
                <w:sz w:val="20"/>
              </w:rPr>
              <w:t>10.5%</w:t>
            </w:r>
          </w:p>
        </w:tc>
        <w:tc>
          <w:tcPr>
            <w:tcW w:w="510" w:type="dxa"/>
            <w:tcBorders>
              <w:top w:val="single" w:sz="4" w:space="0" w:color="BFE7FF" w:themeColor="text2" w:themeTint="33"/>
              <w:left w:val="single" w:sz="4" w:space="0" w:color="0079C1"/>
              <w:bottom w:val="single" w:sz="4" w:space="0" w:color="BFE7FF" w:themeColor="text2" w:themeTint="33"/>
            </w:tcBorders>
            <w:shd w:val="clear" w:color="auto" w:fill="auto"/>
          </w:tcPr>
          <w:p w14:paraId="4EEB1274" w14:textId="332A0009" w:rsidR="00220EB5" w:rsidRPr="00C8327F" w:rsidRDefault="00220EB5" w:rsidP="00220EB5">
            <w:pPr>
              <w:pStyle w:val="TableTextCentred"/>
              <w:rPr>
                <w:sz w:val="20"/>
              </w:rPr>
            </w:pPr>
            <w:r w:rsidRPr="00C8327F">
              <w:rPr>
                <w:sz w:val="20"/>
              </w:rPr>
              <w:t xml:space="preserve">7 </w:t>
            </w:r>
          </w:p>
        </w:tc>
        <w:tc>
          <w:tcPr>
            <w:tcW w:w="952" w:type="dxa"/>
            <w:tcBorders>
              <w:top w:val="single" w:sz="4" w:space="0" w:color="BFE7FF" w:themeColor="text2" w:themeTint="33"/>
              <w:bottom w:val="single" w:sz="4" w:space="0" w:color="BFE7FF" w:themeColor="text2" w:themeTint="33"/>
              <w:right w:val="single" w:sz="4" w:space="0" w:color="0079C1"/>
            </w:tcBorders>
            <w:shd w:val="clear" w:color="auto" w:fill="auto"/>
          </w:tcPr>
          <w:p w14:paraId="2B2FDD6F" w14:textId="3678455B" w:rsidR="00220EB5" w:rsidRPr="00C8327F" w:rsidRDefault="00220EB5" w:rsidP="00220EB5">
            <w:pPr>
              <w:pStyle w:val="TableTextCentred"/>
              <w:rPr>
                <w:sz w:val="20"/>
              </w:rPr>
            </w:pPr>
            <w:r w:rsidRPr="00C8327F">
              <w:rPr>
                <w:sz w:val="20"/>
              </w:rPr>
              <w:t>9.6%</w:t>
            </w:r>
          </w:p>
        </w:tc>
        <w:tc>
          <w:tcPr>
            <w:tcW w:w="620" w:type="dxa"/>
            <w:tcBorders>
              <w:top w:val="single" w:sz="4" w:space="0" w:color="BFE7FF" w:themeColor="text2" w:themeTint="33"/>
              <w:left w:val="single" w:sz="4" w:space="0" w:color="0079C1"/>
              <w:bottom w:val="single" w:sz="4" w:space="0" w:color="BFE7FF" w:themeColor="text2" w:themeTint="33"/>
            </w:tcBorders>
            <w:shd w:val="clear" w:color="auto" w:fill="auto"/>
          </w:tcPr>
          <w:p w14:paraId="664EB760" w14:textId="6CA6C173" w:rsidR="00220EB5" w:rsidRPr="00C8327F" w:rsidRDefault="00220EB5" w:rsidP="00220EB5">
            <w:pPr>
              <w:pStyle w:val="TableTextCentred"/>
              <w:rPr>
                <w:sz w:val="20"/>
              </w:rPr>
            </w:pPr>
            <w:r w:rsidRPr="00C8327F">
              <w:rPr>
                <w:sz w:val="20"/>
              </w:rPr>
              <w:t>2</w:t>
            </w:r>
          </w:p>
        </w:tc>
        <w:tc>
          <w:tcPr>
            <w:tcW w:w="871" w:type="dxa"/>
            <w:tcBorders>
              <w:top w:val="single" w:sz="4" w:space="0" w:color="BFE7FF" w:themeColor="text2" w:themeTint="33"/>
              <w:bottom w:val="single" w:sz="4" w:space="0" w:color="BFE7FF" w:themeColor="text2" w:themeTint="33"/>
              <w:right w:val="single" w:sz="4" w:space="0" w:color="0079C1"/>
            </w:tcBorders>
            <w:shd w:val="clear" w:color="auto" w:fill="auto"/>
          </w:tcPr>
          <w:p w14:paraId="74DDC5B9" w14:textId="58949262" w:rsidR="00220EB5" w:rsidRPr="00C8327F" w:rsidRDefault="00220EB5" w:rsidP="00220EB5">
            <w:pPr>
              <w:pStyle w:val="TableTextCentred"/>
              <w:rPr>
                <w:sz w:val="20"/>
              </w:rPr>
            </w:pPr>
            <w:r w:rsidRPr="00C8327F">
              <w:rPr>
                <w:sz w:val="20"/>
              </w:rPr>
              <w:t>10.0%</w:t>
            </w:r>
          </w:p>
        </w:tc>
        <w:tc>
          <w:tcPr>
            <w:tcW w:w="751" w:type="dxa"/>
            <w:tcBorders>
              <w:top w:val="single" w:sz="4" w:space="0" w:color="BFE7FF" w:themeColor="text2" w:themeTint="33"/>
              <w:left w:val="single" w:sz="4" w:space="0" w:color="0079C1"/>
              <w:bottom w:val="single" w:sz="4" w:space="0" w:color="BFE7FF" w:themeColor="text2" w:themeTint="33"/>
            </w:tcBorders>
            <w:shd w:val="clear" w:color="auto" w:fill="auto"/>
          </w:tcPr>
          <w:p w14:paraId="7AF740F7" w14:textId="36693644" w:rsidR="00220EB5" w:rsidRPr="00C8327F" w:rsidRDefault="00220EB5" w:rsidP="00220EB5">
            <w:pPr>
              <w:pStyle w:val="TableTextCentred"/>
              <w:rPr>
                <w:b/>
                <w:bCs/>
                <w:sz w:val="20"/>
              </w:rPr>
            </w:pPr>
            <w:r w:rsidRPr="00C8327F">
              <w:rPr>
                <w:b/>
                <w:sz w:val="20"/>
              </w:rPr>
              <w:t>42</w:t>
            </w:r>
          </w:p>
        </w:tc>
        <w:tc>
          <w:tcPr>
            <w:tcW w:w="1008" w:type="dxa"/>
            <w:tcBorders>
              <w:top w:val="single" w:sz="4" w:space="0" w:color="BFE7FF" w:themeColor="text2" w:themeTint="33"/>
              <w:bottom w:val="single" w:sz="4" w:space="0" w:color="BFE7FF" w:themeColor="text2" w:themeTint="33"/>
            </w:tcBorders>
            <w:shd w:val="clear" w:color="auto" w:fill="auto"/>
          </w:tcPr>
          <w:p w14:paraId="7A84402F" w14:textId="0A81B02F" w:rsidR="00220EB5" w:rsidRPr="00C8327F" w:rsidRDefault="00220EB5" w:rsidP="00220EB5">
            <w:pPr>
              <w:pStyle w:val="TableTextCentred"/>
              <w:rPr>
                <w:b/>
                <w:bCs/>
                <w:sz w:val="20"/>
              </w:rPr>
            </w:pPr>
            <w:r w:rsidRPr="00C8327F">
              <w:rPr>
                <w:b/>
                <w:sz w:val="20"/>
              </w:rPr>
              <w:t>19.1%</w:t>
            </w:r>
          </w:p>
        </w:tc>
      </w:tr>
      <w:tr w:rsidR="00220EB5" w:rsidRPr="00C8327F" w14:paraId="09BB44B0" w14:textId="77777777" w:rsidTr="00C8327F">
        <w:tc>
          <w:tcPr>
            <w:tcW w:w="1276" w:type="dxa"/>
            <w:tcBorders>
              <w:top w:val="single" w:sz="4" w:space="0" w:color="BFE7FF" w:themeColor="text2" w:themeTint="33"/>
              <w:bottom w:val="single" w:sz="4" w:space="0" w:color="BFE7FF" w:themeColor="text2" w:themeTint="33"/>
              <w:right w:val="single" w:sz="4" w:space="0" w:color="0079C1"/>
            </w:tcBorders>
            <w:shd w:val="clear" w:color="auto" w:fill="auto"/>
          </w:tcPr>
          <w:p w14:paraId="7E6887EF" w14:textId="77777777" w:rsidR="00220EB5" w:rsidRPr="00C8327F" w:rsidRDefault="00220EB5" w:rsidP="00220EB5">
            <w:pPr>
              <w:pStyle w:val="TableText"/>
              <w:rPr>
                <w:sz w:val="20"/>
              </w:rPr>
            </w:pPr>
            <w:r w:rsidRPr="00C8327F">
              <w:rPr>
                <w:sz w:val="20"/>
              </w:rPr>
              <w:t>No</w:t>
            </w:r>
          </w:p>
        </w:tc>
        <w:tc>
          <w:tcPr>
            <w:tcW w:w="709" w:type="dxa"/>
            <w:tcBorders>
              <w:top w:val="single" w:sz="4" w:space="0" w:color="BFE7FF" w:themeColor="text2" w:themeTint="33"/>
              <w:left w:val="single" w:sz="4" w:space="0" w:color="0079C1"/>
              <w:bottom w:val="single" w:sz="4" w:space="0" w:color="BFE7FF" w:themeColor="text2" w:themeTint="33"/>
            </w:tcBorders>
            <w:shd w:val="clear" w:color="auto" w:fill="auto"/>
          </w:tcPr>
          <w:p w14:paraId="0B33E6E5" w14:textId="2FA998DC" w:rsidR="00220EB5" w:rsidRPr="00C8327F" w:rsidRDefault="00220EB5" w:rsidP="00220EB5">
            <w:pPr>
              <w:pStyle w:val="TableTextCentred"/>
              <w:rPr>
                <w:sz w:val="20"/>
              </w:rPr>
            </w:pPr>
            <w:r w:rsidRPr="00C8327F">
              <w:rPr>
                <w:sz w:val="20"/>
              </w:rPr>
              <w:t>72</w:t>
            </w:r>
          </w:p>
        </w:tc>
        <w:tc>
          <w:tcPr>
            <w:tcW w:w="992" w:type="dxa"/>
            <w:tcBorders>
              <w:top w:val="single" w:sz="4" w:space="0" w:color="BFE7FF" w:themeColor="text2" w:themeTint="33"/>
              <w:bottom w:val="single" w:sz="4" w:space="0" w:color="BFE7FF" w:themeColor="text2" w:themeTint="33"/>
              <w:right w:val="single" w:sz="4" w:space="0" w:color="0079C1"/>
            </w:tcBorders>
            <w:shd w:val="clear" w:color="auto" w:fill="auto"/>
          </w:tcPr>
          <w:p w14:paraId="612D9776" w14:textId="4F4CA57F" w:rsidR="00220EB5" w:rsidRPr="00C8327F" w:rsidRDefault="00220EB5" w:rsidP="00220EB5">
            <w:pPr>
              <w:pStyle w:val="TableTextCentred"/>
              <w:rPr>
                <w:sz w:val="20"/>
              </w:rPr>
            </w:pPr>
            <w:r w:rsidRPr="00C8327F">
              <w:rPr>
                <w:sz w:val="20"/>
              </w:rPr>
              <w:t>66.7%</w:t>
            </w:r>
          </w:p>
        </w:tc>
        <w:tc>
          <w:tcPr>
            <w:tcW w:w="578" w:type="dxa"/>
            <w:tcBorders>
              <w:top w:val="single" w:sz="4" w:space="0" w:color="BFE7FF" w:themeColor="text2" w:themeTint="33"/>
              <w:left w:val="single" w:sz="4" w:space="0" w:color="0079C1"/>
              <w:bottom w:val="single" w:sz="4" w:space="0" w:color="BFE7FF" w:themeColor="text2" w:themeTint="33"/>
            </w:tcBorders>
            <w:shd w:val="clear" w:color="auto" w:fill="auto"/>
          </w:tcPr>
          <w:p w14:paraId="2D187384" w14:textId="269B81F1" w:rsidR="00220EB5" w:rsidRPr="00C8327F" w:rsidRDefault="00220EB5" w:rsidP="00220EB5">
            <w:pPr>
              <w:pStyle w:val="TableTextCentred"/>
              <w:rPr>
                <w:sz w:val="20"/>
              </w:rPr>
            </w:pPr>
            <w:r w:rsidRPr="00C8327F">
              <w:rPr>
                <w:sz w:val="20"/>
              </w:rPr>
              <w:t>17</w:t>
            </w:r>
          </w:p>
        </w:tc>
        <w:tc>
          <w:tcPr>
            <w:tcW w:w="981" w:type="dxa"/>
            <w:tcBorders>
              <w:top w:val="single" w:sz="4" w:space="0" w:color="BFE7FF" w:themeColor="text2" w:themeTint="33"/>
              <w:bottom w:val="single" w:sz="4" w:space="0" w:color="BFE7FF" w:themeColor="text2" w:themeTint="33"/>
              <w:right w:val="single" w:sz="4" w:space="0" w:color="0079C1"/>
            </w:tcBorders>
            <w:shd w:val="clear" w:color="auto" w:fill="auto"/>
          </w:tcPr>
          <w:p w14:paraId="1E146D24" w14:textId="1983C471" w:rsidR="00220EB5" w:rsidRPr="00C8327F" w:rsidRDefault="00220EB5" w:rsidP="00220EB5">
            <w:pPr>
              <w:pStyle w:val="TableTextCentred"/>
              <w:rPr>
                <w:sz w:val="20"/>
              </w:rPr>
            </w:pPr>
            <w:r w:rsidRPr="00C8327F">
              <w:rPr>
                <w:sz w:val="20"/>
              </w:rPr>
              <w:t>89.5%</w:t>
            </w:r>
          </w:p>
        </w:tc>
        <w:tc>
          <w:tcPr>
            <w:tcW w:w="510" w:type="dxa"/>
            <w:tcBorders>
              <w:top w:val="single" w:sz="4" w:space="0" w:color="BFE7FF" w:themeColor="text2" w:themeTint="33"/>
              <w:left w:val="single" w:sz="4" w:space="0" w:color="0079C1"/>
              <w:bottom w:val="single" w:sz="4" w:space="0" w:color="BFE7FF" w:themeColor="text2" w:themeTint="33"/>
            </w:tcBorders>
            <w:shd w:val="clear" w:color="auto" w:fill="auto"/>
          </w:tcPr>
          <w:p w14:paraId="10ABBDEC" w14:textId="666D5279" w:rsidR="00220EB5" w:rsidRPr="00C8327F" w:rsidRDefault="00220EB5" w:rsidP="00220EB5">
            <w:pPr>
              <w:pStyle w:val="TableTextCentred"/>
              <w:rPr>
                <w:sz w:val="20"/>
              </w:rPr>
            </w:pPr>
            <w:r w:rsidRPr="00C8327F">
              <w:rPr>
                <w:sz w:val="20"/>
              </w:rPr>
              <w:t>61</w:t>
            </w:r>
          </w:p>
        </w:tc>
        <w:tc>
          <w:tcPr>
            <w:tcW w:w="952" w:type="dxa"/>
            <w:tcBorders>
              <w:top w:val="single" w:sz="4" w:space="0" w:color="BFE7FF" w:themeColor="text2" w:themeTint="33"/>
              <w:bottom w:val="single" w:sz="4" w:space="0" w:color="BFE7FF" w:themeColor="text2" w:themeTint="33"/>
              <w:right w:val="single" w:sz="4" w:space="0" w:color="0079C1"/>
            </w:tcBorders>
            <w:shd w:val="clear" w:color="auto" w:fill="auto"/>
          </w:tcPr>
          <w:p w14:paraId="27A1B0EC" w14:textId="6091D7D0" w:rsidR="00220EB5" w:rsidRPr="00C8327F" w:rsidRDefault="00220EB5" w:rsidP="00220EB5">
            <w:pPr>
              <w:pStyle w:val="TableTextCentred"/>
              <w:rPr>
                <w:sz w:val="20"/>
              </w:rPr>
            </w:pPr>
            <w:r w:rsidRPr="00C8327F">
              <w:rPr>
                <w:sz w:val="20"/>
              </w:rPr>
              <w:t>83.6%</w:t>
            </w:r>
          </w:p>
        </w:tc>
        <w:tc>
          <w:tcPr>
            <w:tcW w:w="620" w:type="dxa"/>
            <w:tcBorders>
              <w:top w:val="single" w:sz="4" w:space="0" w:color="BFE7FF" w:themeColor="text2" w:themeTint="33"/>
              <w:left w:val="single" w:sz="4" w:space="0" w:color="0079C1"/>
              <w:bottom w:val="single" w:sz="4" w:space="0" w:color="BFE7FF" w:themeColor="text2" w:themeTint="33"/>
            </w:tcBorders>
            <w:shd w:val="clear" w:color="auto" w:fill="auto"/>
          </w:tcPr>
          <w:p w14:paraId="010D0B54" w14:textId="69A7A601" w:rsidR="00220EB5" w:rsidRPr="00C8327F" w:rsidRDefault="00220EB5" w:rsidP="00220EB5">
            <w:pPr>
              <w:pStyle w:val="TableTextCentred"/>
              <w:rPr>
                <w:sz w:val="20"/>
              </w:rPr>
            </w:pPr>
            <w:r w:rsidRPr="00C8327F">
              <w:rPr>
                <w:sz w:val="20"/>
              </w:rPr>
              <w:t>16</w:t>
            </w:r>
          </w:p>
        </w:tc>
        <w:tc>
          <w:tcPr>
            <w:tcW w:w="871" w:type="dxa"/>
            <w:tcBorders>
              <w:top w:val="single" w:sz="4" w:space="0" w:color="BFE7FF" w:themeColor="text2" w:themeTint="33"/>
              <w:bottom w:val="single" w:sz="4" w:space="0" w:color="BFE7FF" w:themeColor="text2" w:themeTint="33"/>
              <w:right w:val="single" w:sz="4" w:space="0" w:color="0079C1"/>
            </w:tcBorders>
            <w:shd w:val="clear" w:color="auto" w:fill="auto"/>
          </w:tcPr>
          <w:p w14:paraId="6C7854D4" w14:textId="71646DE7" w:rsidR="00220EB5" w:rsidRPr="00C8327F" w:rsidRDefault="00220EB5" w:rsidP="00220EB5">
            <w:pPr>
              <w:pStyle w:val="TableTextCentred"/>
              <w:rPr>
                <w:sz w:val="20"/>
              </w:rPr>
            </w:pPr>
            <w:r w:rsidRPr="00C8327F">
              <w:rPr>
                <w:sz w:val="20"/>
              </w:rPr>
              <w:t>80.0%</w:t>
            </w:r>
          </w:p>
        </w:tc>
        <w:tc>
          <w:tcPr>
            <w:tcW w:w="751" w:type="dxa"/>
            <w:tcBorders>
              <w:top w:val="single" w:sz="4" w:space="0" w:color="BFE7FF" w:themeColor="text2" w:themeTint="33"/>
              <w:left w:val="single" w:sz="4" w:space="0" w:color="0079C1"/>
              <w:bottom w:val="single" w:sz="4" w:space="0" w:color="BFE7FF" w:themeColor="text2" w:themeTint="33"/>
            </w:tcBorders>
            <w:shd w:val="clear" w:color="auto" w:fill="auto"/>
          </w:tcPr>
          <w:p w14:paraId="5F5B3583" w14:textId="0CD6A9FE" w:rsidR="00220EB5" w:rsidRPr="00C8327F" w:rsidRDefault="00220EB5" w:rsidP="00220EB5">
            <w:pPr>
              <w:pStyle w:val="TableTextCentred"/>
              <w:rPr>
                <w:b/>
                <w:bCs/>
                <w:sz w:val="20"/>
              </w:rPr>
            </w:pPr>
            <w:r w:rsidRPr="00C8327F">
              <w:rPr>
                <w:b/>
                <w:sz w:val="20"/>
              </w:rPr>
              <w:t>166</w:t>
            </w:r>
          </w:p>
        </w:tc>
        <w:tc>
          <w:tcPr>
            <w:tcW w:w="1008" w:type="dxa"/>
            <w:tcBorders>
              <w:top w:val="single" w:sz="4" w:space="0" w:color="BFE7FF" w:themeColor="text2" w:themeTint="33"/>
              <w:bottom w:val="single" w:sz="4" w:space="0" w:color="BFE7FF" w:themeColor="text2" w:themeTint="33"/>
            </w:tcBorders>
            <w:shd w:val="clear" w:color="auto" w:fill="auto"/>
          </w:tcPr>
          <w:p w14:paraId="4920C891" w14:textId="2ECA5DAB" w:rsidR="00220EB5" w:rsidRPr="00C8327F" w:rsidRDefault="00220EB5" w:rsidP="00220EB5">
            <w:pPr>
              <w:pStyle w:val="TableTextCentred"/>
              <w:rPr>
                <w:b/>
                <w:bCs/>
                <w:sz w:val="20"/>
              </w:rPr>
            </w:pPr>
            <w:r w:rsidRPr="00C8327F">
              <w:rPr>
                <w:b/>
                <w:sz w:val="20"/>
              </w:rPr>
              <w:t>75.5%</w:t>
            </w:r>
          </w:p>
        </w:tc>
      </w:tr>
      <w:tr w:rsidR="00220EB5" w:rsidRPr="00C8327F" w14:paraId="299CB94C" w14:textId="77777777" w:rsidTr="00C8327F">
        <w:tc>
          <w:tcPr>
            <w:tcW w:w="1276" w:type="dxa"/>
            <w:tcBorders>
              <w:top w:val="single" w:sz="4" w:space="0" w:color="BFE7FF" w:themeColor="text2" w:themeTint="33"/>
              <w:bottom w:val="single" w:sz="4" w:space="0" w:color="0079C1" w:themeColor="text2"/>
              <w:right w:val="single" w:sz="4" w:space="0" w:color="0079C1"/>
            </w:tcBorders>
            <w:shd w:val="clear" w:color="auto" w:fill="auto"/>
          </w:tcPr>
          <w:p w14:paraId="7046B787" w14:textId="77777777" w:rsidR="00220EB5" w:rsidRPr="00C8327F" w:rsidRDefault="00220EB5" w:rsidP="00220EB5">
            <w:pPr>
              <w:pStyle w:val="TableText"/>
              <w:rPr>
                <w:sz w:val="20"/>
              </w:rPr>
            </w:pPr>
            <w:r w:rsidRPr="00C8327F">
              <w:rPr>
                <w:sz w:val="20"/>
              </w:rPr>
              <w:t>Not stated</w:t>
            </w:r>
          </w:p>
        </w:tc>
        <w:tc>
          <w:tcPr>
            <w:tcW w:w="709" w:type="dxa"/>
            <w:tcBorders>
              <w:top w:val="single" w:sz="4" w:space="0" w:color="BFE7FF" w:themeColor="text2" w:themeTint="33"/>
              <w:left w:val="single" w:sz="4" w:space="0" w:color="0079C1"/>
              <w:bottom w:val="single" w:sz="4" w:space="0" w:color="0079C1" w:themeColor="text2"/>
            </w:tcBorders>
            <w:shd w:val="clear" w:color="auto" w:fill="auto"/>
          </w:tcPr>
          <w:p w14:paraId="63FB9A98" w14:textId="3465CC46" w:rsidR="00220EB5" w:rsidRPr="00C8327F" w:rsidRDefault="00220EB5" w:rsidP="00220EB5">
            <w:pPr>
              <w:pStyle w:val="TableTextCentred"/>
              <w:rPr>
                <w:sz w:val="20"/>
              </w:rPr>
            </w:pPr>
            <w:r w:rsidRPr="00C8327F">
              <w:rPr>
                <w:sz w:val="20"/>
              </w:rPr>
              <w:t>5</w:t>
            </w:r>
          </w:p>
        </w:tc>
        <w:tc>
          <w:tcPr>
            <w:tcW w:w="992" w:type="dxa"/>
            <w:tcBorders>
              <w:top w:val="single" w:sz="4" w:space="0" w:color="BFE7FF" w:themeColor="text2" w:themeTint="33"/>
              <w:bottom w:val="single" w:sz="4" w:space="0" w:color="0079C1" w:themeColor="text2"/>
              <w:right w:val="single" w:sz="4" w:space="0" w:color="0079C1"/>
            </w:tcBorders>
            <w:shd w:val="clear" w:color="auto" w:fill="auto"/>
          </w:tcPr>
          <w:p w14:paraId="4666B06E" w14:textId="6724E555" w:rsidR="00220EB5" w:rsidRPr="00C8327F" w:rsidRDefault="00220EB5" w:rsidP="00220EB5">
            <w:pPr>
              <w:pStyle w:val="TableTextCentred"/>
              <w:rPr>
                <w:sz w:val="20"/>
              </w:rPr>
            </w:pPr>
            <w:r w:rsidRPr="00C8327F">
              <w:rPr>
                <w:sz w:val="20"/>
              </w:rPr>
              <w:t>4.6%</w:t>
            </w:r>
          </w:p>
        </w:tc>
        <w:tc>
          <w:tcPr>
            <w:tcW w:w="578" w:type="dxa"/>
            <w:tcBorders>
              <w:top w:val="single" w:sz="4" w:space="0" w:color="BFE7FF" w:themeColor="text2" w:themeTint="33"/>
              <w:left w:val="single" w:sz="4" w:space="0" w:color="0079C1"/>
              <w:bottom w:val="single" w:sz="4" w:space="0" w:color="0079C1" w:themeColor="text2"/>
            </w:tcBorders>
            <w:shd w:val="clear" w:color="auto" w:fill="auto"/>
          </w:tcPr>
          <w:p w14:paraId="6C8B456C" w14:textId="59161216" w:rsidR="00220EB5" w:rsidRPr="00C8327F" w:rsidRDefault="00220EB5" w:rsidP="00220EB5">
            <w:pPr>
              <w:pStyle w:val="TableTextCentred"/>
              <w:rPr>
                <w:sz w:val="20"/>
              </w:rPr>
            </w:pPr>
            <w:r w:rsidRPr="00C8327F">
              <w:rPr>
                <w:sz w:val="20"/>
              </w:rPr>
              <w:t>0</w:t>
            </w:r>
          </w:p>
        </w:tc>
        <w:tc>
          <w:tcPr>
            <w:tcW w:w="981" w:type="dxa"/>
            <w:tcBorders>
              <w:top w:val="single" w:sz="4" w:space="0" w:color="BFE7FF" w:themeColor="text2" w:themeTint="33"/>
              <w:bottom w:val="single" w:sz="4" w:space="0" w:color="0079C1" w:themeColor="text2"/>
              <w:right w:val="single" w:sz="4" w:space="0" w:color="0079C1"/>
            </w:tcBorders>
            <w:shd w:val="clear" w:color="auto" w:fill="auto"/>
          </w:tcPr>
          <w:p w14:paraId="35F33BCB" w14:textId="00EFB283" w:rsidR="00220EB5" w:rsidRPr="00C8327F" w:rsidRDefault="00220EB5" w:rsidP="00220EB5">
            <w:pPr>
              <w:pStyle w:val="TableTextCentred"/>
              <w:rPr>
                <w:sz w:val="20"/>
              </w:rPr>
            </w:pPr>
            <w:r w:rsidRPr="00C8327F">
              <w:rPr>
                <w:sz w:val="20"/>
              </w:rPr>
              <w:t>0.0%</w:t>
            </w:r>
          </w:p>
        </w:tc>
        <w:tc>
          <w:tcPr>
            <w:tcW w:w="510" w:type="dxa"/>
            <w:tcBorders>
              <w:top w:val="single" w:sz="4" w:space="0" w:color="BFE7FF" w:themeColor="text2" w:themeTint="33"/>
              <w:left w:val="single" w:sz="4" w:space="0" w:color="0079C1"/>
              <w:bottom w:val="single" w:sz="4" w:space="0" w:color="0079C1" w:themeColor="text2"/>
            </w:tcBorders>
            <w:shd w:val="clear" w:color="auto" w:fill="auto"/>
          </w:tcPr>
          <w:p w14:paraId="4F49A274" w14:textId="43341EE9" w:rsidR="00220EB5" w:rsidRPr="00C8327F" w:rsidRDefault="00220EB5" w:rsidP="00220EB5">
            <w:pPr>
              <w:pStyle w:val="TableTextCentred"/>
              <w:rPr>
                <w:sz w:val="20"/>
              </w:rPr>
            </w:pPr>
            <w:r w:rsidRPr="00C8327F">
              <w:rPr>
                <w:sz w:val="20"/>
              </w:rPr>
              <w:t>5</w:t>
            </w:r>
          </w:p>
        </w:tc>
        <w:tc>
          <w:tcPr>
            <w:tcW w:w="952" w:type="dxa"/>
            <w:tcBorders>
              <w:top w:val="single" w:sz="4" w:space="0" w:color="BFE7FF" w:themeColor="text2" w:themeTint="33"/>
              <w:bottom w:val="single" w:sz="4" w:space="0" w:color="0079C1" w:themeColor="text2"/>
              <w:right w:val="single" w:sz="4" w:space="0" w:color="0079C1"/>
            </w:tcBorders>
            <w:shd w:val="clear" w:color="auto" w:fill="auto"/>
          </w:tcPr>
          <w:p w14:paraId="56EA0F76" w14:textId="30C74028" w:rsidR="00220EB5" w:rsidRPr="00C8327F" w:rsidRDefault="00220EB5" w:rsidP="00220EB5">
            <w:pPr>
              <w:pStyle w:val="TableTextCentred"/>
              <w:rPr>
                <w:sz w:val="20"/>
              </w:rPr>
            </w:pPr>
            <w:r w:rsidRPr="00C8327F">
              <w:rPr>
                <w:sz w:val="20"/>
              </w:rPr>
              <w:t>6.8%</w:t>
            </w:r>
          </w:p>
        </w:tc>
        <w:tc>
          <w:tcPr>
            <w:tcW w:w="620" w:type="dxa"/>
            <w:tcBorders>
              <w:top w:val="single" w:sz="4" w:space="0" w:color="BFE7FF" w:themeColor="text2" w:themeTint="33"/>
              <w:left w:val="single" w:sz="4" w:space="0" w:color="0079C1"/>
              <w:bottom w:val="single" w:sz="4" w:space="0" w:color="0079C1" w:themeColor="text2"/>
            </w:tcBorders>
            <w:shd w:val="clear" w:color="auto" w:fill="auto"/>
          </w:tcPr>
          <w:p w14:paraId="6C5FFB1B" w14:textId="5FDAD28A" w:rsidR="00220EB5" w:rsidRPr="00C8327F" w:rsidRDefault="00220EB5" w:rsidP="00220EB5">
            <w:pPr>
              <w:pStyle w:val="TableTextCentred"/>
              <w:rPr>
                <w:sz w:val="20"/>
              </w:rPr>
            </w:pPr>
            <w:r w:rsidRPr="00C8327F">
              <w:rPr>
                <w:sz w:val="20"/>
              </w:rPr>
              <w:t>2</w:t>
            </w:r>
          </w:p>
        </w:tc>
        <w:tc>
          <w:tcPr>
            <w:tcW w:w="871" w:type="dxa"/>
            <w:tcBorders>
              <w:top w:val="single" w:sz="4" w:space="0" w:color="BFE7FF" w:themeColor="text2" w:themeTint="33"/>
              <w:bottom w:val="single" w:sz="4" w:space="0" w:color="0079C1" w:themeColor="text2"/>
              <w:right w:val="single" w:sz="4" w:space="0" w:color="0079C1"/>
            </w:tcBorders>
            <w:shd w:val="clear" w:color="auto" w:fill="auto"/>
          </w:tcPr>
          <w:p w14:paraId="39312176" w14:textId="730E77E7" w:rsidR="00220EB5" w:rsidRPr="00C8327F" w:rsidRDefault="00220EB5" w:rsidP="00220EB5">
            <w:pPr>
              <w:pStyle w:val="TableTextCentred"/>
              <w:rPr>
                <w:sz w:val="20"/>
              </w:rPr>
            </w:pPr>
            <w:r w:rsidRPr="00C8327F">
              <w:rPr>
                <w:sz w:val="20"/>
              </w:rPr>
              <w:t>10.0%</w:t>
            </w:r>
          </w:p>
        </w:tc>
        <w:tc>
          <w:tcPr>
            <w:tcW w:w="751" w:type="dxa"/>
            <w:tcBorders>
              <w:top w:val="single" w:sz="4" w:space="0" w:color="BFE7FF" w:themeColor="text2" w:themeTint="33"/>
              <w:left w:val="single" w:sz="4" w:space="0" w:color="0079C1"/>
              <w:bottom w:val="single" w:sz="4" w:space="0" w:color="0079C1" w:themeColor="text2"/>
            </w:tcBorders>
            <w:shd w:val="clear" w:color="auto" w:fill="auto"/>
          </w:tcPr>
          <w:p w14:paraId="2CDD8003" w14:textId="5AB7A40B" w:rsidR="00220EB5" w:rsidRPr="00C8327F" w:rsidRDefault="00220EB5" w:rsidP="00220EB5">
            <w:pPr>
              <w:pStyle w:val="TableTextCentred"/>
              <w:rPr>
                <w:b/>
                <w:bCs/>
                <w:sz w:val="20"/>
              </w:rPr>
            </w:pPr>
            <w:r w:rsidRPr="00C8327F">
              <w:rPr>
                <w:b/>
                <w:sz w:val="20"/>
              </w:rPr>
              <w:t>12</w:t>
            </w:r>
          </w:p>
        </w:tc>
        <w:tc>
          <w:tcPr>
            <w:tcW w:w="1008" w:type="dxa"/>
            <w:tcBorders>
              <w:top w:val="single" w:sz="4" w:space="0" w:color="BFE7FF" w:themeColor="text2" w:themeTint="33"/>
              <w:bottom w:val="single" w:sz="4" w:space="0" w:color="0079C1" w:themeColor="text2"/>
            </w:tcBorders>
            <w:shd w:val="clear" w:color="auto" w:fill="auto"/>
          </w:tcPr>
          <w:p w14:paraId="4884CC41" w14:textId="430FCD93" w:rsidR="00220EB5" w:rsidRPr="00C8327F" w:rsidRDefault="00220EB5" w:rsidP="00220EB5">
            <w:pPr>
              <w:pStyle w:val="TableTextCentred"/>
              <w:rPr>
                <w:b/>
                <w:bCs/>
                <w:sz w:val="20"/>
              </w:rPr>
            </w:pPr>
            <w:r w:rsidRPr="00C8327F">
              <w:rPr>
                <w:b/>
                <w:sz w:val="20"/>
              </w:rPr>
              <w:t>5.5%</w:t>
            </w:r>
          </w:p>
        </w:tc>
      </w:tr>
      <w:tr w:rsidR="00BB4AF7" w:rsidRPr="00C8327F" w14:paraId="799071C2" w14:textId="77777777" w:rsidTr="00400687">
        <w:tc>
          <w:tcPr>
            <w:tcW w:w="1276" w:type="dxa"/>
            <w:tcBorders>
              <w:top w:val="single" w:sz="4" w:space="0" w:color="0079C1" w:themeColor="text2"/>
              <w:bottom w:val="single" w:sz="4" w:space="0" w:color="0079C1" w:themeColor="text2"/>
              <w:right w:val="single" w:sz="4" w:space="0" w:color="0079C1"/>
            </w:tcBorders>
            <w:shd w:val="clear" w:color="auto" w:fill="E2F4FF" w:themeFill="accent1" w:themeFillTint="33"/>
          </w:tcPr>
          <w:p w14:paraId="7C7D70B9" w14:textId="77777777" w:rsidR="00BB4AF7" w:rsidRPr="00C8327F" w:rsidRDefault="00BB4AF7" w:rsidP="00C23A9A">
            <w:pPr>
              <w:pStyle w:val="TableText"/>
              <w:rPr>
                <w:b/>
                <w:bCs/>
                <w:sz w:val="20"/>
              </w:rPr>
            </w:pPr>
            <w:r w:rsidRPr="00C8327F">
              <w:rPr>
                <w:b/>
                <w:bCs/>
                <w:sz w:val="20"/>
              </w:rPr>
              <w:t xml:space="preserve">Total </w:t>
            </w:r>
          </w:p>
        </w:tc>
        <w:tc>
          <w:tcPr>
            <w:tcW w:w="709" w:type="dxa"/>
            <w:tcBorders>
              <w:top w:val="single" w:sz="4" w:space="0" w:color="0079C1" w:themeColor="text2"/>
              <w:left w:val="single" w:sz="4" w:space="0" w:color="0079C1"/>
              <w:bottom w:val="single" w:sz="4" w:space="0" w:color="0079C1" w:themeColor="text2"/>
            </w:tcBorders>
            <w:shd w:val="clear" w:color="auto" w:fill="E2F4FF" w:themeFill="accent1" w:themeFillTint="33"/>
          </w:tcPr>
          <w:p w14:paraId="735A5A6C" w14:textId="77777777" w:rsidR="00BB4AF7" w:rsidRPr="00C8327F" w:rsidRDefault="00BB4AF7" w:rsidP="00C23A9A">
            <w:pPr>
              <w:pStyle w:val="TableTextCentred"/>
              <w:rPr>
                <w:b/>
                <w:bCs/>
                <w:sz w:val="20"/>
              </w:rPr>
            </w:pPr>
            <w:r w:rsidRPr="00C8327F">
              <w:rPr>
                <w:b/>
                <w:bCs/>
                <w:sz w:val="20"/>
              </w:rPr>
              <w:t>108</w:t>
            </w:r>
          </w:p>
        </w:tc>
        <w:tc>
          <w:tcPr>
            <w:tcW w:w="992" w:type="dxa"/>
            <w:tcBorders>
              <w:top w:val="single" w:sz="4" w:space="0" w:color="0079C1" w:themeColor="text2"/>
              <w:bottom w:val="single" w:sz="4" w:space="0" w:color="0079C1" w:themeColor="text2"/>
              <w:right w:val="single" w:sz="4" w:space="0" w:color="0079C1"/>
            </w:tcBorders>
            <w:shd w:val="clear" w:color="auto" w:fill="E2F4FF" w:themeFill="accent1" w:themeFillTint="33"/>
          </w:tcPr>
          <w:p w14:paraId="6C4BCCC1" w14:textId="1D4BD35E" w:rsidR="00BB4AF7" w:rsidRPr="00C8327F" w:rsidRDefault="006168A4" w:rsidP="00C23A9A">
            <w:pPr>
              <w:pStyle w:val="TableTextCentred"/>
              <w:rPr>
                <w:b/>
                <w:bCs/>
                <w:sz w:val="20"/>
              </w:rPr>
            </w:pPr>
            <w:r w:rsidRPr="00C8327F">
              <w:rPr>
                <w:b/>
                <w:bCs/>
                <w:sz w:val="20"/>
              </w:rPr>
              <w:t>100.0</w:t>
            </w:r>
            <w:r w:rsidR="00BB4AF7" w:rsidRPr="00C8327F">
              <w:rPr>
                <w:b/>
                <w:bCs/>
                <w:sz w:val="20"/>
              </w:rPr>
              <w:t>%</w:t>
            </w:r>
          </w:p>
        </w:tc>
        <w:tc>
          <w:tcPr>
            <w:tcW w:w="578" w:type="dxa"/>
            <w:tcBorders>
              <w:top w:val="single" w:sz="4" w:space="0" w:color="0079C1" w:themeColor="text2"/>
              <w:left w:val="single" w:sz="4" w:space="0" w:color="0079C1"/>
              <w:bottom w:val="single" w:sz="4" w:space="0" w:color="0079C1" w:themeColor="text2"/>
            </w:tcBorders>
            <w:shd w:val="clear" w:color="auto" w:fill="E2F4FF" w:themeFill="accent1" w:themeFillTint="33"/>
          </w:tcPr>
          <w:p w14:paraId="32FAFB21" w14:textId="11E6E771" w:rsidR="00BB4AF7" w:rsidRPr="00C8327F" w:rsidRDefault="00BB4AF7" w:rsidP="00C23A9A">
            <w:pPr>
              <w:pStyle w:val="TableTextCentred"/>
              <w:rPr>
                <w:b/>
                <w:bCs/>
                <w:sz w:val="20"/>
              </w:rPr>
            </w:pPr>
            <w:r w:rsidRPr="00C8327F">
              <w:rPr>
                <w:b/>
                <w:bCs/>
                <w:sz w:val="20"/>
              </w:rPr>
              <w:t>19</w:t>
            </w:r>
          </w:p>
        </w:tc>
        <w:tc>
          <w:tcPr>
            <w:tcW w:w="981" w:type="dxa"/>
            <w:tcBorders>
              <w:top w:val="single" w:sz="4" w:space="0" w:color="0079C1" w:themeColor="text2"/>
              <w:bottom w:val="single" w:sz="4" w:space="0" w:color="0079C1" w:themeColor="text2"/>
              <w:right w:val="single" w:sz="4" w:space="0" w:color="0079C1"/>
            </w:tcBorders>
            <w:shd w:val="clear" w:color="auto" w:fill="E2F4FF" w:themeFill="accent1" w:themeFillTint="33"/>
          </w:tcPr>
          <w:p w14:paraId="6180F3EF" w14:textId="2DA9227F" w:rsidR="00BB4AF7" w:rsidRPr="00C8327F" w:rsidRDefault="006168A4" w:rsidP="006168A4">
            <w:pPr>
              <w:pStyle w:val="TableTextCentred"/>
              <w:rPr>
                <w:b/>
                <w:bCs/>
                <w:sz w:val="20"/>
              </w:rPr>
            </w:pPr>
            <w:r w:rsidRPr="00C8327F">
              <w:rPr>
                <w:b/>
                <w:bCs/>
                <w:sz w:val="20"/>
              </w:rPr>
              <w:t>100.0</w:t>
            </w:r>
            <w:r w:rsidR="00BB4AF7" w:rsidRPr="00C8327F">
              <w:rPr>
                <w:b/>
                <w:bCs/>
                <w:sz w:val="20"/>
              </w:rPr>
              <w:t>%</w:t>
            </w:r>
          </w:p>
        </w:tc>
        <w:tc>
          <w:tcPr>
            <w:tcW w:w="510" w:type="dxa"/>
            <w:tcBorders>
              <w:top w:val="single" w:sz="4" w:space="0" w:color="0079C1" w:themeColor="text2"/>
              <w:left w:val="single" w:sz="4" w:space="0" w:color="0079C1"/>
              <w:bottom w:val="single" w:sz="4" w:space="0" w:color="0079C1" w:themeColor="text2"/>
            </w:tcBorders>
            <w:shd w:val="clear" w:color="auto" w:fill="E2F4FF" w:themeFill="accent1" w:themeFillTint="33"/>
          </w:tcPr>
          <w:p w14:paraId="2B1AF496" w14:textId="16A076CA" w:rsidR="00BB4AF7" w:rsidRPr="00C8327F" w:rsidRDefault="00BB4AF7" w:rsidP="00C23A9A">
            <w:pPr>
              <w:pStyle w:val="TableTextCentred"/>
              <w:rPr>
                <w:b/>
                <w:bCs/>
                <w:sz w:val="20"/>
              </w:rPr>
            </w:pPr>
            <w:r w:rsidRPr="00C8327F">
              <w:rPr>
                <w:b/>
                <w:bCs/>
                <w:sz w:val="20"/>
              </w:rPr>
              <w:t>73</w:t>
            </w:r>
          </w:p>
        </w:tc>
        <w:tc>
          <w:tcPr>
            <w:tcW w:w="952" w:type="dxa"/>
            <w:tcBorders>
              <w:top w:val="single" w:sz="4" w:space="0" w:color="0079C1" w:themeColor="text2"/>
              <w:bottom w:val="single" w:sz="4" w:space="0" w:color="0079C1" w:themeColor="text2"/>
              <w:right w:val="single" w:sz="4" w:space="0" w:color="0079C1"/>
            </w:tcBorders>
            <w:shd w:val="clear" w:color="auto" w:fill="E2F4FF" w:themeFill="accent1" w:themeFillTint="33"/>
          </w:tcPr>
          <w:p w14:paraId="4425F363" w14:textId="711CC2F5" w:rsidR="00BB4AF7" w:rsidRPr="00C8327F" w:rsidRDefault="006168A4" w:rsidP="00C23A9A">
            <w:pPr>
              <w:pStyle w:val="TableTextCentred"/>
              <w:rPr>
                <w:b/>
                <w:bCs/>
                <w:sz w:val="20"/>
              </w:rPr>
            </w:pPr>
            <w:r w:rsidRPr="00C8327F">
              <w:rPr>
                <w:b/>
                <w:bCs/>
                <w:sz w:val="20"/>
              </w:rPr>
              <w:t>100.0</w:t>
            </w:r>
            <w:r w:rsidR="00BB4AF7" w:rsidRPr="00C8327F">
              <w:rPr>
                <w:b/>
                <w:bCs/>
                <w:sz w:val="20"/>
              </w:rPr>
              <w:t>%</w:t>
            </w:r>
          </w:p>
        </w:tc>
        <w:tc>
          <w:tcPr>
            <w:tcW w:w="620" w:type="dxa"/>
            <w:tcBorders>
              <w:top w:val="single" w:sz="4" w:space="0" w:color="0079C1" w:themeColor="text2"/>
              <w:left w:val="single" w:sz="4" w:space="0" w:color="0079C1"/>
              <w:bottom w:val="single" w:sz="4" w:space="0" w:color="0079C1" w:themeColor="text2"/>
            </w:tcBorders>
            <w:shd w:val="clear" w:color="auto" w:fill="E2F4FF" w:themeFill="accent1" w:themeFillTint="33"/>
          </w:tcPr>
          <w:p w14:paraId="7EF6EF15" w14:textId="77777777" w:rsidR="00BB4AF7" w:rsidRPr="00C8327F" w:rsidRDefault="00BB4AF7" w:rsidP="00C23A9A">
            <w:pPr>
              <w:pStyle w:val="TableTextCentred"/>
              <w:rPr>
                <w:b/>
                <w:bCs/>
                <w:sz w:val="20"/>
              </w:rPr>
            </w:pPr>
            <w:r w:rsidRPr="00C8327F">
              <w:rPr>
                <w:b/>
                <w:bCs/>
                <w:sz w:val="20"/>
              </w:rPr>
              <w:t>20</w:t>
            </w:r>
          </w:p>
        </w:tc>
        <w:tc>
          <w:tcPr>
            <w:tcW w:w="871" w:type="dxa"/>
            <w:tcBorders>
              <w:top w:val="single" w:sz="4" w:space="0" w:color="0079C1" w:themeColor="text2"/>
              <w:bottom w:val="single" w:sz="4" w:space="0" w:color="0079C1" w:themeColor="text2"/>
              <w:right w:val="single" w:sz="4" w:space="0" w:color="0079C1"/>
            </w:tcBorders>
            <w:shd w:val="clear" w:color="auto" w:fill="E2F4FF" w:themeFill="accent1" w:themeFillTint="33"/>
          </w:tcPr>
          <w:p w14:paraId="623EFBD4" w14:textId="77777777" w:rsidR="00BB4AF7" w:rsidRPr="00C8327F" w:rsidRDefault="00BB4AF7" w:rsidP="00C23A9A">
            <w:pPr>
              <w:pStyle w:val="TableTextCentred"/>
              <w:rPr>
                <w:b/>
                <w:bCs/>
                <w:sz w:val="20"/>
              </w:rPr>
            </w:pPr>
            <w:r w:rsidRPr="00C8327F">
              <w:rPr>
                <w:b/>
                <w:bCs/>
                <w:sz w:val="20"/>
              </w:rPr>
              <w:t>80.0%</w:t>
            </w:r>
          </w:p>
        </w:tc>
        <w:tc>
          <w:tcPr>
            <w:tcW w:w="751" w:type="dxa"/>
            <w:tcBorders>
              <w:top w:val="single" w:sz="4" w:space="0" w:color="0079C1" w:themeColor="text2"/>
              <w:left w:val="single" w:sz="4" w:space="0" w:color="0079C1"/>
              <w:bottom w:val="single" w:sz="4" w:space="0" w:color="0079C1" w:themeColor="text2"/>
            </w:tcBorders>
            <w:shd w:val="clear" w:color="auto" w:fill="E2F4FF" w:themeFill="accent1" w:themeFillTint="33"/>
          </w:tcPr>
          <w:p w14:paraId="254FCFF4" w14:textId="77777777" w:rsidR="00BB4AF7" w:rsidRPr="00C8327F" w:rsidRDefault="00BB4AF7" w:rsidP="00C23A9A">
            <w:pPr>
              <w:pStyle w:val="TableTextCentred"/>
              <w:rPr>
                <w:b/>
                <w:bCs/>
                <w:sz w:val="20"/>
              </w:rPr>
            </w:pPr>
            <w:r w:rsidRPr="00C8327F">
              <w:rPr>
                <w:b/>
                <w:bCs/>
                <w:sz w:val="20"/>
              </w:rPr>
              <w:t>220</w:t>
            </w:r>
          </w:p>
        </w:tc>
        <w:tc>
          <w:tcPr>
            <w:tcW w:w="1008" w:type="dxa"/>
            <w:tcBorders>
              <w:top w:val="single" w:sz="4" w:space="0" w:color="0079C1" w:themeColor="text2"/>
              <w:bottom w:val="single" w:sz="4" w:space="0" w:color="0079C1" w:themeColor="text2"/>
            </w:tcBorders>
            <w:shd w:val="clear" w:color="auto" w:fill="E2F4FF" w:themeFill="accent1" w:themeFillTint="33"/>
          </w:tcPr>
          <w:p w14:paraId="01E9989D" w14:textId="77777777" w:rsidR="00BB4AF7" w:rsidRPr="00C8327F" w:rsidRDefault="00BB4AF7" w:rsidP="00C23A9A">
            <w:pPr>
              <w:pStyle w:val="TableTextCentred"/>
              <w:rPr>
                <w:b/>
                <w:bCs/>
                <w:sz w:val="20"/>
              </w:rPr>
            </w:pPr>
            <w:r w:rsidRPr="00C8327F">
              <w:rPr>
                <w:b/>
                <w:bCs/>
                <w:sz w:val="20"/>
              </w:rPr>
              <w:t>100.0%</w:t>
            </w:r>
          </w:p>
        </w:tc>
      </w:tr>
    </w:tbl>
    <w:bookmarkEnd w:id="102"/>
    <w:p w14:paraId="35691E8F" w14:textId="19696506" w:rsidR="00B43607" w:rsidRPr="00B43607" w:rsidRDefault="00F270F7" w:rsidP="00EB407E">
      <w:pPr>
        <w:pStyle w:val="Paragraph"/>
      </w:pPr>
      <w:r>
        <w:t>H</w:t>
      </w:r>
      <w:r w:rsidR="00B43607" w:rsidRPr="00B43607">
        <w:t>alf of th</w:t>
      </w:r>
      <w:r w:rsidR="00173E19">
        <w:t>e 42</w:t>
      </w:r>
      <w:r w:rsidR="00F02157">
        <w:t xml:space="preserve"> respondents who reported having </w:t>
      </w:r>
      <w:r w:rsidR="00B43607" w:rsidRPr="00B43607">
        <w:t>used the information line rated the information provided as eit</w:t>
      </w:r>
      <w:r>
        <w:t>her very useful or useful (21/42</w:t>
      </w:r>
      <w:r w:rsidR="00B43607" w:rsidRPr="00B43607">
        <w:t>, 5</w:t>
      </w:r>
      <w:r>
        <w:t>0.0</w:t>
      </w:r>
      <w:r w:rsidR="00B43607" w:rsidRPr="00B43607">
        <w:t>%) (</w:t>
      </w:r>
      <w:r w:rsidR="00B43607" w:rsidRPr="00B43607">
        <w:fldChar w:fldCharType="begin"/>
      </w:r>
      <w:r w:rsidR="00B43607" w:rsidRPr="00B43607">
        <w:instrText xml:space="preserve"> REF _Ref462664881 \h  \* MERGEFORMAT </w:instrText>
      </w:r>
      <w:r w:rsidR="00B43607" w:rsidRPr="00B43607">
        <w:fldChar w:fldCharType="separate"/>
      </w:r>
      <w:r w:rsidR="00487073" w:rsidRPr="00487073">
        <w:rPr>
          <w:i/>
          <w:iCs/>
        </w:rPr>
        <w:t>Table 5</w:t>
      </w:r>
      <w:r w:rsidR="00487073" w:rsidRPr="00487073">
        <w:rPr>
          <w:i/>
          <w:iCs/>
        </w:rPr>
        <w:noBreakHyphen/>
        <w:t>10</w:t>
      </w:r>
      <w:r w:rsidR="00B43607" w:rsidRPr="00B43607">
        <w:fldChar w:fldCharType="end"/>
      </w:r>
      <w:r w:rsidR="00B43607" w:rsidRPr="00B43607">
        <w:t>).</w:t>
      </w:r>
    </w:p>
    <w:p w14:paraId="1CC620E7" w14:textId="3CEE6946" w:rsidR="00B43607" w:rsidRPr="00B43607" w:rsidRDefault="00B43607" w:rsidP="00EB407E">
      <w:pPr>
        <w:pStyle w:val="Caption"/>
      </w:pPr>
      <w:bookmarkStart w:id="104" w:name="_Ref462664881"/>
      <w:bookmarkStart w:id="105" w:name="_Toc490481660"/>
      <w:bookmarkStart w:id="106" w:name="_Hlk489616183"/>
      <w:r w:rsidRPr="00B43607">
        <w:t>Table</w:t>
      </w:r>
      <w:r w:rsidR="00EB407E">
        <w:t> </w:t>
      </w:r>
      <w:r w:rsidR="00644B63">
        <w:fldChar w:fldCharType="begin"/>
      </w:r>
      <w:r w:rsidR="00644B63">
        <w:instrText xml:space="preserve"> STYLEREF 1 \s </w:instrText>
      </w:r>
      <w:r w:rsidR="00644B63">
        <w:fldChar w:fldCharType="separate"/>
      </w:r>
      <w:r w:rsidR="00487073">
        <w:rPr>
          <w:noProof/>
        </w:rPr>
        <w:t>5</w:t>
      </w:r>
      <w:r w:rsidR="00644B63">
        <w:fldChar w:fldCharType="end"/>
      </w:r>
      <w:r w:rsidR="00644B63">
        <w:noBreakHyphen/>
      </w:r>
      <w:r w:rsidR="00644B63">
        <w:fldChar w:fldCharType="begin"/>
      </w:r>
      <w:r w:rsidR="00644B63">
        <w:instrText xml:space="preserve"> SEQ Table \* ARABIC \s 1 </w:instrText>
      </w:r>
      <w:r w:rsidR="00644B63">
        <w:fldChar w:fldCharType="separate"/>
      </w:r>
      <w:r w:rsidR="00487073">
        <w:rPr>
          <w:noProof/>
        </w:rPr>
        <w:t>10</w:t>
      </w:r>
      <w:r w:rsidR="00644B63">
        <w:fldChar w:fldCharType="end"/>
      </w:r>
      <w:bookmarkEnd w:id="104"/>
      <w:r w:rsidR="00EB407E">
        <w:t>:</w:t>
      </w:r>
      <w:r w:rsidR="00EB407E">
        <w:tab/>
      </w:r>
      <w:r w:rsidR="00173E19">
        <w:t xml:space="preserve">Parental </w:t>
      </w:r>
      <w:r w:rsidR="00F270F7">
        <w:t>r</w:t>
      </w:r>
      <w:r w:rsidR="00F270F7" w:rsidRPr="00B43607">
        <w:t>espondents’</w:t>
      </w:r>
      <w:r w:rsidRPr="00B43607">
        <w:t xml:space="preserve"> assessment of the usefulness of information provided by </w:t>
      </w:r>
      <w:r w:rsidR="000E6A08">
        <w:t>information</w:t>
      </w:r>
      <w:r w:rsidR="00EB407E">
        <w:t> </w:t>
      </w:r>
      <w:r w:rsidR="000E6A08">
        <w:t>line</w:t>
      </w:r>
      <w:r w:rsidR="00EB407E">
        <w:t> </w:t>
      </w:r>
      <w:r w:rsidRPr="00B43607">
        <w:t>staff</w:t>
      </w:r>
      <w:bookmarkEnd w:id="105"/>
    </w:p>
    <w:tbl>
      <w:tblPr>
        <w:tblStyle w:val="TableGrid"/>
        <w:tblW w:w="9356" w:type="dxa"/>
        <w:tblInd w:w="101"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Description w:val="Table 5 10: Parental respondents’ assessment of the usefulness of information provided by information line staff"/>
      </w:tblPr>
      <w:tblGrid>
        <w:gridCol w:w="1556"/>
        <w:gridCol w:w="712"/>
        <w:gridCol w:w="851"/>
        <w:gridCol w:w="709"/>
        <w:gridCol w:w="850"/>
        <w:gridCol w:w="709"/>
        <w:gridCol w:w="850"/>
        <w:gridCol w:w="709"/>
        <w:gridCol w:w="851"/>
        <w:gridCol w:w="708"/>
        <w:gridCol w:w="851"/>
      </w:tblGrid>
      <w:tr w:rsidR="00F7061F" w:rsidRPr="00F7061F" w14:paraId="13AED6B0" w14:textId="77777777" w:rsidTr="008E7495">
        <w:trPr>
          <w:tblHeader/>
        </w:trPr>
        <w:tc>
          <w:tcPr>
            <w:tcW w:w="1556" w:type="dxa"/>
            <w:vMerge w:val="restart"/>
            <w:shd w:val="clear" w:color="auto" w:fill="0079C1" w:themeFill="text2"/>
            <w:vAlign w:val="center"/>
          </w:tcPr>
          <w:p w14:paraId="77E9064C" w14:textId="206FF112" w:rsidR="00B43607" w:rsidRPr="00F7061F" w:rsidRDefault="00B43607" w:rsidP="00EB407E">
            <w:pPr>
              <w:pStyle w:val="TableHeading1"/>
              <w:rPr>
                <w:rFonts w:asciiTheme="minorHAnsi" w:hAnsiTheme="minorHAnsi"/>
                <w:sz w:val="20"/>
              </w:rPr>
            </w:pPr>
            <w:r w:rsidRPr="00F7061F">
              <w:rPr>
                <w:rFonts w:asciiTheme="minorHAnsi" w:hAnsiTheme="minorHAnsi"/>
                <w:sz w:val="20"/>
              </w:rPr>
              <w:t xml:space="preserve">Usefulness of information provided by </w:t>
            </w:r>
            <w:r w:rsidR="000E6A08" w:rsidRPr="00F7061F">
              <w:rPr>
                <w:rFonts w:asciiTheme="minorHAnsi" w:hAnsiTheme="minorHAnsi"/>
                <w:sz w:val="20"/>
              </w:rPr>
              <w:t>information line</w:t>
            </w:r>
            <w:r w:rsidRPr="00F7061F">
              <w:rPr>
                <w:rFonts w:asciiTheme="minorHAnsi" w:hAnsiTheme="minorHAnsi"/>
                <w:sz w:val="20"/>
              </w:rPr>
              <w:t xml:space="preserve"> staff</w:t>
            </w:r>
          </w:p>
        </w:tc>
        <w:tc>
          <w:tcPr>
            <w:tcW w:w="3122" w:type="dxa"/>
            <w:gridSpan w:val="4"/>
            <w:shd w:val="clear" w:color="auto" w:fill="0079C1" w:themeFill="text2"/>
          </w:tcPr>
          <w:p w14:paraId="41A37D48" w14:textId="77777777" w:rsidR="00B43607" w:rsidRPr="00F7061F" w:rsidRDefault="00B43607" w:rsidP="00EB407E">
            <w:pPr>
              <w:pStyle w:val="TableHeading1Centred"/>
              <w:rPr>
                <w:rFonts w:asciiTheme="minorHAnsi" w:hAnsiTheme="minorHAnsi"/>
                <w:sz w:val="20"/>
              </w:rPr>
            </w:pPr>
            <w:r w:rsidRPr="00F7061F">
              <w:rPr>
                <w:rFonts w:asciiTheme="minorHAnsi" w:hAnsiTheme="minorHAnsi"/>
                <w:sz w:val="20"/>
              </w:rPr>
              <w:t>Wanting to adopt</w:t>
            </w:r>
          </w:p>
        </w:tc>
        <w:tc>
          <w:tcPr>
            <w:tcW w:w="1559" w:type="dxa"/>
            <w:gridSpan w:val="2"/>
            <w:shd w:val="clear" w:color="auto" w:fill="0079C1" w:themeFill="text2"/>
            <w:vAlign w:val="center"/>
          </w:tcPr>
          <w:p w14:paraId="380A0DBF" w14:textId="77777777" w:rsidR="00B43607" w:rsidRPr="00F7061F" w:rsidRDefault="00B43607" w:rsidP="00EB407E">
            <w:pPr>
              <w:pStyle w:val="TableHeading1Centred"/>
              <w:rPr>
                <w:rFonts w:asciiTheme="minorHAnsi" w:hAnsiTheme="minorHAnsi"/>
                <w:sz w:val="20"/>
              </w:rPr>
            </w:pPr>
            <w:r w:rsidRPr="00F7061F">
              <w:rPr>
                <w:rFonts w:asciiTheme="minorHAnsi" w:hAnsiTheme="minorHAnsi"/>
                <w:sz w:val="20"/>
              </w:rPr>
              <w:t>Post adoption</w:t>
            </w:r>
          </w:p>
        </w:tc>
        <w:tc>
          <w:tcPr>
            <w:tcW w:w="1560" w:type="dxa"/>
            <w:gridSpan w:val="2"/>
            <w:vMerge w:val="restart"/>
            <w:shd w:val="clear" w:color="auto" w:fill="0079C1" w:themeFill="text2"/>
            <w:vAlign w:val="center"/>
          </w:tcPr>
          <w:p w14:paraId="74BE2303" w14:textId="77777777" w:rsidR="00B43607" w:rsidRPr="00F7061F" w:rsidRDefault="00B43607" w:rsidP="00EB407E">
            <w:pPr>
              <w:pStyle w:val="TableHeading1Centred"/>
              <w:rPr>
                <w:rFonts w:asciiTheme="minorHAnsi" w:hAnsiTheme="minorHAnsi"/>
                <w:sz w:val="20"/>
              </w:rPr>
            </w:pPr>
            <w:r w:rsidRPr="00F7061F">
              <w:rPr>
                <w:rFonts w:asciiTheme="minorHAnsi" w:hAnsiTheme="minorHAnsi"/>
                <w:sz w:val="20"/>
              </w:rPr>
              <w:t>Did not continue</w:t>
            </w:r>
          </w:p>
        </w:tc>
        <w:tc>
          <w:tcPr>
            <w:tcW w:w="1559" w:type="dxa"/>
            <w:gridSpan w:val="2"/>
            <w:vMerge w:val="restart"/>
            <w:shd w:val="clear" w:color="auto" w:fill="0079C1" w:themeFill="text2"/>
            <w:vAlign w:val="center"/>
          </w:tcPr>
          <w:p w14:paraId="3D5226FF" w14:textId="77777777" w:rsidR="00B43607" w:rsidRPr="00F7061F" w:rsidRDefault="00B43607" w:rsidP="00EB407E">
            <w:pPr>
              <w:pStyle w:val="TableHeading1Centred"/>
              <w:rPr>
                <w:rFonts w:asciiTheme="minorHAnsi" w:hAnsiTheme="minorHAnsi"/>
                <w:sz w:val="20"/>
              </w:rPr>
            </w:pPr>
            <w:r w:rsidRPr="00F7061F">
              <w:rPr>
                <w:rFonts w:asciiTheme="minorHAnsi" w:hAnsiTheme="minorHAnsi"/>
                <w:sz w:val="20"/>
              </w:rPr>
              <w:t>Total</w:t>
            </w:r>
          </w:p>
        </w:tc>
      </w:tr>
      <w:tr w:rsidR="0087246C" w:rsidRPr="00F7061F" w14:paraId="3691D369" w14:textId="77777777" w:rsidTr="008E7495">
        <w:trPr>
          <w:tblHeader/>
        </w:trPr>
        <w:tc>
          <w:tcPr>
            <w:tcW w:w="1556" w:type="dxa"/>
            <w:vMerge/>
            <w:shd w:val="clear" w:color="auto" w:fill="0079C1" w:themeFill="text2"/>
          </w:tcPr>
          <w:p w14:paraId="356ECD71" w14:textId="77777777" w:rsidR="00B43607" w:rsidRPr="00F7061F" w:rsidRDefault="00B43607" w:rsidP="00EB407E">
            <w:pPr>
              <w:pStyle w:val="TableText"/>
              <w:rPr>
                <w:rFonts w:asciiTheme="minorHAnsi" w:hAnsiTheme="minorHAnsi"/>
                <w:sz w:val="20"/>
                <w:szCs w:val="20"/>
                <w:lang w:eastAsia="en-AU"/>
              </w:rPr>
            </w:pPr>
          </w:p>
        </w:tc>
        <w:tc>
          <w:tcPr>
            <w:tcW w:w="1563" w:type="dxa"/>
            <w:gridSpan w:val="2"/>
            <w:shd w:val="clear" w:color="auto" w:fill="0079C1" w:themeFill="text2"/>
          </w:tcPr>
          <w:p w14:paraId="76CC4808" w14:textId="77777777" w:rsidR="00B43607" w:rsidRPr="00F7061F" w:rsidRDefault="00B43607" w:rsidP="00EB407E">
            <w:pPr>
              <w:pStyle w:val="TableHeading1Centred"/>
              <w:rPr>
                <w:rFonts w:asciiTheme="minorHAnsi" w:hAnsiTheme="minorHAnsi"/>
                <w:sz w:val="20"/>
              </w:rPr>
            </w:pPr>
            <w:r w:rsidRPr="00F7061F">
              <w:rPr>
                <w:rFonts w:asciiTheme="minorHAnsi" w:hAnsiTheme="minorHAnsi"/>
                <w:sz w:val="20"/>
              </w:rPr>
              <w:t>First time</w:t>
            </w:r>
          </w:p>
        </w:tc>
        <w:tc>
          <w:tcPr>
            <w:tcW w:w="1559" w:type="dxa"/>
            <w:gridSpan w:val="2"/>
            <w:shd w:val="clear" w:color="auto" w:fill="0079C1" w:themeFill="text2"/>
          </w:tcPr>
          <w:p w14:paraId="15F44EE6" w14:textId="77777777" w:rsidR="00B43607" w:rsidRPr="00F7061F" w:rsidRDefault="00B43607" w:rsidP="00EB407E">
            <w:pPr>
              <w:pStyle w:val="TableHeading1Centred"/>
              <w:rPr>
                <w:rFonts w:asciiTheme="minorHAnsi" w:hAnsiTheme="minorHAnsi"/>
                <w:sz w:val="20"/>
              </w:rPr>
            </w:pPr>
            <w:r w:rsidRPr="00F7061F">
              <w:rPr>
                <w:rFonts w:asciiTheme="minorHAnsi" w:hAnsiTheme="minorHAnsi"/>
                <w:sz w:val="20"/>
              </w:rPr>
              <w:t>Repeat</w:t>
            </w:r>
          </w:p>
        </w:tc>
        <w:tc>
          <w:tcPr>
            <w:tcW w:w="1559" w:type="dxa"/>
            <w:gridSpan w:val="2"/>
            <w:shd w:val="clear" w:color="auto" w:fill="0079C1" w:themeFill="text2"/>
          </w:tcPr>
          <w:p w14:paraId="588387EC" w14:textId="77777777" w:rsidR="00B43607" w:rsidRPr="00F7061F" w:rsidRDefault="00B43607" w:rsidP="00EB407E">
            <w:pPr>
              <w:pStyle w:val="TableHeading1Centred"/>
              <w:rPr>
                <w:rFonts w:asciiTheme="minorHAnsi" w:hAnsiTheme="minorHAnsi"/>
                <w:sz w:val="20"/>
              </w:rPr>
            </w:pPr>
          </w:p>
        </w:tc>
        <w:tc>
          <w:tcPr>
            <w:tcW w:w="1560" w:type="dxa"/>
            <w:gridSpan w:val="2"/>
            <w:vMerge/>
            <w:shd w:val="clear" w:color="auto" w:fill="0079C1" w:themeFill="text2"/>
          </w:tcPr>
          <w:p w14:paraId="490255AE" w14:textId="77777777" w:rsidR="00B43607" w:rsidRPr="00F7061F" w:rsidRDefault="00B43607" w:rsidP="00EB407E">
            <w:pPr>
              <w:pStyle w:val="TableHeading1Centred"/>
              <w:rPr>
                <w:rFonts w:asciiTheme="minorHAnsi" w:hAnsiTheme="minorHAnsi"/>
                <w:sz w:val="20"/>
              </w:rPr>
            </w:pPr>
          </w:p>
        </w:tc>
        <w:tc>
          <w:tcPr>
            <w:tcW w:w="1559" w:type="dxa"/>
            <w:gridSpan w:val="2"/>
            <w:vMerge/>
            <w:shd w:val="clear" w:color="auto" w:fill="0079C1" w:themeFill="text2"/>
          </w:tcPr>
          <w:p w14:paraId="799DD218" w14:textId="77777777" w:rsidR="00B43607" w:rsidRPr="00F7061F" w:rsidRDefault="00B43607" w:rsidP="00EB407E">
            <w:pPr>
              <w:pStyle w:val="TableHeading1Centred"/>
              <w:rPr>
                <w:rFonts w:asciiTheme="minorHAnsi" w:hAnsiTheme="minorHAnsi"/>
                <w:sz w:val="20"/>
              </w:rPr>
            </w:pPr>
          </w:p>
        </w:tc>
      </w:tr>
      <w:tr w:rsidR="00DE69E7" w:rsidRPr="00F7061F" w14:paraId="30EA64FF" w14:textId="77777777" w:rsidTr="008E7495">
        <w:trPr>
          <w:tblHeader/>
        </w:trPr>
        <w:tc>
          <w:tcPr>
            <w:tcW w:w="1556" w:type="dxa"/>
            <w:vMerge/>
          </w:tcPr>
          <w:p w14:paraId="1368442E" w14:textId="77777777" w:rsidR="00B43607" w:rsidRPr="00F7061F" w:rsidRDefault="00B43607" w:rsidP="00EB407E">
            <w:pPr>
              <w:pStyle w:val="TableText"/>
              <w:rPr>
                <w:rFonts w:asciiTheme="minorHAnsi" w:hAnsiTheme="minorHAnsi" w:cs="Arial"/>
                <w:color w:val="333333"/>
                <w:sz w:val="20"/>
                <w:szCs w:val="20"/>
              </w:rPr>
            </w:pPr>
          </w:p>
        </w:tc>
        <w:tc>
          <w:tcPr>
            <w:tcW w:w="712" w:type="dxa"/>
            <w:shd w:val="clear" w:color="auto" w:fill="0079C1" w:themeFill="text2"/>
          </w:tcPr>
          <w:p w14:paraId="220C54CE" w14:textId="77777777" w:rsidR="00B43607" w:rsidRPr="00F7061F" w:rsidRDefault="00B43607" w:rsidP="00EB407E">
            <w:pPr>
              <w:pStyle w:val="TableHeading1Centred"/>
              <w:rPr>
                <w:rFonts w:asciiTheme="minorHAnsi" w:hAnsiTheme="minorHAnsi"/>
                <w:sz w:val="20"/>
              </w:rPr>
            </w:pPr>
            <w:r w:rsidRPr="00F7061F">
              <w:rPr>
                <w:rFonts w:asciiTheme="minorHAnsi" w:hAnsiTheme="minorHAnsi"/>
                <w:sz w:val="20"/>
              </w:rPr>
              <w:t>n</w:t>
            </w:r>
          </w:p>
        </w:tc>
        <w:tc>
          <w:tcPr>
            <w:tcW w:w="851" w:type="dxa"/>
            <w:shd w:val="clear" w:color="auto" w:fill="0079C1" w:themeFill="text2"/>
          </w:tcPr>
          <w:p w14:paraId="4E1E303D" w14:textId="77777777" w:rsidR="00B43607" w:rsidRPr="00F7061F" w:rsidRDefault="00B43607" w:rsidP="00EB407E">
            <w:pPr>
              <w:pStyle w:val="TableHeading1Centred"/>
              <w:rPr>
                <w:rFonts w:asciiTheme="minorHAnsi" w:hAnsiTheme="minorHAnsi"/>
                <w:sz w:val="20"/>
              </w:rPr>
            </w:pPr>
            <w:r w:rsidRPr="00F7061F">
              <w:rPr>
                <w:rFonts w:asciiTheme="minorHAnsi" w:hAnsiTheme="minorHAnsi"/>
                <w:sz w:val="20"/>
              </w:rPr>
              <w:t>%</w:t>
            </w:r>
          </w:p>
        </w:tc>
        <w:tc>
          <w:tcPr>
            <w:tcW w:w="709" w:type="dxa"/>
            <w:shd w:val="clear" w:color="auto" w:fill="0079C1" w:themeFill="text2"/>
          </w:tcPr>
          <w:p w14:paraId="772D5FFC" w14:textId="77777777" w:rsidR="00B43607" w:rsidRPr="00F7061F" w:rsidRDefault="00B43607" w:rsidP="00EB407E">
            <w:pPr>
              <w:pStyle w:val="TableHeading1Centred"/>
              <w:rPr>
                <w:rFonts w:asciiTheme="minorHAnsi" w:hAnsiTheme="minorHAnsi"/>
                <w:sz w:val="20"/>
              </w:rPr>
            </w:pPr>
            <w:r w:rsidRPr="00F7061F">
              <w:rPr>
                <w:rFonts w:asciiTheme="minorHAnsi" w:hAnsiTheme="minorHAnsi"/>
                <w:sz w:val="20"/>
              </w:rPr>
              <w:t>n</w:t>
            </w:r>
          </w:p>
        </w:tc>
        <w:tc>
          <w:tcPr>
            <w:tcW w:w="850" w:type="dxa"/>
            <w:shd w:val="clear" w:color="auto" w:fill="0079C1" w:themeFill="text2"/>
          </w:tcPr>
          <w:p w14:paraId="22C83FDC" w14:textId="77777777" w:rsidR="00B43607" w:rsidRPr="00F7061F" w:rsidRDefault="00B43607" w:rsidP="00EB407E">
            <w:pPr>
              <w:pStyle w:val="TableHeading1Centred"/>
              <w:rPr>
                <w:rFonts w:asciiTheme="minorHAnsi" w:hAnsiTheme="minorHAnsi"/>
                <w:sz w:val="20"/>
              </w:rPr>
            </w:pPr>
            <w:r w:rsidRPr="00F7061F">
              <w:rPr>
                <w:rFonts w:asciiTheme="minorHAnsi" w:hAnsiTheme="minorHAnsi"/>
                <w:sz w:val="20"/>
              </w:rPr>
              <w:t>%</w:t>
            </w:r>
          </w:p>
        </w:tc>
        <w:tc>
          <w:tcPr>
            <w:tcW w:w="709" w:type="dxa"/>
            <w:shd w:val="clear" w:color="auto" w:fill="0079C1" w:themeFill="text2"/>
          </w:tcPr>
          <w:p w14:paraId="77469164" w14:textId="77777777" w:rsidR="00B43607" w:rsidRPr="00F7061F" w:rsidRDefault="00B43607" w:rsidP="00EB407E">
            <w:pPr>
              <w:pStyle w:val="TableHeading1Centred"/>
              <w:rPr>
                <w:rFonts w:asciiTheme="minorHAnsi" w:hAnsiTheme="minorHAnsi"/>
                <w:sz w:val="20"/>
              </w:rPr>
            </w:pPr>
            <w:r w:rsidRPr="00F7061F">
              <w:rPr>
                <w:rFonts w:asciiTheme="minorHAnsi" w:hAnsiTheme="minorHAnsi"/>
                <w:sz w:val="20"/>
              </w:rPr>
              <w:t>n</w:t>
            </w:r>
          </w:p>
        </w:tc>
        <w:tc>
          <w:tcPr>
            <w:tcW w:w="850" w:type="dxa"/>
            <w:shd w:val="clear" w:color="auto" w:fill="0079C1" w:themeFill="text2"/>
          </w:tcPr>
          <w:p w14:paraId="6944AB8D" w14:textId="77777777" w:rsidR="00B43607" w:rsidRPr="00F7061F" w:rsidRDefault="00B43607" w:rsidP="00EB407E">
            <w:pPr>
              <w:pStyle w:val="TableHeading1Centred"/>
              <w:rPr>
                <w:rFonts w:asciiTheme="minorHAnsi" w:hAnsiTheme="minorHAnsi"/>
                <w:sz w:val="20"/>
              </w:rPr>
            </w:pPr>
            <w:r w:rsidRPr="00F7061F">
              <w:rPr>
                <w:rFonts w:asciiTheme="minorHAnsi" w:hAnsiTheme="minorHAnsi"/>
                <w:sz w:val="20"/>
              </w:rPr>
              <w:t>%</w:t>
            </w:r>
          </w:p>
        </w:tc>
        <w:tc>
          <w:tcPr>
            <w:tcW w:w="709" w:type="dxa"/>
            <w:shd w:val="clear" w:color="auto" w:fill="0079C1" w:themeFill="text2"/>
          </w:tcPr>
          <w:p w14:paraId="0A7634BD" w14:textId="77777777" w:rsidR="00B43607" w:rsidRPr="00F7061F" w:rsidRDefault="00B43607" w:rsidP="00EB407E">
            <w:pPr>
              <w:pStyle w:val="TableHeading1Centred"/>
              <w:rPr>
                <w:rFonts w:asciiTheme="minorHAnsi" w:hAnsiTheme="minorHAnsi"/>
                <w:sz w:val="20"/>
              </w:rPr>
            </w:pPr>
            <w:r w:rsidRPr="00F7061F">
              <w:rPr>
                <w:rFonts w:asciiTheme="minorHAnsi" w:hAnsiTheme="minorHAnsi"/>
                <w:sz w:val="20"/>
              </w:rPr>
              <w:t>n</w:t>
            </w:r>
          </w:p>
        </w:tc>
        <w:tc>
          <w:tcPr>
            <w:tcW w:w="851" w:type="dxa"/>
            <w:shd w:val="clear" w:color="auto" w:fill="0079C1" w:themeFill="text2"/>
          </w:tcPr>
          <w:p w14:paraId="73D1FB71" w14:textId="77777777" w:rsidR="00B43607" w:rsidRPr="00F7061F" w:rsidRDefault="00B43607" w:rsidP="00EB407E">
            <w:pPr>
              <w:pStyle w:val="TableHeading1Centred"/>
              <w:rPr>
                <w:rFonts w:asciiTheme="minorHAnsi" w:hAnsiTheme="minorHAnsi"/>
                <w:sz w:val="20"/>
              </w:rPr>
            </w:pPr>
            <w:r w:rsidRPr="00F7061F">
              <w:rPr>
                <w:rFonts w:asciiTheme="minorHAnsi" w:hAnsiTheme="minorHAnsi"/>
                <w:sz w:val="20"/>
              </w:rPr>
              <w:t>%</w:t>
            </w:r>
          </w:p>
        </w:tc>
        <w:tc>
          <w:tcPr>
            <w:tcW w:w="708" w:type="dxa"/>
            <w:shd w:val="clear" w:color="auto" w:fill="0079C1" w:themeFill="text2"/>
          </w:tcPr>
          <w:p w14:paraId="59A81483" w14:textId="77777777" w:rsidR="00B43607" w:rsidRPr="00F7061F" w:rsidRDefault="00B43607" w:rsidP="00EB407E">
            <w:pPr>
              <w:pStyle w:val="TableHeading1Centred"/>
              <w:rPr>
                <w:rFonts w:asciiTheme="minorHAnsi" w:hAnsiTheme="minorHAnsi"/>
                <w:sz w:val="20"/>
              </w:rPr>
            </w:pPr>
            <w:r w:rsidRPr="00F7061F">
              <w:rPr>
                <w:rFonts w:asciiTheme="minorHAnsi" w:hAnsiTheme="minorHAnsi"/>
                <w:sz w:val="20"/>
              </w:rPr>
              <w:t>n</w:t>
            </w:r>
          </w:p>
        </w:tc>
        <w:tc>
          <w:tcPr>
            <w:tcW w:w="851" w:type="dxa"/>
            <w:shd w:val="clear" w:color="auto" w:fill="0079C1" w:themeFill="text2"/>
          </w:tcPr>
          <w:p w14:paraId="2027C62D" w14:textId="77777777" w:rsidR="00B43607" w:rsidRPr="00F7061F" w:rsidRDefault="00B43607" w:rsidP="00EB407E">
            <w:pPr>
              <w:pStyle w:val="TableHeading1Centred"/>
              <w:rPr>
                <w:rFonts w:asciiTheme="minorHAnsi" w:hAnsiTheme="minorHAnsi"/>
                <w:sz w:val="20"/>
              </w:rPr>
            </w:pPr>
            <w:r w:rsidRPr="00F7061F">
              <w:rPr>
                <w:rFonts w:asciiTheme="minorHAnsi" w:hAnsiTheme="minorHAnsi"/>
                <w:sz w:val="20"/>
              </w:rPr>
              <w:t>%</w:t>
            </w:r>
          </w:p>
        </w:tc>
      </w:tr>
      <w:tr w:rsidR="005749F4" w:rsidRPr="00F7061F" w14:paraId="24DB99C2" w14:textId="77777777" w:rsidTr="00C8327F">
        <w:trPr>
          <w:trHeight w:val="249"/>
        </w:trPr>
        <w:tc>
          <w:tcPr>
            <w:tcW w:w="1556" w:type="dxa"/>
            <w:tcBorders>
              <w:right w:val="single" w:sz="4" w:space="0" w:color="0079C1"/>
            </w:tcBorders>
            <w:shd w:val="clear" w:color="auto" w:fill="auto"/>
          </w:tcPr>
          <w:p w14:paraId="2B314A67" w14:textId="77777777" w:rsidR="005749F4" w:rsidRPr="00C8327F" w:rsidRDefault="005749F4" w:rsidP="005749F4">
            <w:pPr>
              <w:pStyle w:val="TableText"/>
              <w:rPr>
                <w:rFonts w:asciiTheme="minorHAnsi" w:hAnsiTheme="minorHAnsi"/>
                <w:sz w:val="20"/>
                <w:szCs w:val="20"/>
              </w:rPr>
            </w:pPr>
            <w:r w:rsidRPr="00C8327F">
              <w:rPr>
                <w:rFonts w:asciiTheme="minorHAnsi" w:hAnsiTheme="minorHAnsi"/>
                <w:sz w:val="20"/>
                <w:szCs w:val="20"/>
              </w:rPr>
              <w:t>Very useful</w:t>
            </w:r>
          </w:p>
        </w:tc>
        <w:tc>
          <w:tcPr>
            <w:tcW w:w="712" w:type="dxa"/>
            <w:tcBorders>
              <w:left w:val="single" w:sz="4" w:space="0" w:color="0079C1"/>
            </w:tcBorders>
            <w:shd w:val="clear" w:color="auto" w:fill="auto"/>
          </w:tcPr>
          <w:p w14:paraId="1D001B00" w14:textId="500EAAEF" w:rsidR="005749F4" w:rsidRPr="00C8327F" w:rsidRDefault="005749F4" w:rsidP="005749F4">
            <w:pPr>
              <w:pStyle w:val="TableTextCentred"/>
              <w:rPr>
                <w:rFonts w:asciiTheme="minorHAnsi" w:hAnsiTheme="minorHAnsi"/>
                <w:sz w:val="20"/>
                <w:szCs w:val="20"/>
              </w:rPr>
            </w:pPr>
            <w:r w:rsidRPr="00C8327F">
              <w:rPr>
                <w:sz w:val="20"/>
                <w:szCs w:val="20"/>
              </w:rPr>
              <w:t>9</w:t>
            </w:r>
          </w:p>
        </w:tc>
        <w:tc>
          <w:tcPr>
            <w:tcW w:w="851" w:type="dxa"/>
            <w:tcBorders>
              <w:right w:val="single" w:sz="4" w:space="0" w:color="0079C1"/>
            </w:tcBorders>
            <w:shd w:val="clear" w:color="auto" w:fill="auto"/>
          </w:tcPr>
          <w:p w14:paraId="281890B7" w14:textId="39AE0C16" w:rsidR="005749F4" w:rsidRPr="00C8327F" w:rsidRDefault="005749F4" w:rsidP="005749F4">
            <w:pPr>
              <w:pStyle w:val="TableTextCentred"/>
              <w:rPr>
                <w:rFonts w:asciiTheme="minorHAnsi" w:hAnsiTheme="minorHAnsi"/>
                <w:sz w:val="20"/>
                <w:szCs w:val="20"/>
              </w:rPr>
            </w:pPr>
            <w:r w:rsidRPr="00C8327F">
              <w:rPr>
                <w:sz w:val="20"/>
                <w:szCs w:val="20"/>
              </w:rPr>
              <w:t>8.3%</w:t>
            </w:r>
          </w:p>
        </w:tc>
        <w:tc>
          <w:tcPr>
            <w:tcW w:w="709" w:type="dxa"/>
            <w:tcBorders>
              <w:left w:val="single" w:sz="4" w:space="0" w:color="0079C1"/>
            </w:tcBorders>
            <w:shd w:val="clear" w:color="auto" w:fill="auto"/>
          </w:tcPr>
          <w:p w14:paraId="51747B6B" w14:textId="1136E3A0" w:rsidR="005749F4" w:rsidRPr="00C8327F" w:rsidRDefault="005749F4" w:rsidP="005749F4">
            <w:pPr>
              <w:pStyle w:val="TableTextCentred"/>
              <w:rPr>
                <w:rFonts w:asciiTheme="minorHAnsi" w:hAnsiTheme="minorHAnsi"/>
                <w:sz w:val="20"/>
                <w:szCs w:val="20"/>
              </w:rPr>
            </w:pPr>
            <w:r w:rsidRPr="00C8327F">
              <w:rPr>
                <w:sz w:val="20"/>
                <w:szCs w:val="20"/>
              </w:rPr>
              <w:t>-</w:t>
            </w:r>
          </w:p>
        </w:tc>
        <w:tc>
          <w:tcPr>
            <w:tcW w:w="850" w:type="dxa"/>
            <w:tcBorders>
              <w:right w:val="single" w:sz="4" w:space="0" w:color="0079C1"/>
            </w:tcBorders>
            <w:shd w:val="clear" w:color="auto" w:fill="auto"/>
          </w:tcPr>
          <w:p w14:paraId="7CAFA7E3" w14:textId="4F77FDC1" w:rsidR="005749F4" w:rsidRPr="00C8327F" w:rsidRDefault="005749F4" w:rsidP="005749F4">
            <w:pPr>
              <w:pStyle w:val="TableTextCentred"/>
              <w:rPr>
                <w:rFonts w:asciiTheme="minorHAnsi" w:hAnsiTheme="minorHAnsi"/>
                <w:sz w:val="20"/>
                <w:szCs w:val="20"/>
              </w:rPr>
            </w:pPr>
            <w:r w:rsidRPr="00C8327F">
              <w:rPr>
                <w:sz w:val="20"/>
                <w:szCs w:val="20"/>
              </w:rPr>
              <w:t>-</w:t>
            </w:r>
          </w:p>
        </w:tc>
        <w:tc>
          <w:tcPr>
            <w:tcW w:w="709" w:type="dxa"/>
            <w:tcBorders>
              <w:left w:val="single" w:sz="4" w:space="0" w:color="0079C1"/>
            </w:tcBorders>
            <w:shd w:val="clear" w:color="auto" w:fill="auto"/>
          </w:tcPr>
          <w:p w14:paraId="79C89E81" w14:textId="6D0D531F" w:rsidR="005749F4" w:rsidRPr="00C8327F" w:rsidRDefault="005749F4" w:rsidP="005749F4">
            <w:pPr>
              <w:pStyle w:val="TableTextCentred"/>
              <w:rPr>
                <w:rFonts w:asciiTheme="minorHAnsi" w:hAnsiTheme="minorHAnsi"/>
                <w:sz w:val="20"/>
                <w:szCs w:val="20"/>
              </w:rPr>
            </w:pPr>
            <w:r w:rsidRPr="00C8327F">
              <w:rPr>
                <w:sz w:val="20"/>
                <w:szCs w:val="20"/>
              </w:rPr>
              <w:t>1</w:t>
            </w:r>
          </w:p>
        </w:tc>
        <w:tc>
          <w:tcPr>
            <w:tcW w:w="850" w:type="dxa"/>
            <w:tcBorders>
              <w:right w:val="single" w:sz="4" w:space="0" w:color="0079C1"/>
            </w:tcBorders>
            <w:shd w:val="clear" w:color="auto" w:fill="auto"/>
          </w:tcPr>
          <w:p w14:paraId="2075C290" w14:textId="6DEE8F26" w:rsidR="005749F4" w:rsidRPr="00C8327F" w:rsidRDefault="005749F4" w:rsidP="005749F4">
            <w:pPr>
              <w:pStyle w:val="TableTextCentred"/>
              <w:rPr>
                <w:rFonts w:asciiTheme="minorHAnsi" w:hAnsiTheme="minorHAnsi"/>
                <w:sz w:val="20"/>
                <w:szCs w:val="20"/>
              </w:rPr>
            </w:pPr>
            <w:r w:rsidRPr="00C8327F">
              <w:rPr>
                <w:sz w:val="20"/>
                <w:szCs w:val="20"/>
              </w:rPr>
              <w:t>1.4%</w:t>
            </w:r>
          </w:p>
        </w:tc>
        <w:tc>
          <w:tcPr>
            <w:tcW w:w="709" w:type="dxa"/>
            <w:tcBorders>
              <w:left w:val="single" w:sz="4" w:space="0" w:color="0079C1"/>
            </w:tcBorders>
            <w:shd w:val="clear" w:color="auto" w:fill="auto"/>
          </w:tcPr>
          <w:p w14:paraId="60B5BFFD" w14:textId="580B30B6" w:rsidR="005749F4" w:rsidRPr="00C8327F" w:rsidRDefault="005749F4" w:rsidP="005749F4">
            <w:pPr>
              <w:pStyle w:val="TableTextCentred"/>
              <w:rPr>
                <w:rFonts w:asciiTheme="minorHAnsi" w:hAnsiTheme="minorHAnsi"/>
                <w:sz w:val="20"/>
                <w:szCs w:val="20"/>
              </w:rPr>
            </w:pPr>
            <w:r w:rsidRPr="00C8327F">
              <w:rPr>
                <w:sz w:val="20"/>
                <w:szCs w:val="20"/>
              </w:rPr>
              <w:t>1</w:t>
            </w:r>
          </w:p>
        </w:tc>
        <w:tc>
          <w:tcPr>
            <w:tcW w:w="851" w:type="dxa"/>
            <w:tcBorders>
              <w:right w:val="single" w:sz="4" w:space="0" w:color="0079C1"/>
            </w:tcBorders>
            <w:shd w:val="clear" w:color="auto" w:fill="auto"/>
          </w:tcPr>
          <w:p w14:paraId="37933729" w14:textId="226EE678" w:rsidR="005749F4" w:rsidRPr="00C8327F" w:rsidRDefault="005749F4" w:rsidP="005749F4">
            <w:pPr>
              <w:pStyle w:val="TableTextCentred"/>
              <w:rPr>
                <w:rFonts w:asciiTheme="minorHAnsi" w:hAnsiTheme="minorHAnsi"/>
                <w:sz w:val="20"/>
                <w:szCs w:val="20"/>
              </w:rPr>
            </w:pPr>
            <w:r w:rsidRPr="00C8327F">
              <w:rPr>
                <w:sz w:val="20"/>
                <w:szCs w:val="20"/>
              </w:rPr>
              <w:t>5.0%</w:t>
            </w:r>
          </w:p>
        </w:tc>
        <w:tc>
          <w:tcPr>
            <w:tcW w:w="708" w:type="dxa"/>
            <w:tcBorders>
              <w:left w:val="single" w:sz="4" w:space="0" w:color="0079C1"/>
            </w:tcBorders>
            <w:shd w:val="clear" w:color="auto" w:fill="auto"/>
          </w:tcPr>
          <w:p w14:paraId="25B7E91A" w14:textId="0831D4A5" w:rsidR="005749F4" w:rsidRPr="00C8327F" w:rsidRDefault="005749F4" w:rsidP="005749F4">
            <w:pPr>
              <w:pStyle w:val="TableTextCentred"/>
              <w:rPr>
                <w:rFonts w:asciiTheme="minorHAnsi" w:hAnsiTheme="minorHAnsi"/>
                <w:b/>
                <w:bCs/>
                <w:sz w:val="20"/>
                <w:szCs w:val="20"/>
              </w:rPr>
            </w:pPr>
            <w:r w:rsidRPr="00C8327F">
              <w:rPr>
                <w:b/>
                <w:sz w:val="20"/>
                <w:szCs w:val="20"/>
              </w:rPr>
              <w:t>11</w:t>
            </w:r>
          </w:p>
        </w:tc>
        <w:tc>
          <w:tcPr>
            <w:tcW w:w="851" w:type="dxa"/>
            <w:shd w:val="clear" w:color="auto" w:fill="auto"/>
          </w:tcPr>
          <w:p w14:paraId="1B764FAE" w14:textId="681A037A" w:rsidR="005749F4" w:rsidRPr="00C8327F" w:rsidRDefault="005749F4" w:rsidP="005749F4">
            <w:pPr>
              <w:pStyle w:val="TableTextCentred"/>
              <w:rPr>
                <w:rFonts w:asciiTheme="minorHAnsi" w:hAnsiTheme="minorHAnsi"/>
                <w:b/>
                <w:bCs/>
                <w:sz w:val="20"/>
                <w:szCs w:val="20"/>
              </w:rPr>
            </w:pPr>
            <w:r w:rsidRPr="00C8327F">
              <w:rPr>
                <w:b/>
                <w:sz w:val="20"/>
                <w:szCs w:val="20"/>
              </w:rPr>
              <w:t>5.0%</w:t>
            </w:r>
          </w:p>
        </w:tc>
      </w:tr>
      <w:tr w:rsidR="005749F4" w:rsidRPr="00F7061F" w14:paraId="21CBA999" w14:textId="77777777" w:rsidTr="00C8327F">
        <w:tc>
          <w:tcPr>
            <w:tcW w:w="1556" w:type="dxa"/>
            <w:tcBorders>
              <w:right w:val="single" w:sz="4" w:space="0" w:color="0079C1"/>
            </w:tcBorders>
            <w:shd w:val="clear" w:color="auto" w:fill="auto"/>
          </w:tcPr>
          <w:p w14:paraId="17A66F43" w14:textId="77777777" w:rsidR="005749F4" w:rsidRPr="00C8327F" w:rsidRDefault="005749F4" w:rsidP="005749F4">
            <w:pPr>
              <w:pStyle w:val="TableText"/>
              <w:rPr>
                <w:rFonts w:asciiTheme="minorHAnsi" w:hAnsiTheme="minorHAnsi"/>
                <w:sz w:val="20"/>
                <w:szCs w:val="20"/>
              </w:rPr>
            </w:pPr>
            <w:r w:rsidRPr="00C8327F">
              <w:rPr>
                <w:rFonts w:asciiTheme="minorHAnsi" w:hAnsiTheme="minorHAnsi"/>
                <w:sz w:val="20"/>
                <w:szCs w:val="20"/>
              </w:rPr>
              <w:t>Useful</w:t>
            </w:r>
          </w:p>
        </w:tc>
        <w:tc>
          <w:tcPr>
            <w:tcW w:w="712" w:type="dxa"/>
            <w:tcBorders>
              <w:left w:val="single" w:sz="4" w:space="0" w:color="0079C1"/>
            </w:tcBorders>
            <w:shd w:val="clear" w:color="auto" w:fill="auto"/>
          </w:tcPr>
          <w:p w14:paraId="67071143" w14:textId="43311EA2" w:rsidR="005749F4" w:rsidRPr="00C8327F" w:rsidRDefault="005749F4" w:rsidP="005749F4">
            <w:pPr>
              <w:pStyle w:val="TableTextCentred"/>
              <w:rPr>
                <w:rFonts w:asciiTheme="minorHAnsi" w:hAnsiTheme="minorHAnsi"/>
                <w:sz w:val="20"/>
                <w:szCs w:val="20"/>
              </w:rPr>
            </w:pPr>
            <w:r w:rsidRPr="00C8327F">
              <w:rPr>
                <w:sz w:val="20"/>
                <w:szCs w:val="20"/>
              </w:rPr>
              <w:t>5</w:t>
            </w:r>
          </w:p>
        </w:tc>
        <w:tc>
          <w:tcPr>
            <w:tcW w:w="851" w:type="dxa"/>
            <w:tcBorders>
              <w:right w:val="single" w:sz="4" w:space="0" w:color="0079C1"/>
            </w:tcBorders>
            <w:shd w:val="clear" w:color="auto" w:fill="auto"/>
          </w:tcPr>
          <w:p w14:paraId="152E32D3" w14:textId="6284B5AD" w:rsidR="005749F4" w:rsidRPr="00C8327F" w:rsidRDefault="005749F4" w:rsidP="005749F4">
            <w:pPr>
              <w:pStyle w:val="TableTextCentred"/>
              <w:rPr>
                <w:rFonts w:asciiTheme="minorHAnsi" w:hAnsiTheme="minorHAnsi"/>
                <w:sz w:val="20"/>
                <w:szCs w:val="20"/>
              </w:rPr>
            </w:pPr>
            <w:r w:rsidRPr="00C8327F">
              <w:rPr>
                <w:sz w:val="20"/>
                <w:szCs w:val="20"/>
              </w:rPr>
              <w:t>4.6%</w:t>
            </w:r>
          </w:p>
        </w:tc>
        <w:tc>
          <w:tcPr>
            <w:tcW w:w="709" w:type="dxa"/>
            <w:tcBorders>
              <w:left w:val="single" w:sz="4" w:space="0" w:color="0079C1"/>
            </w:tcBorders>
            <w:shd w:val="clear" w:color="auto" w:fill="auto"/>
          </w:tcPr>
          <w:p w14:paraId="28608951" w14:textId="1B0F1E9C" w:rsidR="005749F4" w:rsidRPr="00C8327F" w:rsidRDefault="005749F4" w:rsidP="005749F4">
            <w:pPr>
              <w:pStyle w:val="TableTextCentred"/>
              <w:rPr>
                <w:rFonts w:asciiTheme="minorHAnsi" w:hAnsiTheme="minorHAnsi"/>
                <w:sz w:val="20"/>
                <w:szCs w:val="20"/>
              </w:rPr>
            </w:pPr>
            <w:r w:rsidRPr="00C8327F">
              <w:rPr>
                <w:sz w:val="20"/>
                <w:szCs w:val="20"/>
              </w:rPr>
              <w:t>-</w:t>
            </w:r>
          </w:p>
        </w:tc>
        <w:tc>
          <w:tcPr>
            <w:tcW w:w="850" w:type="dxa"/>
            <w:tcBorders>
              <w:right w:val="single" w:sz="4" w:space="0" w:color="0079C1"/>
            </w:tcBorders>
            <w:shd w:val="clear" w:color="auto" w:fill="auto"/>
          </w:tcPr>
          <w:p w14:paraId="1A80B8E7" w14:textId="1C8C1115" w:rsidR="005749F4" w:rsidRPr="00C8327F" w:rsidRDefault="005749F4" w:rsidP="005749F4">
            <w:pPr>
              <w:pStyle w:val="TableTextCentred"/>
              <w:rPr>
                <w:rFonts w:asciiTheme="minorHAnsi" w:hAnsiTheme="minorHAnsi"/>
                <w:sz w:val="20"/>
                <w:szCs w:val="20"/>
              </w:rPr>
            </w:pPr>
            <w:r w:rsidRPr="00C8327F">
              <w:rPr>
                <w:sz w:val="20"/>
                <w:szCs w:val="20"/>
              </w:rPr>
              <w:t>-</w:t>
            </w:r>
          </w:p>
        </w:tc>
        <w:tc>
          <w:tcPr>
            <w:tcW w:w="709" w:type="dxa"/>
            <w:tcBorders>
              <w:left w:val="single" w:sz="4" w:space="0" w:color="0079C1"/>
            </w:tcBorders>
            <w:shd w:val="clear" w:color="auto" w:fill="auto"/>
          </w:tcPr>
          <w:p w14:paraId="57422C8A" w14:textId="4D7D753C" w:rsidR="005749F4" w:rsidRPr="00C8327F" w:rsidRDefault="005749F4" w:rsidP="005749F4">
            <w:pPr>
              <w:pStyle w:val="TableTextCentred"/>
              <w:rPr>
                <w:rFonts w:asciiTheme="minorHAnsi" w:hAnsiTheme="minorHAnsi"/>
                <w:sz w:val="20"/>
                <w:szCs w:val="20"/>
              </w:rPr>
            </w:pPr>
            <w:r w:rsidRPr="00C8327F">
              <w:rPr>
                <w:sz w:val="20"/>
                <w:szCs w:val="20"/>
              </w:rPr>
              <w:t>3</w:t>
            </w:r>
          </w:p>
        </w:tc>
        <w:tc>
          <w:tcPr>
            <w:tcW w:w="850" w:type="dxa"/>
            <w:tcBorders>
              <w:right w:val="single" w:sz="4" w:space="0" w:color="0079C1"/>
            </w:tcBorders>
            <w:shd w:val="clear" w:color="auto" w:fill="auto"/>
          </w:tcPr>
          <w:p w14:paraId="20B393EF" w14:textId="74D15500" w:rsidR="005749F4" w:rsidRPr="00C8327F" w:rsidRDefault="005749F4" w:rsidP="005749F4">
            <w:pPr>
              <w:pStyle w:val="TableTextCentred"/>
              <w:rPr>
                <w:rFonts w:asciiTheme="minorHAnsi" w:hAnsiTheme="minorHAnsi"/>
                <w:sz w:val="20"/>
                <w:szCs w:val="20"/>
              </w:rPr>
            </w:pPr>
            <w:r w:rsidRPr="00C8327F">
              <w:rPr>
                <w:sz w:val="20"/>
                <w:szCs w:val="20"/>
              </w:rPr>
              <w:t>4.1%</w:t>
            </w:r>
          </w:p>
        </w:tc>
        <w:tc>
          <w:tcPr>
            <w:tcW w:w="709" w:type="dxa"/>
            <w:tcBorders>
              <w:left w:val="single" w:sz="4" w:space="0" w:color="0079C1"/>
            </w:tcBorders>
            <w:shd w:val="clear" w:color="auto" w:fill="auto"/>
          </w:tcPr>
          <w:p w14:paraId="243EFD96" w14:textId="0B0463FD" w:rsidR="005749F4" w:rsidRPr="00C8327F" w:rsidRDefault="005749F4" w:rsidP="005749F4">
            <w:pPr>
              <w:pStyle w:val="TableTextCentred"/>
              <w:rPr>
                <w:rFonts w:asciiTheme="minorHAnsi" w:hAnsiTheme="minorHAnsi"/>
                <w:sz w:val="20"/>
                <w:szCs w:val="20"/>
              </w:rPr>
            </w:pPr>
            <w:r w:rsidRPr="00C8327F">
              <w:rPr>
                <w:sz w:val="20"/>
                <w:szCs w:val="20"/>
              </w:rPr>
              <w:t>2</w:t>
            </w:r>
          </w:p>
        </w:tc>
        <w:tc>
          <w:tcPr>
            <w:tcW w:w="851" w:type="dxa"/>
            <w:tcBorders>
              <w:right w:val="single" w:sz="4" w:space="0" w:color="0079C1"/>
            </w:tcBorders>
            <w:shd w:val="clear" w:color="auto" w:fill="auto"/>
          </w:tcPr>
          <w:p w14:paraId="1F931B17" w14:textId="3EF99B49" w:rsidR="005749F4" w:rsidRPr="00C8327F" w:rsidRDefault="005749F4" w:rsidP="005749F4">
            <w:pPr>
              <w:pStyle w:val="TableTextCentred"/>
              <w:rPr>
                <w:rFonts w:asciiTheme="minorHAnsi" w:hAnsiTheme="minorHAnsi"/>
                <w:sz w:val="20"/>
                <w:szCs w:val="20"/>
              </w:rPr>
            </w:pPr>
            <w:r w:rsidRPr="00C8327F">
              <w:rPr>
                <w:sz w:val="20"/>
                <w:szCs w:val="20"/>
              </w:rPr>
              <w:t>10.0%</w:t>
            </w:r>
          </w:p>
        </w:tc>
        <w:tc>
          <w:tcPr>
            <w:tcW w:w="708" w:type="dxa"/>
            <w:tcBorders>
              <w:left w:val="single" w:sz="4" w:space="0" w:color="0079C1"/>
            </w:tcBorders>
            <w:shd w:val="clear" w:color="auto" w:fill="auto"/>
          </w:tcPr>
          <w:p w14:paraId="698312A7" w14:textId="591090FF" w:rsidR="005749F4" w:rsidRPr="00C8327F" w:rsidRDefault="005749F4" w:rsidP="005749F4">
            <w:pPr>
              <w:pStyle w:val="TableTextCentred"/>
              <w:rPr>
                <w:rFonts w:asciiTheme="minorHAnsi" w:hAnsiTheme="minorHAnsi"/>
                <w:b/>
                <w:bCs/>
                <w:sz w:val="20"/>
                <w:szCs w:val="20"/>
              </w:rPr>
            </w:pPr>
            <w:r w:rsidRPr="00C8327F">
              <w:rPr>
                <w:b/>
                <w:sz w:val="20"/>
                <w:szCs w:val="20"/>
              </w:rPr>
              <w:t>10</w:t>
            </w:r>
          </w:p>
        </w:tc>
        <w:tc>
          <w:tcPr>
            <w:tcW w:w="851" w:type="dxa"/>
            <w:shd w:val="clear" w:color="auto" w:fill="auto"/>
          </w:tcPr>
          <w:p w14:paraId="646F6D94" w14:textId="2D9E68FB" w:rsidR="005749F4" w:rsidRPr="00C8327F" w:rsidRDefault="005749F4" w:rsidP="005749F4">
            <w:pPr>
              <w:pStyle w:val="TableTextCentred"/>
              <w:rPr>
                <w:rFonts w:asciiTheme="minorHAnsi" w:hAnsiTheme="minorHAnsi"/>
                <w:b/>
                <w:bCs/>
                <w:sz w:val="20"/>
                <w:szCs w:val="20"/>
              </w:rPr>
            </w:pPr>
            <w:r w:rsidRPr="00C8327F">
              <w:rPr>
                <w:b/>
                <w:sz w:val="20"/>
                <w:szCs w:val="20"/>
              </w:rPr>
              <w:t>4.5%</w:t>
            </w:r>
          </w:p>
        </w:tc>
      </w:tr>
      <w:tr w:rsidR="005749F4" w:rsidRPr="00F7061F" w14:paraId="01929A63" w14:textId="77777777" w:rsidTr="00C8327F">
        <w:tc>
          <w:tcPr>
            <w:tcW w:w="1556" w:type="dxa"/>
            <w:tcBorders>
              <w:right w:val="single" w:sz="4" w:space="0" w:color="0079C1"/>
            </w:tcBorders>
            <w:shd w:val="clear" w:color="auto" w:fill="E2F4FF" w:themeFill="accent1" w:themeFillTint="33"/>
          </w:tcPr>
          <w:p w14:paraId="1D361C77" w14:textId="77777777" w:rsidR="005749F4" w:rsidRPr="00C8327F" w:rsidRDefault="005749F4" w:rsidP="005749F4">
            <w:pPr>
              <w:pStyle w:val="TableText"/>
              <w:rPr>
                <w:rFonts w:asciiTheme="minorHAnsi" w:hAnsiTheme="minorHAnsi"/>
                <w:b/>
                <w:bCs/>
                <w:sz w:val="20"/>
                <w:szCs w:val="20"/>
              </w:rPr>
            </w:pPr>
            <w:r w:rsidRPr="00C8327F">
              <w:rPr>
                <w:rFonts w:asciiTheme="minorHAnsi" w:hAnsiTheme="minorHAnsi"/>
                <w:b/>
                <w:bCs/>
                <w:sz w:val="20"/>
                <w:szCs w:val="20"/>
              </w:rPr>
              <w:t xml:space="preserve">Subtotal </w:t>
            </w:r>
          </w:p>
        </w:tc>
        <w:tc>
          <w:tcPr>
            <w:tcW w:w="712" w:type="dxa"/>
            <w:tcBorders>
              <w:left w:val="single" w:sz="4" w:space="0" w:color="0079C1"/>
            </w:tcBorders>
            <w:shd w:val="clear" w:color="auto" w:fill="E2F4FF" w:themeFill="accent1" w:themeFillTint="33"/>
          </w:tcPr>
          <w:p w14:paraId="3FEEB874" w14:textId="520D0AB4" w:rsidR="005749F4" w:rsidRPr="00C8327F" w:rsidRDefault="005749F4" w:rsidP="005749F4">
            <w:pPr>
              <w:pStyle w:val="TableTextCentred"/>
              <w:rPr>
                <w:rFonts w:asciiTheme="minorHAnsi" w:hAnsiTheme="minorHAnsi"/>
                <w:b/>
                <w:bCs/>
                <w:sz w:val="20"/>
                <w:szCs w:val="20"/>
              </w:rPr>
            </w:pPr>
            <w:r w:rsidRPr="00C8327F">
              <w:rPr>
                <w:b/>
                <w:sz w:val="20"/>
                <w:szCs w:val="20"/>
              </w:rPr>
              <w:t>14</w:t>
            </w:r>
          </w:p>
        </w:tc>
        <w:tc>
          <w:tcPr>
            <w:tcW w:w="851" w:type="dxa"/>
            <w:tcBorders>
              <w:right w:val="single" w:sz="4" w:space="0" w:color="0079C1"/>
            </w:tcBorders>
            <w:shd w:val="clear" w:color="auto" w:fill="E2F4FF" w:themeFill="accent1" w:themeFillTint="33"/>
          </w:tcPr>
          <w:p w14:paraId="44270EF6" w14:textId="62F73BB1" w:rsidR="005749F4" w:rsidRPr="00C8327F" w:rsidRDefault="005749F4" w:rsidP="005749F4">
            <w:pPr>
              <w:pStyle w:val="TableTextCentred"/>
              <w:rPr>
                <w:rFonts w:asciiTheme="minorHAnsi" w:hAnsiTheme="minorHAnsi"/>
                <w:b/>
                <w:bCs/>
                <w:sz w:val="20"/>
                <w:szCs w:val="20"/>
              </w:rPr>
            </w:pPr>
            <w:r w:rsidRPr="00C8327F">
              <w:rPr>
                <w:b/>
                <w:sz w:val="20"/>
                <w:szCs w:val="20"/>
              </w:rPr>
              <w:t>12.9%</w:t>
            </w:r>
          </w:p>
        </w:tc>
        <w:tc>
          <w:tcPr>
            <w:tcW w:w="709" w:type="dxa"/>
            <w:tcBorders>
              <w:left w:val="single" w:sz="4" w:space="0" w:color="0079C1"/>
            </w:tcBorders>
            <w:shd w:val="clear" w:color="auto" w:fill="E2F4FF" w:themeFill="accent1" w:themeFillTint="33"/>
          </w:tcPr>
          <w:p w14:paraId="2975BE86" w14:textId="13BC022E" w:rsidR="005749F4" w:rsidRPr="00C8327F" w:rsidRDefault="005749F4" w:rsidP="005749F4">
            <w:pPr>
              <w:pStyle w:val="TableTextCentred"/>
              <w:rPr>
                <w:rFonts w:asciiTheme="minorHAnsi" w:hAnsiTheme="minorHAnsi"/>
                <w:b/>
                <w:bCs/>
                <w:sz w:val="20"/>
                <w:szCs w:val="20"/>
              </w:rPr>
            </w:pPr>
            <w:r w:rsidRPr="00C8327F">
              <w:rPr>
                <w:b/>
                <w:sz w:val="20"/>
                <w:szCs w:val="20"/>
              </w:rPr>
              <w:t>-</w:t>
            </w:r>
          </w:p>
        </w:tc>
        <w:tc>
          <w:tcPr>
            <w:tcW w:w="850" w:type="dxa"/>
            <w:tcBorders>
              <w:right w:val="single" w:sz="4" w:space="0" w:color="0079C1"/>
            </w:tcBorders>
            <w:shd w:val="clear" w:color="auto" w:fill="E2F4FF" w:themeFill="accent1" w:themeFillTint="33"/>
          </w:tcPr>
          <w:p w14:paraId="251AD547" w14:textId="2486455A" w:rsidR="005749F4" w:rsidRPr="00C8327F" w:rsidRDefault="005749F4" w:rsidP="005749F4">
            <w:pPr>
              <w:pStyle w:val="TableTextCentred"/>
              <w:rPr>
                <w:rFonts w:asciiTheme="minorHAnsi" w:hAnsiTheme="minorHAnsi"/>
                <w:b/>
                <w:bCs/>
                <w:sz w:val="20"/>
                <w:szCs w:val="20"/>
              </w:rPr>
            </w:pPr>
            <w:r w:rsidRPr="00C8327F">
              <w:rPr>
                <w:b/>
                <w:sz w:val="20"/>
                <w:szCs w:val="20"/>
              </w:rPr>
              <w:t>-</w:t>
            </w:r>
          </w:p>
        </w:tc>
        <w:tc>
          <w:tcPr>
            <w:tcW w:w="709" w:type="dxa"/>
            <w:tcBorders>
              <w:left w:val="single" w:sz="4" w:space="0" w:color="0079C1"/>
            </w:tcBorders>
            <w:shd w:val="clear" w:color="auto" w:fill="E2F4FF" w:themeFill="accent1" w:themeFillTint="33"/>
          </w:tcPr>
          <w:p w14:paraId="1174B9EC" w14:textId="233322B5" w:rsidR="005749F4" w:rsidRPr="00C8327F" w:rsidRDefault="005749F4" w:rsidP="005749F4">
            <w:pPr>
              <w:pStyle w:val="TableTextCentred"/>
              <w:rPr>
                <w:rFonts w:asciiTheme="minorHAnsi" w:hAnsiTheme="minorHAnsi"/>
                <w:b/>
                <w:bCs/>
                <w:sz w:val="20"/>
                <w:szCs w:val="20"/>
              </w:rPr>
            </w:pPr>
            <w:r w:rsidRPr="00C8327F">
              <w:rPr>
                <w:b/>
                <w:sz w:val="20"/>
                <w:szCs w:val="20"/>
              </w:rPr>
              <w:t>4</w:t>
            </w:r>
          </w:p>
        </w:tc>
        <w:tc>
          <w:tcPr>
            <w:tcW w:w="850" w:type="dxa"/>
            <w:tcBorders>
              <w:right w:val="single" w:sz="4" w:space="0" w:color="0079C1"/>
            </w:tcBorders>
            <w:shd w:val="clear" w:color="auto" w:fill="E2F4FF" w:themeFill="accent1" w:themeFillTint="33"/>
          </w:tcPr>
          <w:p w14:paraId="460D3DE5" w14:textId="23D6F9D5" w:rsidR="005749F4" w:rsidRPr="00C8327F" w:rsidRDefault="005749F4" w:rsidP="005749F4">
            <w:pPr>
              <w:pStyle w:val="TableTextCentred"/>
              <w:rPr>
                <w:rFonts w:asciiTheme="minorHAnsi" w:hAnsiTheme="minorHAnsi"/>
                <w:b/>
                <w:bCs/>
                <w:sz w:val="20"/>
                <w:szCs w:val="20"/>
              </w:rPr>
            </w:pPr>
            <w:r w:rsidRPr="00C8327F">
              <w:rPr>
                <w:b/>
                <w:sz w:val="20"/>
                <w:szCs w:val="20"/>
              </w:rPr>
              <w:t>5.5%</w:t>
            </w:r>
          </w:p>
        </w:tc>
        <w:tc>
          <w:tcPr>
            <w:tcW w:w="709" w:type="dxa"/>
            <w:tcBorders>
              <w:left w:val="single" w:sz="4" w:space="0" w:color="0079C1"/>
            </w:tcBorders>
            <w:shd w:val="clear" w:color="auto" w:fill="E2F4FF" w:themeFill="accent1" w:themeFillTint="33"/>
          </w:tcPr>
          <w:p w14:paraId="050C45A6" w14:textId="3B220279" w:rsidR="005749F4" w:rsidRPr="00C8327F" w:rsidRDefault="005749F4" w:rsidP="005749F4">
            <w:pPr>
              <w:pStyle w:val="TableTextCentred"/>
              <w:rPr>
                <w:rFonts w:asciiTheme="minorHAnsi" w:hAnsiTheme="minorHAnsi"/>
                <w:b/>
                <w:bCs/>
                <w:sz w:val="20"/>
                <w:szCs w:val="20"/>
              </w:rPr>
            </w:pPr>
            <w:r w:rsidRPr="00C8327F">
              <w:rPr>
                <w:b/>
                <w:sz w:val="20"/>
                <w:szCs w:val="20"/>
              </w:rPr>
              <w:t>3</w:t>
            </w:r>
          </w:p>
        </w:tc>
        <w:tc>
          <w:tcPr>
            <w:tcW w:w="851" w:type="dxa"/>
            <w:tcBorders>
              <w:right w:val="single" w:sz="4" w:space="0" w:color="0079C1"/>
            </w:tcBorders>
            <w:shd w:val="clear" w:color="auto" w:fill="E2F4FF" w:themeFill="accent1" w:themeFillTint="33"/>
          </w:tcPr>
          <w:p w14:paraId="42D8A169" w14:textId="133B830C" w:rsidR="005749F4" w:rsidRPr="00C8327F" w:rsidRDefault="005749F4" w:rsidP="005749F4">
            <w:pPr>
              <w:pStyle w:val="TableTextCentred"/>
              <w:rPr>
                <w:rFonts w:asciiTheme="minorHAnsi" w:hAnsiTheme="minorHAnsi"/>
                <w:b/>
                <w:bCs/>
                <w:sz w:val="20"/>
                <w:szCs w:val="20"/>
              </w:rPr>
            </w:pPr>
            <w:r w:rsidRPr="00C8327F">
              <w:rPr>
                <w:b/>
                <w:sz w:val="20"/>
                <w:szCs w:val="20"/>
              </w:rPr>
              <w:t>15.0%</w:t>
            </w:r>
          </w:p>
        </w:tc>
        <w:tc>
          <w:tcPr>
            <w:tcW w:w="708" w:type="dxa"/>
            <w:tcBorders>
              <w:left w:val="single" w:sz="4" w:space="0" w:color="0079C1"/>
            </w:tcBorders>
            <w:shd w:val="clear" w:color="auto" w:fill="E2F4FF" w:themeFill="accent1" w:themeFillTint="33"/>
          </w:tcPr>
          <w:p w14:paraId="0BB50427" w14:textId="5D73D923" w:rsidR="005749F4" w:rsidRPr="00C8327F" w:rsidRDefault="005749F4" w:rsidP="005749F4">
            <w:pPr>
              <w:pStyle w:val="TableTextCentred"/>
              <w:rPr>
                <w:rFonts w:asciiTheme="minorHAnsi" w:hAnsiTheme="minorHAnsi"/>
                <w:b/>
                <w:bCs/>
                <w:sz w:val="20"/>
                <w:szCs w:val="20"/>
              </w:rPr>
            </w:pPr>
            <w:r w:rsidRPr="00C8327F">
              <w:rPr>
                <w:b/>
                <w:sz w:val="20"/>
                <w:szCs w:val="20"/>
              </w:rPr>
              <w:t>21</w:t>
            </w:r>
          </w:p>
        </w:tc>
        <w:tc>
          <w:tcPr>
            <w:tcW w:w="851" w:type="dxa"/>
            <w:shd w:val="clear" w:color="auto" w:fill="E2F4FF" w:themeFill="accent1" w:themeFillTint="33"/>
          </w:tcPr>
          <w:p w14:paraId="3A6CF8D3" w14:textId="6F1BAA7F" w:rsidR="005749F4" w:rsidRPr="00C8327F" w:rsidRDefault="005749F4" w:rsidP="005749F4">
            <w:pPr>
              <w:pStyle w:val="TableTextCentred"/>
              <w:rPr>
                <w:rFonts w:asciiTheme="minorHAnsi" w:hAnsiTheme="minorHAnsi"/>
                <w:b/>
                <w:bCs/>
                <w:sz w:val="20"/>
                <w:szCs w:val="20"/>
              </w:rPr>
            </w:pPr>
            <w:r w:rsidRPr="00C8327F">
              <w:rPr>
                <w:b/>
                <w:sz w:val="20"/>
                <w:szCs w:val="20"/>
              </w:rPr>
              <w:t>9.5%</w:t>
            </w:r>
          </w:p>
        </w:tc>
      </w:tr>
      <w:tr w:rsidR="005749F4" w:rsidRPr="00F7061F" w14:paraId="0B3DDC24" w14:textId="77777777" w:rsidTr="00C8327F">
        <w:tc>
          <w:tcPr>
            <w:tcW w:w="1556" w:type="dxa"/>
            <w:tcBorders>
              <w:right w:val="single" w:sz="4" w:space="0" w:color="0079C1"/>
            </w:tcBorders>
            <w:shd w:val="clear" w:color="auto" w:fill="auto"/>
          </w:tcPr>
          <w:p w14:paraId="7039725F" w14:textId="77777777" w:rsidR="005749F4" w:rsidRPr="00C8327F" w:rsidRDefault="005749F4" w:rsidP="005749F4">
            <w:pPr>
              <w:pStyle w:val="TableText"/>
              <w:rPr>
                <w:rFonts w:asciiTheme="minorHAnsi" w:hAnsiTheme="minorHAnsi"/>
                <w:sz w:val="20"/>
                <w:szCs w:val="20"/>
              </w:rPr>
            </w:pPr>
            <w:r w:rsidRPr="00C8327F">
              <w:rPr>
                <w:rFonts w:asciiTheme="minorHAnsi" w:hAnsiTheme="minorHAnsi"/>
                <w:sz w:val="20"/>
                <w:szCs w:val="20"/>
              </w:rPr>
              <w:t>Neutral</w:t>
            </w:r>
          </w:p>
        </w:tc>
        <w:tc>
          <w:tcPr>
            <w:tcW w:w="712" w:type="dxa"/>
            <w:tcBorders>
              <w:left w:val="single" w:sz="4" w:space="0" w:color="0079C1"/>
            </w:tcBorders>
            <w:shd w:val="clear" w:color="auto" w:fill="auto"/>
          </w:tcPr>
          <w:p w14:paraId="66E59F5F" w14:textId="33869B9E" w:rsidR="005749F4" w:rsidRPr="00C8327F" w:rsidRDefault="005749F4" w:rsidP="005749F4">
            <w:pPr>
              <w:pStyle w:val="TableTextCentred"/>
              <w:rPr>
                <w:rFonts w:asciiTheme="minorHAnsi" w:hAnsiTheme="minorHAnsi"/>
                <w:sz w:val="20"/>
                <w:szCs w:val="20"/>
              </w:rPr>
            </w:pPr>
            <w:r w:rsidRPr="00C8327F">
              <w:rPr>
                <w:sz w:val="20"/>
                <w:szCs w:val="20"/>
              </w:rPr>
              <w:t xml:space="preserve">7 </w:t>
            </w:r>
          </w:p>
        </w:tc>
        <w:tc>
          <w:tcPr>
            <w:tcW w:w="851" w:type="dxa"/>
            <w:tcBorders>
              <w:right w:val="single" w:sz="4" w:space="0" w:color="0079C1"/>
            </w:tcBorders>
            <w:shd w:val="clear" w:color="auto" w:fill="auto"/>
          </w:tcPr>
          <w:p w14:paraId="121FE471" w14:textId="598741BE" w:rsidR="005749F4" w:rsidRPr="00C8327F" w:rsidRDefault="005749F4" w:rsidP="005749F4">
            <w:pPr>
              <w:pStyle w:val="TableTextCentred"/>
              <w:rPr>
                <w:rFonts w:asciiTheme="minorHAnsi" w:hAnsiTheme="minorHAnsi"/>
                <w:sz w:val="20"/>
                <w:szCs w:val="20"/>
              </w:rPr>
            </w:pPr>
            <w:r w:rsidRPr="00C8327F">
              <w:rPr>
                <w:sz w:val="20"/>
                <w:szCs w:val="20"/>
              </w:rPr>
              <w:t>6.5%</w:t>
            </w:r>
          </w:p>
        </w:tc>
        <w:tc>
          <w:tcPr>
            <w:tcW w:w="709" w:type="dxa"/>
            <w:tcBorders>
              <w:left w:val="single" w:sz="4" w:space="0" w:color="0079C1"/>
            </w:tcBorders>
            <w:shd w:val="clear" w:color="auto" w:fill="auto"/>
          </w:tcPr>
          <w:p w14:paraId="6C8B9039" w14:textId="4140DACF" w:rsidR="005749F4" w:rsidRPr="00C8327F" w:rsidRDefault="005749F4" w:rsidP="005749F4">
            <w:pPr>
              <w:pStyle w:val="TableTextCentred"/>
              <w:rPr>
                <w:rFonts w:asciiTheme="minorHAnsi" w:hAnsiTheme="minorHAnsi"/>
                <w:sz w:val="20"/>
                <w:szCs w:val="20"/>
              </w:rPr>
            </w:pPr>
            <w:r w:rsidRPr="00C8327F">
              <w:rPr>
                <w:sz w:val="20"/>
                <w:szCs w:val="20"/>
              </w:rPr>
              <w:t>1</w:t>
            </w:r>
          </w:p>
        </w:tc>
        <w:tc>
          <w:tcPr>
            <w:tcW w:w="850" w:type="dxa"/>
            <w:tcBorders>
              <w:right w:val="single" w:sz="4" w:space="0" w:color="0079C1"/>
            </w:tcBorders>
            <w:shd w:val="clear" w:color="auto" w:fill="auto"/>
          </w:tcPr>
          <w:p w14:paraId="4128DE5B" w14:textId="413A4FB1" w:rsidR="005749F4" w:rsidRPr="00C8327F" w:rsidRDefault="005749F4" w:rsidP="005749F4">
            <w:pPr>
              <w:pStyle w:val="TableTextCentred"/>
              <w:rPr>
                <w:rFonts w:asciiTheme="minorHAnsi" w:hAnsiTheme="minorHAnsi"/>
                <w:sz w:val="20"/>
                <w:szCs w:val="20"/>
              </w:rPr>
            </w:pPr>
            <w:r w:rsidRPr="00C8327F">
              <w:rPr>
                <w:sz w:val="20"/>
                <w:szCs w:val="20"/>
              </w:rPr>
              <w:t>5.3%</w:t>
            </w:r>
          </w:p>
        </w:tc>
        <w:tc>
          <w:tcPr>
            <w:tcW w:w="709" w:type="dxa"/>
            <w:tcBorders>
              <w:left w:val="single" w:sz="4" w:space="0" w:color="0079C1"/>
            </w:tcBorders>
            <w:shd w:val="clear" w:color="auto" w:fill="auto"/>
          </w:tcPr>
          <w:p w14:paraId="57E72871" w14:textId="03E0A795" w:rsidR="005749F4" w:rsidRPr="00C8327F" w:rsidRDefault="005749F4" w:rsidP="005749F4">
            <w:pPr>
              <w:pStyle w:val="TableTextCentred"/>
              <w:rPr>
                <w:rFonts w:asciiTheme="minorHAnsi" w:hAnsiTheme="minorHAnsi"/>
                <w:sz w:val="20"/>
                <w:szCs w:val="20"/>
              </w:rPr>
            </w:pPr>
            <w:r w:rsidRPr="00C8327F">
              <w:rPr>
                <w:sz w:val="20"/>
                <w:szCs w:val="20"/>
              </w:rPr>
              <w:t>1</w:t>
            </w:r>
          </w:p>
        </w:tc>
        <w:tc>
          <w:tcPr>
            <w:tcW w:w="850" w:type="dxa"/>
            <w:tcBorders>
              <w:right w:val="single" w:sz="4" w:space="0" w:color="0079C1"/>
            </w:tcBorders>
            <w:shd w:val="clear" w:color="auto" w:fill="auto"/>
          </w:tcPr>
          <w:p w14:paraId="5A0759A8" w14:textId="2A7BABA3" w:rsidR="005749F4" w:rsidRPr="00C8327F" w:rsidRDefault="005749F4" w:rsidP="005749F4">
            <w:pPr>
              <w:pStyle w:val="TableTextCentred"/>
              <w:rPr>
                <w:rFonts w:asciiTheme="minorHAnsi" w:hAnsiTheme="minorHAnsi"/>
                <w:sz w:val="20"/>
                <w:szCs w:val="20"/>
              </w:rPr>
            </w:pPr>
            <w:r w:rsidRPr="00C8327F">
              <w:rPr>
                <w:sz w:val="20"/>
                <w:szCs w:val="20"/>
              </w:rPr>
              <w:t>1.4%</w:t>
            </w:r>
          </w:p>
        </w:tc>
        <w:tc>
          <w:tcPr>
            <w:tcW w:w="709" w:type="dxa"/>
            <w:tcBorders>
              <w:left w:val="single" w:sz="4" w:space="0" w:color="0079C1"/>
            </w:tcBorders>
            <w:shd w:val="clear" w:color="auto" w:fill="auto"/>
          </w:tcPr>
          <w:p w14:paraId="67075D5E" w14:textId="3A00E0D9" w:rsidR="005749F4" w:rsidRPr="00C8327F" w:rsidRDefault="005749F4" w:rsidP="005749F4">
            <w:pPr>
              <w:pStyle w:val="TableTextCentred"/>
              <w:rPr>
                <w:rFonts w:asciiTheme="minorHAnsi" w:hAnsiTheme="minorHAnsi"/>
                <w:sz w:val="20"/>
                <w:szCs w:val="20"/>
              </w:rPr>
            </w:pPr>
            <w:r w:rsidRPr="00C8327F">
              <w:rPr>
                <w:sz w:val="20"/>
                <w:szCs w:val="20"/>
              </w:rPr>
              <w:t>-</w:t>
            </w:r>
          </w:p>
        </w:tc>
        <w:tc>
          <w:tcPr>
            <w:tcW w:w="851" w:type="dxa"/>
            <w:tcBorders>
              <w:right w:val="single" w:sz="4" w:space="0" w:color="0079C1"/>
            </w:tcBorders>
            <w:shd w:val="clear" w:color="auto" w:fill="auto"/>
          </w:tcPr>
          <w:p w14:paraId="2095C919" w14:textId="084F0B05" w:rsidR="005749F4" w:rsidRPr="00C8327F" w:rsidRDefault="005749F4" w:rsidP="005749F4">
            <w:pPr>
              <w:pStyle w:val="TableTextCentred"/>
              <w:rPr>
                <w:rFonts w:asciiTheme="minorHAnsi" w:hAnsiTheme="minorHAnsi"/>
                <w:sz w:val="20"/>
                <w:szCs w:val="20"/>
              </w:rPr>
            </w:pPr>
            <w:r w:rsidRPr="00C8327F">
              <w:rPr>
                <w:sz w:val="20"/>
                <w:szCs w:val="20"/>
              </w:rPr>
              <w:t>-</w:t>
            </w:r>
          </w:p>
        </w:tc>
        <w:tc>
          <w:tcPr>
            <w:tcW w:w="708" w:type="dxa"/>
            <w:tcBorders>
              <w:left w:val="single" w:sz="4" w:space="0" w:color="0079C1"/>
            </w:tcBorders>
            <w:shd w:val="clear" w:color="auto" w:fill="auto"/>
          </w:tcPr>
          <w:p w14:paraId="2D5097C7" w14:textId="04BFB2F9" w:rsidR="005749F4" w:rsidRPr="00C8327F" w:rsidRDefault="005749F4" w:rsidP="005749F4">
            <w:pPr>
              <w:pStyle w:val="TableTextCentred"/>
              <w:rPr>
                <w:rFonts w:asciiTheme="minorHAnsi" w:hAnsiTheme="minorHAnsi"/>
                <w:b/>
                <w:bCs/>
                <w:sz w:val="20"/>
                <w:szCs w:val="20"/>
              </w:rPr>
            </w:pPr>
            <w:r w:rsidRPr="00C8327F">
              <w:rPr>
                <w:b/>
                <w:sz w:val="20"/>
                <w:szCs w:val="20"/>
              </w:rPr>
              <w:t>9</w:t>
            </w:r>
          </w:p>
        </w:tc>
        <w:tc>
          <w:tcPr>
            <w:tcW w:w="851" w:type="dxa"/>
            <w:shd w:val="clear" w:color="auto" w:fill="auto"/>
          </w:tcPr>
          <w:p w14:paraId="07DB8304" w14:textId="77FF7864" w:rsidR="005749F4" w:rsidRPr="00C8327F" w:rsidRDefault="005749F4" w:rsidP="005749F4">
            <w:pPr>
              <w:pStyle w:val="TableTextCentred"/>
              <w:rPr>
                <w:rFonts w:asciiTheme="minorHAnsi" w:hAnsiTheme="minorHAnsi"/>
                <w:b/>
                <w:bCs/>
                <w:sz w:val="20"/>
                <w:szCs w:val="20"/>
              </w:rPr>
            </w:pPr>
            <w:r w:rsidRPr="00C8327F">
              <w:rPr>
                <w:b/>
                <w:sz w:val="20"/>
                <w:szCs w:val="20"/>
              </w:rPr>
              <w:t>4.1%</w:t>
            </w:r>
          </w:p>
        </w:tc>
      </w:tr>
      <w:tr w:rsidR="005749F4" w:rsidRPr="00F7061F" w14:paraId="63116043" w14:textId="77777777" w:rsidTr="00C8327F">
        <w:tc>
          <w:tcPr>
            <w:tcW w:w="1556" w:type="dxa"/>
            <w:tcBorders>
              <w:right w:val="single" w:sz="4" w:space="0" w:color="0079C1"/>
            </w:tcBorders>
            <w:shd w:val="clear" w:color="auto" w:fill="auto"/>
          </w:tcPr>
          <w:p w14:paraId="5F330095" w14:textId="77777777" w:rsidR="005749F4" w:rsidRPr="00C8327F" w:rsidRDefault="005749F4" w:rsidP="005749F4">
            <w:pPr>
              <w:pStyle w:val="TableText"/>
              <w:rPr>
                <w:rFonts w:asciiTheme="minorHAnsi" w:hAnsiTheme="minorHAnsi"/>
                <w:sz w:val="20"/>
                <w:szCs w:val="20"/>
              </w:rPr>
            </w:pPr>
            <w:r w:rsidRPr="00C8327F">
              <w:rPr>
                <w:rFonts w:asciiTheme="minorHAnsi" w:hAnsiTheme="minorHAnsi"/>
                <w:sz w:val="20"/>
                <w:szCs w:val="20"/>
              </w:rPr>
              <w:t>Not very useful</w:t>
            </w:r>
          </w:p>
        </w:tc>
        <w:tc>
          <w:tcPr>
            <w:tcW w:w="712" w:type="dxa"/>
            <w:tcBorders>
              <w:left w:val="single" w:sz="4" w:space="0" w:color="0079C1"/>
            </w:tcBorders>
            <w:shd w:val="clear" w:color="auto" w:fill="auto"/>
          </w:tcPr>
          <w:p w14:paraId="42AA341D" w14:textId="737CDE35" w:rsidR="005749F4" w:rsidRPr="00C8327F" w:rsidRDefault="005749F4" w:rsidP="005749F4">
            <w:pPr>
              <w:pStyle w:val="TableTextCentred"/>
              <w:rPr>
                <w:rFonts w:asciiTheme="minorHAnsi" w:hAnsiTheme="minorHAnsi"/>
                <w:sz w:val="20"/>
                <w:szCs w:val="20"/>
              </w:rPr>
            </w:pPr>
            <w:r w:rsidRPr="00C8327F">
              <w:rPr>
                <w:sz w:val="20"/>
                <w:szCs w:val="20"/>
              </w:rPr>
              <w:t>4</w:t>
            </w:r>
          </w:p>
        </w:tc>
        <w:tc>
          <w:tcPr>
            <w:tcW w:w="851" w:type="dxa"/>
            <w:tcBorders>
              <w:right w:val="single" w:sz="4" w:space="0" w:color="0079C1"/>
            </w:tcBorders>
            <w:shd w:val="clear" w:color="auto" w:fill="auto"/>
          </w:tcPr>
          <w:p w14:paraId="169E0A2A" w14:textId="0A342EEA" w:rsidR="005749F4" w:rsidRPr="00C8327F" w:rsidRDefault="005749F4" w:rsidP="005749F4">
            <w:pPr>
              <w:pStyle w:val="TableTextCentred"/>
              <w:rPr>
                <w:rFonts w:asciiTheme="minorHAnsi" w:hAnsiTheme="minorHAnsi"/>
                <w:sz w:val="20"/>
                <w:szCs w:val="20"/>
              </w:rPr>
            </w:pPr>
            <w:r w:rsidRPr="00C8327F">
              <w:rPr>
                <w:sz w:val="20"/>
                <w:szCs w:val="20"/>
              </w:rPr>
              <w:t>3.7%</w:t>
            </w:r>
          </w:p>
        </w:tc>
        <w:tc>
          <w:tcPr>
            <w:tcW w:w="709" w:type="dxa"/>
            <w:tcBorders>
              <w:left w:val="single" w:sz="4" w:space="0" w:color="0079C1"/>
            </w:tcBorders>
            <w:shd w:val="clear" w:color="auto" w:fill="auto"/>
          </w:tcPr>
          <w:p w14:paraId="47F8A7A0" w14:textId="6F994088" w:rsidR="005749F4" w:rsidRPr="00C8327F" w:rsidRDefault="005749F4" w:rsidP="005749F4">
            <w:pPr>
              <w:pStyle w:val="TableTextCentred"/>
              <w:rPr>
                <w:rFonts w:asciiTheme="minorHAnsi" w:hAnsiTheme="minorHAnsi"/>
                <w:sz w:val="20"/>
                <w:szCs w:val="20"/>
              </w:rPr>
            </w:pPr>
            <w:r w:rsidRPr="00C8327F">
              <w:rPr>
                <w:sz w:val="20"/>
                <w:szCs w:val="20"/>
              </w:rPr>
              <w:t>1</w:t>
            </w:r>
          </w:p>
        </w:tc>
        <w:tc>
          <w:tcPr>
            <w:tcW w:w="850" w:type="dxa"/>
            <w:tcBorders>
              <w:right w:val="single" w:sz="4" w:space="0" w:color="0079C1"/>
            </w:tcBorders>
            <w:shd w:val="clear" w:color="auto" w:fill="auto"/>
          </w:tcPr>
          <w:p w14:paraId="29439213" w14:textId="6DAB15F0" w:rsidR="005749F4" w:rsidRPr="00C8327F" w:rsidRDefault="005749F4" w:rsidP="005749F4">
            <w:pPr>
              <w:pStyle w:val="TableTextCentred"/>
              <w:rPr>
                <w:rFonts w:asciiTheme="minorHAnsi" w:hAnsiTheme="minorHAnsi"/>
                <w:sz w:val="20"/>
                <w:szCs w:val="20"/>
              </w:rPr>
            </w:pPr>
            <w:r w:rsidRPr="00C8327F">
              <w:rPr>
                <w:sz w:val="20"/>
                <w:szCs w:val="20"/>
              </w:rPr>
              <w:t>5.3%</w:t>
            </w:r>
          </w:p>
        </w:tc>
        <w:tc>
          <w:tcPr>
            <w:tcW w:w="709" w:type="dxa"/>
            <w:tcBorders>
              <w:left w:val="single" w:sz="4" w:space="0" w:color="0079C1"/>
            </w:tcBorders>
            <w:shd w:val="clear" w:color="auto" w:fill="auto"/>
          </w:tcPr>
          <w:p w14:paraId="20479A6D" w14:textId="52534974" w:rsidR="005749F4" w:rsidRPr="00C8327F" w:rsidRDefault="005749F4" w:rsidP="005749F4">
            <w:pPr>
              <w:pStyle w:val="TableTextCentred"/>
              <w:rPr>
                <w:rFonts w:asciiTheme="minorHAnsi" w:hAnsiTheme="minorHAnsi"/>
                <w:sz w:val="20"/>
                <w:szCs w:val="20"/>
              </w:rPr>
            </w:pPr>
            <w:r w:rsidRPr="00C8327F">
              <w:rPr>
                <w:sz w:val="20"/>
                <w:szCs w:val="20"/>
              </w:rPr>
              <w:t>2</w:t>
            </w:r>
          </w:p>
        </w:tc>
        <w:tc>
          <w:tcPr>
            <w:tcW w:w="850" w:type="dxa"/>
            <w:tcBorders>
              <w:right w:val="single" w:sz="4" w:space="0" w:color="0079C1"/>
            </w:tcBorders>
            <w:shd w:val="clear" w:color="auto" w:fill="auto"/>
          </w:tcPr>
          <w:p w14:paraId="75FC11EC" w14:textId="0D1EA1FC" w:rsidR="005749F4" w:rsidRPr="00C8327F" w:rsidRDefault="005749F4" w:rsidP="005749F4">
            <w:pPr>
              <w:pStyle w:val="TableTextCentred"/>
              <w:rPr>
                <w:rFonts w:asciiTheme="minorHAnsi" w:hAnsiTheme="minorHAnsi"/>
                <w:sz w:val="20"/>
                <w:szCs w:val="20"/>
              </w:rPr>
            </w:pPr>
            <w:r w:rsidRPr="00C8327F">
              <w:rPr>
                <w:sz w:val="20"/>
                <w:szCs w:val="20"/>
              </w:rPr>
              <w:t>2.7%</w:t>
            </w:r>
          </w:p>
        </w:tc>
        <w:tc>
          <w:tcPr>
            <w:tcW w:w="709" w:type="dxa"/>
            <w:tcBorders>
              <w:left w:val="single" w:sz="4" w:space="0" w:color="0079C1"/>
            </w:tcBorders>
            <w:shd w:val="clear" w:color="auto" w:fill="auto"/>
          </w:tcPr>
          <w:p w14:paraId="62489221" w14:textId="014FCEDE" w:rsidR="005749F4" w:rsidRPr="00C8327F" w:rsidRDefault="005749F4" w:rsidP="005749F4">
            <w:pPr>
              <w:pStyle w:val="TableTextCentred"/>
              <w:rPr>
                <w:rFonts w:asciiTheme="minorHAnsi" w:hAnsiTheme="minorHAnsi"/>
                <w:sz w:val="20"/>
                <w:szCs w:val="20"/>
              </w:rPr>
            </w:pPr>
            <w:r w:rsidRPr="00C8327F">
              <w:rPr>
                <w:sz w:val="20"/>
                <w:szCs w:val="20"/>
              </w:rPr>
              <w:t>-</w:t>
            </w:r>
          </w:p>
        </w:tc>
        <w:tc>
          <w:tcPr>
            <w:tcW w:w="851" w:type="dxa"/>
            <w:tcBorders>
              <w:right w:val="single" w:sz="4" w:space="0" w:color="0079C1"/>
            </w:tcBorders>
            <w:shd w:val="clear" w:color="auto" w:fill="auto"/>
          </w:tcPr>
          <w:p w14:paraId="151ADE86" w14:textId="711181C8" w:rsidR="005749F4" w:rsidRPr="00C8327F" w:rsidRDefault="005749F4" w:rsidP="005749F4">
            <w:pPr>
              <w:pStyle w:val="TableTextCentred"/>
              <w:rPr>
                <w:rFonts w:asciiTheme="minorHAnsi" w:hAnsiTheme="minorHAnsi"/>
                <w:sz w:val="20"/>
                <w:szCs w:val="20"/>
              </w:rPr>
            </w:pPr>
            <w:r w:rsidRPr="00C8327F">
              <w:rPr>
                <w:sz w:val="20"/>
                <w:szCs w:val="20"/>
              </w:rPr>
              <w:t>-</w:t>
            </w:r>
          </w:p>
        </w:tc>
        <w:tc>
          <w:tcPr>
            <w:tcW w:w="708" w:type="dxa"/>
            <w:tcBorders>
              <w:left w:val="single" w:sz="4" w:space="0" w:color="0079C1"/>
            </w:tcBorders>
            <w:shd w:val="clear" w:color="auto" w:fill="auto"/>
          </w:tcPr>
          <w:p w14:paraId="42D768B0" w14:textId="48ACD7AD" w:rsidR="005749F4" w:rsidRPr="00C8327F" w:rsidRDefault="005749F4" w:rsidP="005749F4">
            <w:pPr>
              <w:pStyle w:val="TableTextCentred"/>
              <w:rPr>
                <w:rFonts w:asciiTheme="minorHAnsi" w:hAnsiTheme="minorHAnsi"/>
                <w:b/>
                <w:bCs/>
                <w:sz w:val="20"/>
                <w:szCs w:val="20"/>
              </w:rPr>
            </w:pPr>
            <w:r w:rsidRPr="00C8327F">
              <w:rPr>
                <w:b/>
                <w:sz w:val="20"/>
                <w:szCs w:val="20"/>
              </w:rPr>
              <w:t>7</w:t>
            </w:r>
          </w:p>
        </w:tc>
        <w:tc>
          <w:tcPr>
            <w:tcW w:w="851" w:type="dxa"/>
            <w:shd w:val="clear" w:color="auto" w:fill="auto"/>
          </w:tcPr>
          <w:p w14:paraId="5CD7EFA4" w14:textId="4A7EAC3A" w:rsidR="005749F4" w:rsidRPr="00C8327F" w:rsidRDefault="005749F4" w:rsidP="005749F4">
            <w:pPr>
              <w:pStyle w:val="TableTextCentred"/>
              <w:rPr>
                <w:rFonts w:asciiTheme="minorHAnsi" w:hAnsiTheme="minorHAnsi"/>
                <w:b/>
                <w:bCs/>
                <w:sz w:val="20"/>
                <w:szCs w:val="20"/>
              </w:rPr>
            </w:pPr>
            <w:r w:rsidRPr="00C8327F">
              <w:rPr>
                <w:b/>
                <w:sz w:val="20"/>
                <w:szCs w:val="20"/>
              </w:rPr>
              <w:t>3.2%</w:t>
            </w:r>
          </w:p>
        </w:tc>
      </w:tr>
      <w:tr w:rsidR="005749F4" w:rsidRPr="00F7061F" w14:paraId="439204D5" w14:textId="77777777" w:rsidTr="00C8327F">
        <w:tc>
          <w:tcPr>
            <w:tcW w:w="1556" w:type="dxa"/>
            <w:tcBorders>
              <w:right w:val="single" w:sz="4" w:space="0" w:color="0079C1"/>
            </w:tcBorders>
            <w:shd w:val="clear" w:color="auto" w:fill="auto"/>
          </w:tcPr>
          <w:p w14:paraId="2CA6C395" w14:textId="783FD65E" w:rsidR="005749F4" w:rsidRPr="00C8327F" w:rsidRDefault="005749F4" w:rsidP="005749F4">
            <w:pPr>
              <w:pStyle w:val="TableText"/>
              <w:rPr>
                <w:rFonts w:asciiTheme="minorHAnsi" w:hAnsiTheme="minorHAnsi"/>
                <w:sz w:val="20"/>
                <w:szCs w:val="20"/>
              </w:rPr>
            </w:pPr>
            <w:r w:rsidRPr="00C8327F">
              <w:rPr>
                <w:rFonts w:asciiTheme="minorHAnsi" w:hAnsiTheme="minorHAnsi"/>
                <w:sz w:val="20"/>
                <w:szCs w:val="20"/>
              </w:rPr>
              <w:t>Not at all useful</w:t>
            </w:r>
          </w:p>
        </w:tc>
        <w:tc>
          <w:tcPr>
            <w:tcW w:w="712" w:type="dxa"/>
            <w:tcBorders>
              <w:left w:val="single" w:sz="4" w:space="0" w:color="0079C1"/>
            </w:tcBorders>
            <w:shd w:val="clear" w:color="auto" w:fill="auto"/>
          </w:tcPr>
          <w:p w14:paraId="14A9EB6C" w14:textId="7891659A" w:rsidR="005749F4" w:rsidRPr="00C8327F" w:rsidRDefault="005749F4" w:rsidP="005749F4">
            <w:pPr>
              <w:pStyle w:val="TableTextCentred"/>
              <w:rPr>
                <w:rFonts w:asciiTheme="minorHAnsi" w:hAnsiTheme="minorHAnsi"/>
                <w:sz w:val="20"/>
                <w:szCs w:val="20"/>
              </w:rPr>
            </w:pPr>
            <w:r w:rsidRPr="00C8327F">
              <w:rPr>
                <w:sz w:val="20"/>
                <w:szCs w:val="20"/>
              </w:rPr>
              <w:t>4</w:t>
            </w:r>
          </w:p>
        </w:tc>
        <w:tc>
          <w:tcPr>
            <w:tcW w:w="851" w:type="dxa"/>
            <w:tcBorders>
              <w:right w:val="single" w:sz="4" w:space="0" w:color="0079C1"/>
            </w:tcBorders>
            <w:shd w:val="clear" w:color="auto" w:fill="auto"/>
          </w:tcPr>
          <w:p w14:paraId="55B93BDD" w14:textId="2CE52B50" w:rsidR="005749F4" w:rsidRPr="00C8327F" w:rsidRDefault="005749F4" w:rsidP="005749F4">
            <w:pPr>
              <w:pStyle w:val="TableTextCentred"/>
              <w:rPr>
                <w:rFonts w:asciiTheme="minorHAnsi" w:hAnsiTheme="minorHAnsi"/>
                <w:sz w:val="20"/>
                <w:szCs w:val="20"/>
              </w:rPr>
            </w:pPr>
            <w:r w:rsidRPr="00C8327F">
              <w:rPr>
                <w:sz w:val="20"/>
                <w:szCs w:val="20"/>
              </w:rPr>
              <w:t>3.7%</w:t>
            </w:r>
          </w:p>
        </w:tc>
        <w:tc>
          <w:tcPr>
            <w:tcW w:w="709" w:type="dxa"/>
            <w:tcBorders>
              <w:left w:val="single" w:sz="4" w:space="0" w:color="0079C1"/>
            </w:tcBorders>
            <w:shd w:val="clear" w:color="auto" w:fill="auto"/>
          </w:tcPr>
          <w:p w14:paraId="3E3A7EE0" w14:textId="2919EB6B" w:rsidR="005749F4" w:rsidRPr="00C8327F" w:rsidRDefault="005749F4" w:rsidP="005749F4">
            <w:pPr>
              <w:pStyle w:val="TableTextCentred"/>
              <w:rPr>
                <w:rFonts w:asciiTheme="minorHAnsi" w:hAnsiTheme="minorHAnsi"/>
                <w:sz w:val="20"/>
                <w:szCs w:val="20"/>
              </w:rPr>
            </w:pPr>
            <w:r w:rsidRPr="00C8327F">
              <w:rPr>
                <w:sz w:val="20"/>
                <w:szCs w:val="20"/>
              </w:rPr>
              <w:t>-</w:t>
            </w:r>
          </w:p>
        </w:tc>
        <w:tc>
          <w:tcPr>
            <w:tcW w:w="850" w:type="dxa"/>
            <w:tcBorders>
              <w:right w:val="single" w:sz="4" w:space="0" w:color="0079C1"/>
            </w:tcBorders>
            <w:shd w:val="clear" w:color="auto" w:fill="auto"/>
          </w:tcPr>
          <w:p w14:paraId="65223F4C" w14:textId="794A48F6" w:rsidR="005749F4" w:rsidRPr="00C8327F" w:rsidRDefault="005749F4" w:rsidP="005749F4">
            <w:pPr>
              <w:pStyle w:val="TableTextCentred"/>
              <w:rPr>
                <w:rFonts w:asciiTheme="minorHAnsi" w:hAnsiTheme="minorHAnsi"/>
                <w:sz w:val="20"/>
                <w:szCs w:val="20"/>
              </w:rPr>
            </w:pPr>
            <w:r w:rsidRPr="00C8327F">
              <w:rPr>
                <w:sz w:val="20"/>
                <w:szCs w:val="20"/>
              </w:rPr>
              <w:t>-</w:t>
            </w:r>
          </w:p>
        </w:tc>
        <w:tc>
          <w:tcPr>
            <w:tcW w:w="709" w:type="dxa"/>
            <w:tcBorders>
              <w:left w:val="single" w:sz="4" w:space="0" w:color="0079C1"/>
            </w:tcBorders>
            <w:shd w:val="clear" w:color="auto" w:fill="auto"/>
          </w:tcPr>
          <w:p w14:paraId="6DE34456" w14:textId="2C12D49A" w:rsidR="005749F4" w:rsidRPr="00C8327F" w:rsidRDefault="005749F4" w:rsidP="005749F4">
            <w:pPr>
              <w:pStyle w:val="TableTextCentred"/>
              <w:rPr>
                <w:rFonts w:asciiTheme="minorHAnsi" w:hAnsiTheme="minorHAnsi"/>
                <w:sz w:val="20"/>
                <w:szCs w:val="20"/>
              </w:rPr>
            </w:pPr>
            <w:r w:rsidRPr="00C8327F">
              <w:rPr>
                <w:sz w:val="20"/>
                <w:szCs w:val="20"/>
              </w:rPr>
              <w:t>1</w:t>
            </w:r>
          </w:p>
        </w:tc>
        <w:tc>
          <w:tcPr>
            <w:tcW w:w="850" w:type="dxa"/>
            <w:tcBorders>
              <w:right w:val="single" w:sz="4" w:space="0" w:color="0079C1"/>
            </w:tcBorders>
            <w:shd w:val="clear" w:color="auto" w:fill="auto"/>
          </w:tcPr>
          <w:p w14:paraId="42C18F81" w14:textId="74B916FB" w:rsidR="005749F4" w:rsidRPr="00C8327F" w:rsidRDefault="005749F4" w:rsidP="005749F4">
            <w:pPr>
              <w:pStyle w:val="TableTextCentred"/>
              <w:rPr>
                <w:rFonts w:asciiTheme="minorHAnsi" w:hAnsiTheme="minorHAnsi"/>
                <w:sz w:val="20"/>
                <w:szCs w:val="20"/>
              </w:rPr>
            </w:pPr>
            <w:r w:rsidRPr="00C8327F">
              <w:rPr>
                <w:sz w:val="20"/>
                <w:szCs w:val="20"/>
              </w:rPr>
              <w:t>1.4%</w:t>
            </w:r>
          </w:p>
        </w:tc>
        <w:tc>
          <w:tcPr>
            <w:tcW w:w="709" w:type="dxa"/>
            <w:tcBorders>
              <w:left w:val="single" w:sz="4" w:space="0" w:color="0079C1"/>
            </w:tcBorders>
            <w:shd w:val="clear" w:color="auto" w:fill="auto"/>
          </w:tcPr>
          <w:p w14:paraId="16AB0FDF" w14:textId="31ED32DA" w:rsidR="005749F4" w:rsidRPr="00C8327F" w:rsidRDefault="005749F4" w:rsidP="005749F4">
            <w:pPr>
              <w:pStyle w:val="TableTextCentred"/>
              <w:rPr>
                <w:rFonts w:asciiTheme="minorHAnsi" w:hAnsiTheme="minorHAnsi"/>
                <w:sz w:val="20"/>
                <w:szCs w:val="20"/>
              </w:rPr>
            </w:pPr>
            <w:r w:rsidRPr="00C8327F">
              <w:rPr>
                <w:sz w:val="20"/>
                <w:szCs w:val="20"/>
              </w:rPr>
              <w:t>-</w:t>
            </w:r>
          </w:p>
        </w:tc>
        <w:tc>
          <w:tcPr>
            <w:tcW w:w="851" w:type="dxa"/>
            <w:tcBorders>
              <w:right w:val="single" w:sz="4" w:space="0" w:color="0079C1"/>
            </w:tcBorders>
            <w:shd w:val="clear" w:color="auto" w:fill="auto"/>
          </w:tcPr>
          <w:p w14:paraId="3B8CA6D8" w14:textId="598D542F" w:rsidR="005749F4" w:rsidRPr="00C8327F" w:rsidRDefault="005749F4" w:rsidP="005749F4">
            <w:pPr>
              <w:pStyle w:val="TableTextCentred"/>
              <w:rPr>
                <w:rFonts w:asciiTheme="minorHAnsi" w:hAnsiTheme="minorHAnsi"/>
                <w:sz w:val="20"/>
                <w:szCs w:val="20"/>
              </w:rPr>
            </w:pPr>
            <w:r w:rsidRPr="00C8327F">
              <w:rPr>
                <w:sz w:val="20"/>
                <w:szCs w:val="20"/>
              </w:rPr>
              <w:t>-</w:t>
            </w:r>
          </w:p>
        </w:tc>
        <w:tc>
          <w:tcPr>
            <w:tcW w:w="708" w:type="dxa"/>
            <w:tcBorders>
              <w:left w:val="single" w:sz="4" w:space="0" w:color="0079C1"/>
            </w:tcBorders>
            <w:shd w:val="clear" w:color="auto" w:fill="auto"/>
          </w:tcPr>
          <w:p w14:paraId="1DE9753A" w14:textId="3AEE8BA4" w:rsidR="005749F4" w:rsidRPr="00C8327F" w:rsidRDefault="005749F4" w:rsidP="005749F4">
            <w:pPr>
              <w:pStyle w:val="TableTextCentred"/>
              <w:rPr>
                <w:rFonts w:asciiTheme="minorHAnsi" w:hAnsiTheme="minorHAnsi"/>
                <w:b/>
                <w:bCs/>
                <w:sz w:val="20"/>
                <w:szCs w:val="20"/>
              </w:rPr>
            </w:pPr>
            <w:r w:rsidRPr="00C8327F">
              <w:rPr>
                <w:b/>
                <w:sz w:val="20"/>
                <w:szCs w:val="20"/>
              </w:rPr>
              <w:t>5</w:t>
            </w:r>
          </w:p>
        </w:tc>
        <w:tc>
          <w:tcPr>
            <w:tcW w:w="851" w:type="dxa"/>
            <w:shd w:val="clear" w:color="auto" w:fill="auto"/>
          </w:tcPr>
          <w:p w14:paraId="2042F3DC" w14:textId="1DFE48D6" w:rsidR="005749F4" w:rsidRPr="00C8327F" w:rsidRDefault="005749F4" w:rsidP="005749F4">
            <w:pPr>
              <w:pStyle w:val="TableTextCentred"/>
              <w:rPr>
                <w:rFonts w:asciiTheme="minorHAnsi" w:hAnsiTheme="minorHAnsi"/>
                <w:b/>
                <w:bCs/>
                <w:sz w:val="20"/>
                <w:szCs w:val="20"/>
              </w:rPr>
            </w:pPr>
            <w:r w:rsidRPr="00C8327F">
              <w:rPr>
                <w:b/>
                <w:sz w:val="20"/>
                <w:szCs w:val="20"/>
              </w:rPr>
              <w:t>2.3%</w:t>
            </w:r>
          </w:p>
        </w:tc>
      </w:tr>
      <w:tr w:rsidR="005749F4" w:rsidRPr="00F7061F" w14:paraId="4E802423" w14:textId="77777777" w:rsidTr="00C8327F">
        <w:tc>
          <w:tcPr>
            <w:tcW w:w="1556" w:type="dxa"/>
            <w:tcBorders>
              <w:bottom w:val="single" w:sz="4" w:space="0" w:color="0079C1" w:themeColor="text2"/>
              <w:right w:val="single" w:sz="4" w:space="0" w:color="0079C1"/>
            </w:tcBorders>
            <w:shd w:val="clear" w:color="auto" w:fill="auto"/>
          </w:tcPr>
          <w:p w14:paraId="53D024E9" w14:textId="3E3F66F6" w:rsidR="005749F4" w:rsidRPr="00C8327F" w:rsidRDefault="005749F4" w:rsidP="005749F4">
            <w:pPr>
              <w:pStyle w:val="TableText"/>
              <w:rPr>
                <w:rFonts w:asciiTheme="minorHAnsi" w:hAnsiTheme="minorHAnsi"/>
                <w:sz w:val="20"/>
                <w:szCs w:val="20"/>
              </w:rPr>
            </w:pPr>
            <w:r w:rsidRPr="00C8327F">
              <w:rPr>
                <w:rFonts w:asciiTheme="minorHAnsi" w:hAnsiTheme="minorHAnsi"/>
                <w:sz w:val="20"/>
                <w:szCs w:val="20"/>
              </w:rPr>
              <w:t xml:space="preserve">Not stated/not </w:t>
            </w:r>
            <w:r w:rsidR="001A0564" w:rsidRPr="00C8327F">
              <w:rPr>
                <w:rFonts w:asciiTheme="minorHAnsi" w:hAnsiTheme="minorHAnsi"/>
                <w:sz w:val="20"/>
                <w:szCs w:val="20"/>
              </w:rPr>
              <w:t xml:space="preserve">applicable </w:t>
            </w:r>
          </w:p>
        </w:tc>
        <w:tc>
          <w:tcPr>
            <w:tcW w:w="712" w:type="dxa"/>
            <w:tcBorders>
              <w:left w:val="single" w:sz="4" w:space="0" w:color="0079C1"/>
              <w:bottom w:val="single" w:sz="4" w:space="0" w:color="0079C1" w:themeColor="text2"/>
            </w:tcBorders>
            <w:shd w:val="clear" w:color="auto" w:fill="auto"/>
          </w:tcPr>
          <w:p w14:paraId="7324EE0F" w14:textId="22DAA72F" w:rsidR="005749F4" w:rsidRPr="00C8327F" w:rsidRDefault="005749F4" w:rsidP="005749F4">
            <w:pPr>
              <w:pStyle w:val="TableTextCentred"/>
              <w:rPr>
                <w:rFonts w:asciiTheme="minorHAnsi" w:hAnsiTheme="minorHAnsi"/>
                <w:sz w:val="20"/>
                <w:szCs w:val="20"/>
              </w:rPr>
            </w:pPr>
            <w:r w:rsidRPr="00C8327F">
              <w:rPr>
                <w:sz w:val="20"/>
                <w:szCs w:val="20"/>
              </w:rPr>
              <w:t>79</w:t>
            </w:r>
          </w:p>
        </w:tc>
        <w:tc>
          <w:tcPr>
            <w:tcW w:w="851" w:type="dxa"/>
            <w:tcBorders>
              <w:bottom w:val="single" w:sz="4" w:space="0" w:color="0079C1" w:themeColor="text2"/>
              <w:right w:val="single" w:sz="4" w:space="0" w:color="0079C1"/>
            </w:tcBorders>
            <w:shd w:val="clear" w:color="auto" w:fill="auto"/>
          </w:tcPr>
          <w:p w14:paraId="6ACDB978" w14:textId="48AA1C25" w:rsidR="005749F4" w:rsidRPr="00C8327F" w:rsidRDefault="005749F4" w:rsidP="005749F4">
            <w:pPr>
              <w:pStyle w:val="TableTextCentred"/>
              <w:rPr>
                <w:rFonts w:asciiTheme="minorHAnsi" w:hAnsiTheme="minorHAnsi"/>
                <w:sz w:val="20"/>
                <w:szCs w:val="20"/>
              </w:rPr>
            </w:pPr>
            <w:r w:rsidRPr="00C8327F">
              <w:rPr>
                <w:sz w:val="20"/>
                <w:szCs w:val="20"/>
              </w:rPr>
              <w:t>73.1%</w:t>
            </w:r>
          </w:p>
        </w:tc>
        <w:tc>
          <w:tcPr>
            <w:tcW w:w="709" w:type="dxa"/>
            <w:tcBorders>
              <w:left w:val="single" w:sz="4" w:space="0" w:color="0079C1"/>
              <w:bottom w:val="single" w:sz="4" w:space="0" w:color="0079C1" w:themeColor="text2"/>
            </w:tcBorders>
            <w:shd w:val="clear" w:color="auto" w:fill="auto"/>
          </w:tcPr>
          <w:p w14:paraId="715132E4" w14:textId="36113108" w:rsidR="005749F4" w:rsidRPr="00C8327F" w:rsidRDefault="005749F4" w:rsidP="005749F4">
            <w:pPr>
              <w:pStyle w:val="TableTextCentred"/>
              <w:rPr>
                <w:rFonts w:asciiTheme="minorHAnsi" w:hAnsiTheme="minorHAnsi"/>
                <w:sz w:val="20"/>
                <w:szCs w:val="20"/>
              </w:rPr>
            </w:pPr>
            <w:r w:rsidRPr="00C8327F">
              <w:rPr>
                <w:sz w:val="20"/>
                <w:szCs w:val="20"/>
              </w:rPr>
              <w:t>17</w:t>
            </w:r>
          </w:p>
        </w:tc>
        <w:tc>
          <w:tcPr>
            <w:tcW w:w="850" w:type="dxa"/>
            <w:tcBorders>
              <w:bottom w:val="single" w:sz="4" w:space="0" w:color="0079C1" w:themeColor="text2"/>
              <w:right w:val="single" w:sz="4" w:space="0" w:color="0079C1"/>
            </w:tcBorders>
            <w:shd w:val="clear" w:color="auto" w:fill="auto"/>
          </w:tcPr>
          <w:p w14:paraId="531A503C" w14:textId="39FFF751" w:rsidR="005749F4" w:rsidRPr="00C8327F" w:rsidRDefault="005749F4" w:rsidP="005749F4">
            <w:pPr>
              <w:pStyle w:val="TableTextCentred"/>
              <w:rPr>
                <w:rFonts w:asciiTheme="minorHAnsi" w:hAnsiTheme="minorHAnsi"/>
                <w:sz w:val="20"/>
                <w:szCs w:val="20"/>
              </w:rPr>
            </w:pPr>
            <w:r w:rsidRPr="00C8327F">
              <w:rPr>
                <w:sz w:val="20"/>
                <w:szCs w:val="20"/>
              </w:rPr>
              <w:t>89.5%</w:t>
            </w:r>
          </w:p>
        </w:tc>
        <w:tc>
          <w:tcPr>
            <w:tcW w:w="709" w:type="dxa"/>
            <w:tcBorders>
              <w:left w:val="single" w:sz="4" w:space="0" w:color="0079C1"/>
              <w:bottom w:val="single" w:sz="4" w:space="0" w:color="0079C1" w:themeColor="text2"/>
            </w:tcBorders>
            <w:shd w:val="clear" w:color="auto" w:fill="auto"/>
          </w:tcPr>
          <w:p w14:paraId="3384EDEE" w14:textId="73916B71" w:rsidR="005749F4" w:rsidRPr="00C8327F" w:rsidRDefault="005749F4" w:rsidP="005749F4">
            <w:pPr>
              <w:pStyle w:val="TableTextCentred"/>
              <w:rPr>
                <w:rFonts w:asciiTheme="minorHAnsi" w:hAnsiTheme="minorHAnsi"/>
                <w:sz w:val="20"/>
                <w:szCs w:val="20"/>
              </w:rPr>
            </w:pPr>
            <w:r w:rsidRPr="00C8327F">
              <w:rPr>
                <w:sz w:val="20"/>
                <w:szCs w:val="20"/>
              </w:rPr>
              <w:t>65</w:t>
            </w:r>
          </w:p>
        </w:tc>
        <w:tc>
          <w:tcPr>
            <w:tcW w:w="850" w:type="dxa"/>
            <w:tcBorders>
              <w:bottom w:val="single" w:sz="4" w:space="0" w:color="0079C1" w:themeColor="text2"/>
              <w:right w:val="single" w:sz="4" w:space="0" w:color="0079C1"/>
            </w:tcBorders>
            <w:shd w:val="clear" w:color="auto" w:fill="auto"/>
          </w:tcPr>
          <w:p w14:paraId="0DA89F07" w14:textId="55939A3D" w:rsidR="005749F4" w:rsidRPr="00C8327F" w:rsidRDefault="005749F4" w:rsidP="005749F4">
            <w:pPr>
              <w:pStyle w:val="TableTextCentred"/>
              <w:rPr>
                <w:rFonts w:asciiTheme="minorHAnsi" w:hAnsiTheme="minorHAnsi"/>
                <w:sz w:val="20"/>
                <w:szCs w:val="20"/>
              </w:rPr>
            </w:pPr>
            <w:r w:rsidRPr="00C8327F">
              <w:rPr>
                <w:sz w:val="20"/>
                <w:szCs w:val="20"/>
              </w:rPr>
              <w:t>89.0%</w:t>
            </w:r>
          </w:p>
        </w:tc>
        <w:tc>
          <w:tcPr>
            <w:tcW w:w="709" w:type="dxa"/>
            <w:tcBorders>
              <w:left w:val="single" w:sz="4" w:space="0" w:color="0079C1"/>
              <w:bottom w:val="single" w:sz="4" w:space="0" w:color="0079C1" w:themeColor="text2"/>
            </w:tcBorders>
            <w:shd w:val="clear" w:color="auto" w:fill="auto"/>
          </w:tcPr>
          <w:p w14:paraId="18E981AC" w14:textId="44EF6633" w:rsidR="005749F4" w:rsidRPr="00C8327F" w:rsidRDefault="005749F4" w:rsidP="005749F4">
            <w:pPr>
              <w:pStyle w:val="TableTextCentred"/>
              <w:rPr>
                <w:rFonts w:asciiTheme="minorHAnsi" w:hAnsiTheme="minorHAnsi"/>
                <w:sz w:val="20"/>
                <w:szCs w:val="20"/>
              </w:rPr>
            </w:pPr>
            <w:r w:rsidRPr="00C8327F">
              <w:rPr>
                <w:sz w:val="20"/>
                <w:szCs w:val="20"/>
              </w:rPr>
              <w:t>17</w:t>
            </w:r>
          </w:p>
        </w:tc>
        <w:tc>
          <w:tcPr>
            <w:tcW w:w="851" w:type="dxa"/>
            <w:tcBorders>
              <w:bottom w:val="single" w:sz="4" w:space="0" w:color="0079C1" w:themeColor="text2"/>
              <w:right w:val="single" w:sz="4" w:space="0" w:color="0079C1"/>
            </w:tcBorders>
            <w:shd w:val="clear" w:color="auto" w:fill="auto"/>
          </w:tcPr>
          <w:p w14:paraId="51206AD1" w14:textId="7312F480" w:rsidR="005749F4" w:rsidRPr="00C8327F" w:rsidRDefault="005749F4" w:rsidP="005749F4">
            <w:pPr>
              <w:pStyle w:val="TableTextCentred"/>
              <w:rPr>
                <w:rFonts w:asciiTheme="minorHAnsi" w:hAnsiTheme="minorHAnsi"/>
                <w:sz w:val="20"/>
                <w:szCs w:val="20"/>
              </w:rPr>
            </w:pPr>
            <w:r w:rsidRPr="00C8327F">
              <w:rPr>
                <w:sz w:val="20"/>
                <w:szCs w:val="20"/>
              </w:rPr>
              <w:t>85.0%</w:t>
            </w:r>
          </w:p>
        </w:tc>
        <w:tc>
          <w:tcPr>
            <w:tcW w:w="708" w:type="dxa"/>
            <w:tcBorders>
              <w:left w:val="single" w:sz="4" w:space="0" w:color="0079C1"/>
              <w:bottom w:val="single" w:sz="4" w:space="0" w:color="0079C1" w:themeColor="text2"/>
            </w:tcBorders>
            <w:shd w:val="clear" w:color="auto" w:fill="auto"/>
          </w:tcPr>
          <w:p w14:paraId="63AEAAC4" w14:textId="1FCEFF48" w:rsidR="005749F4" w:rsidRPr="00C8327F" w:rsidRDefault="005749F4" w:rsidP="005749F4">
            <w:pPr>
              <w:pStyle w:val="TableTextCentred"/>
              <w:rPr>
                <w:rFonts w:asciiTheme="minorHAnsi" w:hAnsiTheme="minorHAnsi"/>
                <w:b/>
                <w:bCs/>
                <w:sz w:val="20"/>
                <w:szCs w:val="20"/>
              </w:rPr>
            </w:pPr>
            <w:r w:rsidRPr="00C8327F">
              <w:rPr>
                <w:b/>
                <w:sz w:val="20"/>
                <w:szCs w:val="20"/>
              </w:rPr>
              <w:t>178</w:t>
            </w:r>
          </w:p>
        </w:tc>
        <w:tc>
          <w:tcPr>
            <w:tcW w:w="851" w:type="dxa"/>
            <w:tcBorders>
              <w:bottom w:val="single" w:sz="4" w:space="0" w:color="0079C1" w:themeColor="text2"/>
            </w:tcBorders>
            <w:shd w:val="clear" w:color="auto" w:fill="auto"/>
          </w:tcPr>
          <w:p w14:paraId="3EDA0F0C" w14:textId="7EBF3918" w:rsidR="005749F4" w:rsidRPr="00C8327F" w:rsidRDefault="005749F4" w:rsidP="005749F4">
            <w:pPr>
              <w:pStyle w:val="TableTextCentred"/>
              <w:rPr>
                <w:rFonts w:asciiTheme="minorHAnsi" w:hAnsiTheme="minorHAnsi"/>
                <w:b/>
                <w:bCs/>
                <w:sz w:val="20"/>
                <w:szCs w:val="20"/>
              </w:rPr>
            </w:pPr>
            <w:r w:rsidRPr="00C8327F">
              <w:rPr>
                <w:b/>
                <w:sz w:val="20"/>
                <w:szCs w:val="20"/>
              </w:rPr>
              <w:t>80.9%</w:t>
            </w:r>
          </w:p>
        </w:tc>
      </w:tr>
      <w:tr w:rsidR="00DE69E7" w:rsidRPr="005762AD" w14:paraId="0A67B99D" w14:textId="77777777" w:rsidTr="00C8327F">
        <w:tc>
          <w:tcPr>
            <w:tcW w:w="1556" w:type="dxa"/>
            <w:tcBorders>
              <w:top w:val="single" w:sz="4" w:space="0" w:color="0079C1" w:themeColor="text2"/>
              <w:bottom w:val="single" w:sz="4" w:space="0" w:color="0079C1" w:themeColor="text2"/>
              <w:right w:val="single" w:sz="4" w:space="0" w:color="0079C1"/>
            </w:tcBorders>
            <w:shd w:val="clear" w:color="auto" w:fill="E2F4FF" w:themeFill="accent1" w:themeFillTint="33"/>
          </w:tcPr>
          <w:p w14:paraId="24F73852" w14:textId="77777777" w:rsidR="00BB4AF7" w:rsidRPr="00C8327F" w:rsidRDefault="00BB4AF7" w:rsidP="00EB407E">
            <w:pPr>
              <w:pStyle w:val="TableText"/>
              <w:rPr>
                <w:rFonts w:asciiTheme="minorHAnsi" w:hAnsiTheme="minorHAnsi"/>
                <w:b/>
                <w:bCs/>
                <w:sz w:val="20"/>
                <w:szCs w:val="20"/>
              </w:rPr>
            </w:pPr>
            <w:r w:rsidRPr="00C8327F">
              <w:rPr>
                <w:rFonts w:asciiTheme="minorHAnsi" w:hAnsiTheme="minorHAnsi"/>
                <w:b/>
                <w:bCs/>
                <w:sz w:val="20"/>
                <w:szCs w:val="20"/>
              </w:rPr>
              <w:t xml:space="preserve">Total </w:t>
            </w:r>
          </w:p>
        </w:tc>
        <w:tc>
          <w:tcPr>
            <w:tcW w:w="712"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3B3860F4" w14:textId="77777777" w:rsidR="00BB4AF7" w:rsidRPr="00C8327F" w:rsidRDefault="00BB4AF7" w:rsidP="00EB407E">
            <w:pPr>
              <w:pStyle w:val="TableTextCentred"/>
              <w:rPr>
                <w:rFonts w:asciiTheme="minorHAnsi" w:hAnsiTheme="minorHAnsi"/>
                <w:b/>
                <w:bCs/>
                <w:sz w:val="20"/>
                <w:szCs w:val="20"/>
              </w:rPr>
            </w:pPr>
            <w:r w:rsidRPr="00C8327F">
              <w:rPr>
                <w:rFonts w:asciiTheme="minorHAnsi" w:hAnsiTheme="minorHAnsi"/>
                <w:b/>
                <w:bCs/>
                <w:sz w:val="20"/>
                <w:szCs w:val="20"/>
              </w:rPr>
              <w:t>108</w:t>
            </w:r>
          </w:p>
        </w:tc>
        <w:tc>
          <w:tcPr>
            <w:tcW w:w="851"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7CEC4F32" w14:textId="77777777" w:rsidR="00BB4AF7" w:rsidRPr="00C8327F" w:rsidRDefault="00BB4AF7" w:rsidP="00EB407E">
            <w:pPr>
              <w:pStyle w:val="TableTextCentred"/>
              <w:rPr>
                <w:rFonts w:asciiTheme="minorHAnsi" w:hAnsiTheme="minorHAnsi"/>
                <w:b/>
                <w:bCs/>
                <w:sz w:val="20"/>
                <w:szCs w:val="20"/>
              </w:rPr>
            </w:pPr>
            <w:r w:rsidRPr="00C8327F">
              <w:rPr>
                <w:rFonts w:asciiTheme="minorHAnsi" w:hAnsiTheme="minorHAnsi"/>
                <w:b/>
                <w:bCs/>
                <w:sz w:val="20"/>
                <w:szCs w:val="20"/>
              </w:rPr>
              <w:t>100.0%</w:t>
            </w:r>
          </w:p>
        </w:tc>
        <w:tc>
          <w:tcPr>
            <w:tcW w:w="709"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10A73A36" w14:textId="0409AB78" w:rsidR="00BB4AF7" w:rsidRPr="00C8327F" w:rsidRDefault="00BB4AF7" w:rsidP="00EB407E">
            <w:pPr>
              <w:pStyle w:val="TableTextCentred"/>
              <w:rPr>
                <w:rFonts w:asciiTheme="minorHAnsi" w:hAnsiTheme="minorHAnsi"/>
                <w:b/>
                <w:bCs/>
                <w:sz w:val="20"/>
                <w:szCs w:val="20"/>
              </w:rPr>
            </w:pPr>
            <w:r w:rsidRPr="00C8327F">
              <w:rPr>
                <w:rFonts w:asciiTheme="minorHAnsi" w:hAnsiTheme="minorHAnsi"/>
                <w:b/>
                <w:bCs/>
                <w:sz w:val="20"/>
                <w:szCs w:val="20"/>
              </w:rPr>
              <w:t>19</w:t>
            </w:r>
          </w:p>
        </w:tc>
        <w:tc>
          <w:tcPr>
            <w:tcW w:w="850"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7A70E5A2" w14:textId="64898463" w:rsidR="00BB4AF7" w:rsidRPr="00C8327F" w:rsidRDefault="00BB4AF7" w:rsidP="00EB407E">
            <w:pPr>
              <w:pStyle w:val="TableTextCentred"/>
              <w:rPr>
                <w:rFonts w:asciiTheme="minorHAnsi" w:hAnsiTheme="minorHAnsi"/>
                <w:b/>
                <w:bCs/>
                <w:sz w:val="20"/>
                <w:szCs w:val="20"/>
              </w:rPr>
            </w:pPr>
            <w:r w:rsidRPr="00C8327F">
              <w:rPr>
                <w:rFonts w:asciiTheme="minorHAnsi" w:hAnsiTheme="minorHAnsi"/>
                <w:b/>
                <w:bCs/>
                <w:sz w:val="20"/>
                <w:szCs w:val="20"/>
              </w:rPr>
              <w:t>100.0%</w:t>
            </w:r>
          </w:p>
        </w:tc>
        <w:tc>
          <w:tcPr>
            <w:tcW w:w="709"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582664A5" w14:textId="4B3F363A" w:rsidR="00BB4AF7" w:rsidRPr="00C8327F" w:rsidRDefault="00BB4AF7" w:rsidP="00EB407E">
            <w:pPr>
              <w:pStyle w:val="TableTextCentred"/>
              <w:rPr>
                <w:rFonts w:asciiTheme="minorHAnsi" w:hAnsiTheme="minorHAnsi"/>
                <w:b/>
                <w:bCs/>
                <w:sz w:val="20"/>
                <w:szCs w:val="20"/>
              </w:rPr>
            </w:pPr>
            <w:r w:rsidRPr="00C8327F">
              <w:rPr>
                <w:rFonts w:asciiTheme="minorHAnsi" w:hAnsiTheme="minorHAnsi"/>
                <w:b/>
                <w:bCs/>
                <w:sz w:val="20"/>
                <w:szCs w:val="20"/>
              </w:rPr>
              <w:t>73</w:t>
            </w:r>
          </w:p>
        </w:tc>
        <w:tc>
          <w:tcPr>
            <w:tcW w:w="850"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53F00441" w14:textId="72D67713" w:rsidR="00BB4AF7" w:rsidRPr="00C8327F" w:rsidRDefault="00BB4AF7" w:rsidP="00EB407E">
            <w:pPr>
              <w:pStyle w:val="TableTextCentred"/>
              <w:rPr>
                <w:rFonts w:asciiTheme="minorHAnsi" w:hAnsiTheme="minorHAnsi"/>
                <w:b/>
                <w:bCs/>
                <w:sz w:val="20"/>
                <w:szCs w:val="20"/>
              </w:rPr>
            </w:pPr>
            <w:r w:rsidRPr="00C8327F">
              <w:rPr>
                <w:rFonts w:asciiTheme="minorHAnsi" w:hAnsiTheme="minorHAnsi"/>
                <w:b/>
                <w:bCs/>
                <w:sz w:val="20"/>
                <w:szCs w:val="20"/>
              </w:rPr>
              <w:t>100.0%</w:t>
            </w:r>
          </w:p>
        </w:tc>
        <w:tc>
          <w:tcPr>
            <w:tcW w:w="709"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39E0042F" w14:textId="77777777" w:rsidR="00BB4AF7" w:rsidRPr="00C8327F" w:rsidRDefault="00BB4AF7" w:rsidP="00EB407E">
            <w:pPr>
              <w:pStyle w:val="TableTextCentred"/>
              <w:rPr>
                <w:rFonts w:asciiTheme="minorHAnsi" w:hAnsiTheme="minorHAnsi"/>
                <w:b/>
                <w:bCs/>
                <w:sz w:val="20"/>
                <w:szCs w:val="20"/>
              </w:rPr>
            </w:pPr>
            <w:r w:rsidRPr="00C8327F">
              <w:rPr>
                <w:rFonts w:asciiTheme="minorHAnsi" w:hAnsiTheme="minorHAnsi"/>
                <w:b/>
                <w:bCs/>
                <w:sz w:val="20"/>
                <w:szCs w:val="20"/>
              </w:rPr>
              <w:t>20</w:t>
            </w:r>
          </w:p>
        </w:tc>
        <w:tc>
          <w:tcPr>
            <w:tcW w:w="851"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620D5F5B" w14:textId="77777777" w:rsidR="00BB4AF7" w:rsidRPr="00C8327F" w:rsidRDefault="00BB4AF7" w:rsidP="00EB407E">
            <w:pPr>
              <w:pStyle w:val="TableTextCentred"/>
              <w:rPr>
                <w:rFonts w:asciiTheme="minorHAnsi" w:hAnsiTheme="minorHAnsi"/>
                <w:b/>
                <w:bCs/>
                <w:sz w:val="20"/>
                <w:szCs w:val="20"/>
              </w:rPr>
            </w:pPr>
            <w:r w:rsidRPr="00C8327F">
              <w:rPr>
                <w:rFonts w:asciiTheme="minorHAnsi" w:hAnsiTheme="minorHAnsi"/>
                <w:b/>
                <w:bCs/>
                <w:sz w:val="20"/>
                <w:szCs w:val="20"/>
              </w:rPr>
              <w:t>100.0%</w:t>
            </w:r>
          </w:p>
        </w:tc>
        <w:tc>
          <w:tcPr>
            <w:tcW w:w="708"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36100F8F" w14:textId="77777777" w:rsidR="00BB4AF7" w:rsidRPr="00C8327F" w:rsidRDefault="00BB4AF7" w:rsidP="00EB407E">
            <w:pPr>
              <w:pStyle w:val="TableTextCentred"/>
              <w:rPr>
                <w:rFonts w:asciiTheme="minorHAnsi" w:hAnsiTheme="minorHAnsi"/>
                <w:b/>
                <w:bCs/>
                <w:sz w:val="20"/>
                <w:szCs w:val="20"/>
              </w:rPr>
            </w:pPr>
            <w:r w:rsidRPr="00C8327F">
              <w:rPr>
                <w:rFonts w:asciiTheme="minorHAnsi" w:hAnsiTheme="minorHAnsi"/>
                <w:b/>
                <w:bCs/>
                <w:sz w:val="20"/>
                <w:szCs w:val="20"/>
              </w:rPr>
              <w:t>220</w:t>
            </w:r>
          </w:p>
        </w:tc>
        <w:tc>
          <w:tcPr>
            <w:tcW w:w="851" w:type="dxa"/>
            <w:tcBorders>
              <w:top w:val="single" w:sz="4" w:space="0" w:color="0079C1" w:themeColor="text2"/>
              <w:bottom w:val="single" w:sz="4" w:space="0" w:color="0079C1" w:themeColor="text2"/>
            </w:tcBorders>
            <w:shd w:val="clear" w:color="auto" w:fill="E2F4FF" w:themeFill="accent1" w:themeFillTint="33"/>
            <w:vAlign w:val="center"/>
          </w:tcPr>
          <w:p w14:paraId="2131B133" w14:textId="77777777" w:rsidR="00BB4AF7" w:rsidRPr="00C8327F" w:rsidRDefault="00BB4AF7" w:rsidP="00EB407E">
            <w:pPr>
              <w:pStyle w:val="TableTextCentred"/>
              <w:rPr>
                <w:rFonts w:asciiTheme="minorHAnsi" w:hAnsiTheme="minorHAnsi"/>
                <w:b/>
                <w:bCs/>
                <w:sz w:val="20"/>
                <w:szCs w:val="20"/>
              </w:rPr>
            </w:pPr>
            <w:r w:rsidRPr="00C8327F">
              <w:rPr>
                <w:rFonts w:asciiTheme="minorHAnsi" w:hAnsiTheme="minorHAnsi"/>
                <w:b/>
                <w:bCs/>
                <w:sz w:val="20"/>
                <w:szCs w:val="20"/>
              </w:rPr>
              <w:t>100.0%</w:t>
            </w:r>
          </w:p>
        </w:tc>
      </w:tr>
    </w:tbl>
    <w:p w14:paraId="1A3D56BD" w14:textId="77777777" w:rsidR="002A3757" w:rsidRDefault="002A3757" w:rsidP="00DE69E7">
      <w:pPr>
        <w:pStyle w:val="ParagraphKeep"/>
      </w:pPr>
      <w:bookmarkStart w:id="107" w:name="_Hlk489886374"/>
      <w:bookmarkStart w:id="108" w:name="_Hlk489886932"/>
      <w:bookmarkEnd w:id="103"/>
      <w:bookmarkEnd w:id="106"/>
      <w:r w:rsidRPr="002A3757">
        <w:t xml:space="preserve">When given the opportunity to comment on the satisfaction ratings provided, 28 respondents did so, some proving multiple comments.  A total of 34 valid comments were provided.  Of these, 11/34 (32.4%) said that the staff were friendly and easy to talk to, and 9/34 (26.5%) said their questions were answered.  Of the comments rating the service as not useful or neutral, 9/34 (26.5%) said the service could not help them, and a further 5/34 (14.7%) said the role of the IAA was unclear or the staff were not able to help due to limitations related to IAA’s scope of influence. </w:t>
      </w:r>
    </w:p>
    <w:bookmarkEnd w:id="107"/>
    <w:bookmarkEnd w:id="108"/>
    <w:p w14:paraId="433345EE" w14:textId="210E84AB" w:rsidR="006168A4" w:rsidRPr="006168A4" w:rsidRDefault="006168A4" w:rsidP="006168A4">
      <w:pPr>
        <w:pStyle w:val="Paragraph"/>
        <w:rPr>
          <w:rStyle w:val="IntenseEmphasis"/>
        </w:rPr>
      </w:pPr>
      <w:r w:rsidRPr="006168A4">
        <w:rPr>
          <w:rStyle w:val="IntenseEmphasis"/>
        </w:rPr>
        <w:t>Adult adoptees</w:t>
      </w:r>
    </w:p>
    <w:p w14:paraId="7BB2C757" w14:textId="66C51676" w:rsidR="00B43607" w:rsidRDefault="006168A4" w:rsidP="00DE69E7">
      <w:pPr>
        <w:pStyle w:val="Paragraph"/>
      </w:pPr>
      <w:r>
        <w:t xml:space="preserve">Two adult adoptees who responded to the survey indicated that they had used the Information line.  However, their </w:t>
      </w:r>
      <w:r w:rsidR="0093220D">
        <w:t>assessment of the usefulness of the information provided by IAA information line staff was polarised</w:t>
      </w:r>
      <w:r>
        <w:t>.  One adoptee</w:t>
      </w:r>
      <w:r w:rsidR="0093220D">
        <w:t xml:space="preserve"> reported </w:t>
      </w:r>
      <w:r>
        <w:t xml:space="preserve">the information </w:t>
      </w:r>
      <w:r w:rsidR="0093220D">
        <w:t>received as being very useful</w:t>
      </w:r>
      <w:r w:rsidR="002569F3">
        <w:t>,</w:t>
      </w:r>
      <w:r w:rsidR="0093220D">
        <w:t xml:space="preserve"> citing the provision of counselling resources and links to a country-specific adoptee group to support this assessment.  The other adoptee rated the information as being ‘not at all useful’ because it was unable to </w:t>
      </w:r>
      <w:r w:rsidR="00AF7660">
        <w:t xml:space="preserve">address the difficulties they were having in locating </w:t>
      </w:r>
      <w:r w:rsidR="0093220D">
        <w:t>their birth family</w:t>
      </w:r>
      <w:r w:rsidR="002B7533">
        <w:t>, something which was outside the scope of IAA</w:t>
      </w:r>
      <w:r w:rsidR="0093220D">
        <w:t xml:space="preserve">. </w:t>
      </w:r>
    </w:p>
    <w:tbl>
      <w:tblPr>
        <w:tblStyle w:val="TableGrid"/>
        <w:tblW w:w="9392" w:type="dxa"/>
        <w:tblInd w:w="108" w:type="dxa"/>
        <w:tblBorders>
          <w:top w:val="single" w:sz="4" w:space="0" w:color="0079C1" w:themeColor="text2"/>
          <w:left w:val="single" w:sz="4" w:space="0" w:color="0079C1" w:themeColor="text2"/>
          <w:bottom w:val="single" w:sz="4" w:space="0" w:color="0079C1" w:themeColor="text2"/>
          <w:right w:val="single" w:sz="4" w:space="0" w:color="0079C1" w:themeColor="text2"/>
          <w:insideH w:val="none" w:sz="0" w:space="0" w:color="auto"/>
          <w:insideV w:val="none" w:sz="0" w:space="0" w:color="auto"/>
        </w:tblBorders>
        <w:tblLook w:val="04A0" w:firstRow="1" w:lastRow="0" w:firstColumn="1" w:lastColumn="0" w:noHBand="0" w:noVBand="1"/>
        <w:tblCaption w:val="Key findings:"/>
        <w:tblDescription w:val="Key findings:&#10;• Almost one in five of all parental respondents (42/220, 19.1%) indicated that they had used the 1800 information line &#10;• Half (21/42, 50.0%) of those who had used the information line ranked the information provided as either very useful or useful&#10;• Two adoptees responded to the survey and had used the information line during the evaluation period (accounting for 0.9% of all respondents).  They were polarised on their assessment of the usefulness of the information provided.&#10;"/>
      </w:tblPr>
      <w:tblGrid>
        <w:gridCol w:w="9392"/>
      </w:tblGrid>
      <w:tr w:rsidR="00B43607" w:rsidRPr="00B43607" w14:paraId="70F60A2C" w14:textId="77777777" w:rsidTr="004E43C8">
        <w:trPr>
          <w:tblHeader/>
        </w:trPr>
        <w:tc>
          <w:tcPr>
            <w:tcW w:w="9392" w:type="dxa"/>
            <w:shd w:val="clear" w:color="auto" w:fill="E2F4FF" w:themeFill="accent1" w:themeFillTint="33"/>
          </w:tcPr>
          <w:p w14:paraId="14963C76" w14:textId="252F3127" w:rsidR="00B43607" w:rsidRPr="008A1452" w:rsidRDefault="00B43607" w:rsidP="005762AD">
            <w:pPr>
              <w:pStyle w:val="Heading4"/>
              <w:outlineLvl w:val="3"/>
              <w:rPr>
                <w:color w:val="auto"/>
                <w:lang w:val="en-AU"/>
              </w:rPr>
            </w:pPr>
            <w:r w:rsidRPr="008A1452">
              <w:rPr>
                <w:color w:val="auto"/>
                <w:lang w:val="en-AU"/>
              </w:rPr>
              <w:lastRenderedPageBreak/>
              <w:t>Key findings:</w:t>
            </w:r>
          </w:p>
          <w:p w14:paraId="2D4A6939" w14:textId="77777777" w:rsidR="005749F4" w:rsidRDefault="005749F4" w:rsidP="005749F4">
            <w:pPr>
              <w:pStyle w:val="Bullet1"/>
              <w:rPr>
                <w:lang w:val="en-AU"/>
              </w:rPr>
            </w:pPr>
            <w:r>
              <w:rPr>
                <w:lang w:val="en-AU"/>
              </w:rPr>
              <w:t>A</w:t>
            </w:r>
            <w:r w:rsidRPr="005749F4">
              <w:rPr>
                <w:lang w:val="en-AU"/>
              </w:rPr>
              <w:t xml:space="preserve">lmost one in five of all parental respondents (42/220, 19.1%) indicated that they had used the 1800 information line </w:t>
            </w:r>
          </w:p>
          <w:p w14:paraId="4E8C47AD" w14:textId="38390633" w:rsidR="00B43607" w:rsidRPr="00B43607" w:rsidRDefault="005749F4" w:rsidP="005749F4">
            <w:pPr>
              <w:pStyle w:val="Bullet1"/>
              <w:rPr>
                <w:lang w:val="en-AU"/>
              </w:rPr>
            </w:pPr>
            <w:r>
              <w:rPr>
                <w:lang w:val="en-AU"/>
              </w:rPr>
              <w:t>Half (</w:t>
            </w:r>
            <w:r w:rsidRPr="005749F4">
              <w:rPr>
                <w:lang w:val="en-AU"/>
              </w:rPr>
              <w:t>21/42, 50.0%</w:t>
            </w:r>
            <w:r>
              <w:rPr>
                <w:lang w:val="en-AU"/>
              </w:rPr>
              <w:t xml:space="preserve">) </w:t>
            </w:r>
            <w:r w:rsidR="00B43607" w:rsidRPr="00B43607">
              <w:t>o</w:t>
            </w:r>
            <w:r w:rsidR="00B43607" w:rsidRPr="00B43607">
              <w:rPr>
                <w:lang w:val="en-AU"/>
              </w:rPr>
              <w:t>f those who had used the information line r</w:t>
            </w:r>
            <w:r w:rsidR="00393CB6">
              <w:rPr>
                <w:lang w:val="en-AU"/>
              </w:rPr>
              <w:t xml:space="preserve">anked the information provided </w:t>
            </w:r>
            <w:r w:rsidR="00B43607" w:rsidRPr="00B43607">
              <w:rPr>
                <w:lang w:val="en-AU"/>
              </w:rPr>
              <w:t>as either very useful or useful</w:t>
            </w:r>
          </w:p>
          <w:p w14:paraId="76A69D86" w14:textId="143BE8E6" w:rsidR="00AF7660" w:rsidRPr="00B43607" w:rsidRDefault="003B0381" w:rsidP="003B0381">
            <w:pPr>
              <w:pStyle w:val="Bullet1"/>
              <w:rPr>
                <w:lang w:val="en-AU"/>
              </w:rPr>
            </w:pPr>
            <w:r>
              <w:rPr>
                <w:lang w:val="en-AU"/>
              </w:rPr>
              <w:t>T</w:t>
            </w:r>
            <w:r w:rsidR="0093220D">
              <w:rPr>
                <w:lang w:val="en-AU"/>
              </w:rPr>
              <w:t xml:space="preserve">wo adoptees </w:t>
            </w:r>
            <w:r w:rsidR="001D7343">
              <w:rPr>
                <w:lang w:val="en-AU"/>
              </w:rPr>
              <w:t>respond</w:t>
            </w:r>
            <w:r>
              <w:rPr>
                <w:lang w:val="en-AU"/>
              </w:rPr>
              <w:t>ed</w:t>
            </w:r>
            <w:r w:rsidR="001D7343">
              <w:rPr>
                <w:lang w:val="en-AU"/>
              </w:rPr>
              <w:t xml:space="preserve"> to the survey </w:t>
            </w:r>
            <w:r>
              <w:rPr>
                <w:lang w:val="en-AU"/>
              </w:rPr>
              <w:t>and</w:t>
            </w:r>
            <w:r w:rsidR="001D7343">
              <w:rPr>
                <w:lang w:val="en-AU"/>
              </w:rPr>
              <w:t xml:space="preserve"> </w:t>
            </w:r>
            <w:r w:rsidR="0093220D">
              <w:rPr>
                <w:lang w:val="en-AU"/>
              </w:rPr>
              <w:t xml:space="preserve">had used the information line </w:t>
            </w:r>
            <w:r>
              <w:rPr>
                <w:lang w:val="en-AU"/>
              </w:rPr>
              <w:t xml:space="preserve">during the evaluation period (accounting for 0.9% of all respondents). </w:t>
            </w:r>
            <w:r w:rsidR="006130F3">
              <w:rPr>
                <w:lang w:val="en-AU"/>
              </w:rPr>
              <w:t xml:space="preserve"> </w:t>
            </w:r>
            <w:r>
              <w:rPr>
                <w:lang w:val="en-AU"/>
              </w:rPr>
              <w:t xml:space="preserve">They </w:t>
            </w:r>
            <w:r w:rsidR="0093220D">
              <w:rPr>
                <w:lang w:val="en-AU"/>
              </w:rPr>
              <w:t>were polarised on their assessment of the usefulness of the information provided.</w:t>
            </w:r>
          </w:p>
        </w:tc>
      </w:tr>
    </w:tbl>
    <w:p w14:paraId="29F13ACA" w14:textId="237A4C0A" w:rsidR="00B43607" w:rsidRPr="00B43607" w:rsidRDefault="00B43607" w:rsidP="00E44E75">
      <w:pPr>
        <w:pStyle w:val="Heading4"/>
      </w:pPr>
      <w:r w:rsidRPr="00B43607">
        <w:t xml:space="preserve">Measure 2b: Of all the people who access the service at least 80% report satisfaction with the website </w:t>
      </w:r>
    </w:p>
    <w:p w14:paraId="1D30083E" w14:textId="0E001406" w:rsidR="0093220D" w:rsidRDefault="0093220D" w:rsidP="008B09EF">
      <w:pPr>
        <w:pStyle w:val="ParagraphKeep"/>
      </w:pPr>
      <w:r>
        <w:t>In assessing client satisfaction with the IAA website, two elements of the website are considered:</w:t>
      </w:r>
    </w:p>
    <w:p w14:paraId="03FFF8FF" w14:textId="4978C4A3" w:rsidR="0093220D" w:rsidRDefault="0093220D" w:rsidP="0093220D">
      <w:pPr>
        <w:pStyle w:val="Bullet1"/>
      </w:pPr>
      <w:r>
        <w:t>The website generally</w:t>
      </w:r>
    </w:p>
    <w:p w14:paraId="4BF9CEA1" w14:textId="391C8C5D" w:rsidR="0093220D" w:rsidRDefault="0093220D" w:rsidP="0093220D">
      <w:pPr>
        <w:pStyle w:val="Bullet1"/>
      </w:pPr>
      <w:r>
        <w:t>The online enquiry form.</w:t>
      </w:r>
    </w:p>
    <w:p w14:paraId="4244F1B6" w14:textId="71B633E9" w:rsidR="0093220D" w:rsidRPr="00393CB6" w:rsidRDefault="0093220D" w:rsidP="0093220D">
      <w:pPr>
        <w:pStyle w:val="Heading4"/>
      </w:pPr>
      <w:r>
        <w:t>Gen</w:t>
      </w:r>
      <w:r w:rsidR="00414223">
        <w:t>er</w:t>
      </w:r>
      <w:r>
        <w:t>al website usage</w:t>
      </w:r>
    </w:p>
    <w:p w14:paraId="26691427" w14:textId="1459D8A7" w:rsidR="00B43607" w:rsidRPr="00B43607" w:rsidRDefault="00B43607" w:rsidP="008B09EF">
      <w:pPr>
        <w:pStyle w:val="ParagraphKeep"/>
      </w:pPr>
      <w:r w:rsidRPr="00B43607">
        <w:t>In the survey, a total of 13</w:t>
      </w:r>
      <w:r w:rsidR="008F3FA6">
        <w:t>1</w:t>
      </w:r>
      <w:r w:rsidRPr="00B43607">
        <w:t>parental respondents indicated that they had used the IAA website.  Of these:</w:t>
      </w:r>
    </w:p>
    <w:p w14:paraId="2836DB8F" w14:textId="213E0676" w:rsidR="00B43607" w:rsidRPr="00B43607" w:rsidRDefault="008F3FA6" w:rsidP="008B09EF">
      <w:pPr>
        <w:pStyle w:val="Bullet1"/>
      </w:pPr>
      <w:r>
        <w:t>89</w:t>
      </w:r>
      <w:r w:rsidR="00B43607" w:rsidRPr="00B43607">
        <w:t xml:space="preserve"> were wanting to adopt, either for the first time or as repeat adoptive parents</w:t>
      </w:r>
    </w:p>
    <w:p w14:paraId="5B91CA0D" w14:textId="77777777" w:rsidR="00B43607" w:rsidRPr="00B43607" w:rsidRDefault="00B43607" w:rsidP="008B09EF">
      <w:pPr>
        <w:pStyle w:val="Bullet1"/>
      </w:pPr>
      <w:r w:rsidRPr="00B43607">
        <w:t>27 were in the post adoption phase</w:t>
      </w:r>
    </w:p>
    <w:p w14:paraId="03012B0B" w14:textId="183E4616" w:rsidR="00B43607" w:rsidRPr="00B43607" w:rsidRDefault="00B43607" w:rsidP="008B09EF">
      <w:pPr>
        <w:pStyle w:val="Bullet1"/>
      </w:pPr>
      <w:r w:rsidRPr="00B43607">
        <w:t xml:space="preserve">15 had considered adopting but had decided not to continue </w:t>
      </w:r>
      <w:r w:rsidRPr="00B43607">
        <w:rPr>
          <w:i/>
          <w:iCs/>
        </w:rPr>
        <w:t>(</w:t>
      </w:r>
      <w:r w:rsidRPr="00B43607">
        <w:fldChar w:fldCharType="begin"/>
      </w:r>
      <w:r w:rsidRPr="00B43607">
        <w:instrText xml:space="preserve"> REF _Ref462650678 \h  \* MERGEFORMAT </w:instrText>
      </w:r>
      <w:r w:rsidRPr="00B43607">
        <w:fldChar w:fldCharType="separate"/>
      </w:r>
      <w:r w:rsidR="00487073" w:rsidRPr="00487073">
        <w:rPr>
          <w:i/>
          <w:iCs/>
        </w:rPr>
        <w:t>Table 5</w:t>
      </w:r>
      <w:r w:rsidR="00487073" w:rsidRPr="00487073">
        <w:rPr>
          <w:i/>
          <w:iCs/>
        </w:rPr>
        <w:noBreakHyphen/>
        <w:t>11</w:t>
      </w:r>
      <w:r w:rsidRPr="00B43607">
        <w:fldChar w:fldCharType="end"/>
      </w:r>
      <w:r w:rsidRPr="00B43607">
        <w:t>).</w:t>
      </w:r>
    </w:p>
    <w:p w14:paraId="5EDD0210" w14:textId="5078DCFC" w:rsidR="00B43607" w:rsidRDefault="00B43607" w:rsidP="008B09EF">
      <w:pPr>
        <w:pStyle w:val="Paragraph"/>
      </w:pPr>
      <w:r w:rsidRPr="00B43607">
        <w:t xml:space="preserve">Additionally, two adult adoptees also responded to the </w:t>
      </w:r>
      <w:r w:rsidR="003B0381">
        <w:t>website</w:t>
      </w:r>
      <w:r w:rsidR="003B0381" w:rsidRPr="00B43607">
        <w:t xml:space="preserve"> </w:t>
      </w:r>
      <w:r w:rsidRPr="00B43607">
        <w:t xml:space="preserve">usage questions.  Responses for the latter are not included in </w:t>
      </w:r>
      <w:r w:rsidRPr="00B43607">
        <w:fldChar w:fldCharType="begin"/>
      </w:r>
      <w:r w:rsidRPr="00B43607">
        <w:instrText xml:space="preserve"> REF _Ref462650678 \h  \* MERGEFORMAT </w:instrText>
      </w:r>
      <w:r w:rsidRPr="00B43607">
        <w:fldChar w:fldCharType="separate"/>
      </w:r>
      <w:r w:rsidR="00487073" w:rsidRPr="00487073">
        <w:rPr>
          <w:i/>
          <w:iCs/>
        </w:rPr>
        <w:t>Table 5</w:t>
      </w:r>
      <w:r w:rsidR="00487073" w:rsidRPr="00487073">
        <w:rPr>
          <w:i/>
          <w:iCs/>
        </w:rPr>
        <w:noBreakHyphen/>
        <w:t>11</w:t>
      </w:r>
      <w:r w:rsidRPr="00B43607">
        <w:fldChar w:fldCharType="end"/>
      </w:r>
      <w:r w:rsidR="00052833">
        <w:rPr>
          <w:i/>
          <w:iCs/>
        </w:rPr>
        <w:t xml:space="preserve"> </w:t>
      </w:r>
      <w:r w:rsidRPr="00B43607">
        <w:t>and are discussed separately later in this</w:t>
      </w:r>
      <w:r w:rsidR="002D67B1">
        <w:t xml:space="preserve"> section.</w:t>
      </w:r>
    </w:p>
    <w:p w14:paraId="673E64F1" w14:textId="407C5337" w:rsidR="00052833" w:rsidRPr="00B43607" w:rsidRDefault="00052833" w:rsidP="00052833">
      <w:pPr>
        <w:pStyle w:val="Paragraph"/>
      </w:pPr>
      <w:bookmarkStart w:id="109" w:name="_Hlk490060472"/>
      <w:r w:rsidRPr="00B43607">
        <w:t xml:space="preserve">Overall, </w:t>
      </w:r>
      <w:r w:rsidR="002B7533">
        <w:t xml:space="preserve">almost </w:t>
      </w:r>
      <w:r w:rsidRPr="00B43607">
        <w:t xml:space="preserve">60% of the total parental respondents </w:t>
      </w:r>
      <w:r w:rsidR="002B7533">
        <w:t xml:space="preserve">(131/220) </w:t>
      </w:r>
      <w:r w:rsidRPr="00B43607">
        <w:t>had used the IAA website</w:t>
      </w:r>
      <w:r w:rsidR="002B7533">
        <w:t xml:space="preserve"> (</w:t>
      </w:r>
      <w:r w:rsidR="002B7533" w:rsidRPr="00B43607">
        <w:fldChar w:fldCharType="begin"/>
      </w:r>
      <w:r w:rsidR="002B7533" w:rsidRPr="00B43607">
        <w:instrText xml:space="preserve"> REF _Ref462650678 \h  \* MERGEFORMAT </w:instrText>
      </w:r>
      <w:r w:rsidR="002B7533" w:rsidRPr="00B43607">
        <w:fldChar w:fldCharType="separate"/>
      </w:r>
      <w:r w:rsidR="00487073" w:rsidRPr="00487073">
        <w:rPr>
          <w:i/>
          <w:iCs/>
        </w:rPr>
        <w:t>Table 5</w:t>
      </w:r>
      <w:r w:rsidR="00487073" w:rsidRPr="00487073">
        <w:rPr>
          <w:i/>
          <w:iCs/>
        </w:rPr>
        <w:noBreakHyphen/>
        <w:t>11</w:t>
      </w:r>
      <w:r w:rsidR="002B7533" w:rsidRPr="00B43607">
        <w:fldChar w:fldCharType="end"/>
      </w:r>
      <w:r w:rsidR="002B7533">
        <w:t>)</w:t>
      </w:r>
      <w:r w:rsidRPr="00B43607">
        <w:t xml:space="preserve">, </w:t>
      </w:r>
      <w:r w:rsidR="002B7533">
        <w:t>H</w:t>
      </w:r>
      <w:r w:rsidRPr="00B43607">
        <w:t xml:space="preserve">ighest usage </w:t>
      </w:r>
      <w:r w:rsidR="002B7533">
        <w:t xml:space="preserve">was </w:t>
      </w:r>
      <w:r w:rsidRPr="00B43607">
        <w:t>evident among those wanting to adopt for the first time</w:t>
      </w:r>
      <w:r w:rsidR="008F3FA6">
        <w:t xml:space="preserve"> (81</w:t>
      </w:r>
      <w:r>
        <w:t>/13</w:t>
      </w:r>
      <w:r w:rsidR="002B7533">
        <w:t>1</w:t>
      </w:r>
      <w:r>
        <w:t>, 6</w:t>
      </w:r>
      <w:r w:rsidR="002B7533">
        <w:t>1.8</w:t>
      </w:r>
      <w:r>
        <w:t>%)</w:t>
      </w:r>
      <w:r w:rsidRPr="00B43607">
        <w:t xml:space="preserve"> and </w:t>
      </w:r>
      <w:r>
        <w:t>in the post-adoption phase (</w:t>
      </w:r>
      <w:r w:rsidR="002B7533">
        <w:t>27/131</w:t>
      </w:r>
      <w:r>
        <w:t>, 20.</w:t>
      </w:r>
      <w:r w:rsidR="002B7533">
        <w:t>6</w:t>
      </w:r>
      <w:r>
        <w:t>%)</w:t>
      </w:r>
      <w:r w:rsidRPr="00B43607">
        <w:t>.</w:t>
      </w:r>
    </w:p>
    <w:p w14:paraId="5FA4FB13" w14:textId="0155AFF7" w:rsidR="00B43607" w:rsidRPr="00B43607" w:rsidRDefault="00B43607" w:rsidP="008B09EF">
      <w:pPr>
        <w:pStyle w:val="Caption"/>
        <w:rPr>
          <w:rFonts w:ascii="Segoe UI" w:eastAsia="Times New Roman" w:hAnsi="Segoe UI" w:cs="Segoe UI"/>
          <w:sz w:val="20"/>
          <w:szCs w:val="20"/>
          <w:lang w:eastAsia="en-AU"/>
        </w:rPr>
      </w:pPr>
      <w:bookmarkStart w:id="110" w:name="_Ref462650678"/>
      <w:bookmarkStart w:id="111" w:name="_Toc490481661"/>
      <w:bookmarkStart w:id="112" w:name="_Hlk489547278"/>
      <w:bookmarkEnd w:id="109"/>
      <w:r w:rsidRPr="00B43607">
        <w:t>Table </w:t>
      </w:r>
      <w:r w:rsidR="00644B63">
        <w:fldChar w:fldCharType="begin"/>
      </w:r>
      <w:r w:rsidR="00644B63">
        <w:instrText xml:space="preserve"> STYLEREF 1 \s </w:instrText>
      </w:r>
      <w:r w:rsidR="00644B63">
        <w:fldChar w:fldCharType="separate"/>
      </w:r>
      <w:r w:rsidR="00487073">
        <w:rPr>
          <w:noProof/>
        </w:rPr>
        <w:t>5</w:t>
      </w:r>
      <w:r w:rsidR="00644B63">
        <w:fldChar w:fldCharType="end"/>
      </w:r>
      <w:r w:rsidR="00644B63">
        <w:noBreakHyphen/>
      </w:r>
      <w:r w:rsidR="00644B63">
        <w:fldChar w:fldCharType="begin"/>
      </w:r>
      <w:r w:rsidR="00644B63">
        <w:instrText xml:space="preserve"> SEQ Table \* ARABIC \s 1 </w:instrText>
      </w:r>
      <w:r w:rsidR="00644B63">
        <w:fldChar w:fldCharType="separate"/>
      </w:r>
      <w:r w:rsidR="00487073">
        <w:rPr>
          <w:noProof/>
        </w:rPr>
        <w:t>11</w:t>
      </w:r>
      <w:r w:rsidR="00644B63">
        <w:fldChar w:fldCharType="end"/>
      </w:r>
      <w:bookmarkEnd w:id="110"/>
      <w:r w:rsidRPr="00B43607">
        <w:t>:</w:t>
      </w:r>
      <w:r w:rsidRPr="00B43607">
        <w:tab/>
        <w:t>IAA website usage by parental respondents</w:t>
      </w:r>
      <w:bookmarkEnd w:id="111"/>
    </w:p>
    <w:tbl>
      <w:tblPr>
        <w:tblStyle w:val="TableGrid"/>
        <w:tblW w:w="9460" w:type="dxa"/>
        <w:tblInd w:w="108"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Description w:val="Table 5 11: IAA website usage by parental respondents "/>
      </w:tblPr>
      <w:tblGrid>
        <w:gridCol w:w="1553"/>
        <w:gridCol w:w="567"/>
        <w:gridCol w:w="992"/>
        <w:gridCol w:w="567"/>
        <w:gridCol w:w="992"/>
        <w:gridCol w:w="567"/>
        <w:gridCol w:w="992"/>
        <w:gridCol w:w="646"/>
        <w:gridCol w:w="914"/>
        <w:gridCol w:w="663"/>
        <w:gridCol w:w="992"/>
        <w:gridCol w:w="15"/>
      </w:tblGrid>
      <w:tr w:rsidR="006F68D0" w:rsidRPr="00B43607" w14:paraId="27436C8D" w14:textId="77777777" w:rsidTr="008E7495">
        <w:trPr>
          <w:tblHeader/>
        </w:trPr>
        <w:tc>
          <w:tcPr>
            <w:tcW w:w="1553" w:type="dxa"/>
            <w:vMerge w:val="restart"/>
            <w:shd w:val="clear" w:color="auto" w:fill="0079C1" w:themeFill="text2"/>
            <w:vAlign w:val="center"/>
          </w:tcPr>
          <w:p w14:paraId="574101E2" w14:textId="77777777" w:rsidR="00D846D9" w:rsidRPr="00C8327F" w:rsidRDefault="00D846D9" w:rsidP="00D846D9">
            <w:pPr>
              <w:pStyle w:val="TableHeading1"/>
              <w:rPr>
                <w:sz w:val="20"/>
              </w:rPr>
            </w:pPr>
            <w:bookmarkStart w:id="113" w:name="_Hlk489964933"/>
            <w:r w:rsidRPr="00C8327F">
              <w:rPr>
                <w:sz w:val="20"/>
              </w:rPr>
              <w:t>IAA website usage</w:t>
            </w:r>
          </w:p>
        </w:tc>
        <w:tc>
          <w:tcPr>
            <w:tcW w:w="3118" w:type="dxa"/>
            <w:gridSpan w:val="4"/>
            <w:shd w:val="clear" w:color="auto" w:fill="0079C1" w:themeFill="text2"/>
            <w:vAlign w:val="center"/>
          </w:tcPr>
          <w:p w14:paraId="73F23036" w14:textId="77777777" w:rsidR="00D846D9" w:rsidRPr="00C8327F" w:rsidRDefault="00D846D9" w:rsidP="00D846D9">
            <w:pPr>
              <w:pStyle w:val="TableHeading1Centred"/>
              <w:rPr>
                <w:sz w:val="20"/>
              </w:rPr>
            </w:pPr>
            <w:r w:rsidRPr="00C8327F">
              <w:rPr>
                <w:sz w:val="20"/>
              </w:rPr>
              <w:t>Wanting to adopt</w:t>
            </w:r>
          </w:p>
        </w:tc>
        <w:tc>
          <w:tcPr>
            <w:tcW w:w="1559" w:type="dxa"/>
            <w:gridSpan w:val="2"/>
            <w:vMerge w:val="restart"/>
            <w:shd w:val="clear" w:color="auto" w:fill="0079C1" w:themeFill="text2"/>
            <w:vAlign w:val="center"/>
          </w:tcPr>
          <w:p w14:paraId="2D308426" w14:textId="77777777" w:rsidR="00D846D9" w:rsidRPr="00C8327F" w:rsidRDefault="00D846D9" w:rsidP="00D846D9">
            <w:pPr>
              <w:pStyle w:val="TableHeading1Centred"/>
              <w:rPr>
                <w:sz w:val="20"/>
              </w:rPr>
            </w:pPr>
            <w:r w:rsidRPr="00C8327F">
              <w:rPr>
                <w:sz w:val="20"/>
              </w:rPr>
              <w:t>Post adoption</w:t>
            </w:r>
          </w:p>
        </w:tc>
        <w:tc>
          <w:tcPr>
            <w:tcW w:w="1560" w:type="dxa"/>
            <w:gridSpan w:val="2"/>
            <w:vMerge w:val="restart"/>
            <w:shd w:val="clear" w:color="auto" w:fill="0079C1" w:themeFill="text2"/>
            <w:vAlign w:val="center"/>
          </w:tcPr>
          <w:p w14:paraId="394A7B73" w14:textId="77777777" w:rsidR="00D846D9" w:rsidRPr="00C8327F" w:rsidRDefault="00D846D9" w:rsidP="00D846D9">
            <w:pPr>
              <w:pStyle w:val="TableHeading1Centred"/>
              <w:rPr>
                <w:sz w:val="20"/>
              </w:rPr>
            </w:pPr>
            <w:r w:rsidRPr="00C8327F">
              <w:rPr>
                <w:sz w:val="20"/>
              </w:rPr>
              <w:t>Did not continue</w:t>
            </w:r>
          </w:p>
        </w:tc>
        <w:tc>
          <w:tcPr>
            <w:tcW w:w="1670" w:type="dxa"/>
            <w:gridSpan w:val="3"/>
            <w:vMerge w:val="restart"/>
            <w:shd w:val="clear" w:color="auto" w:fill="0079C1" w:themeFill="text2"/>
            <w:vAlign w:val="center"/>
          </w:tcPr>
          <w:p w14:paraId="796EB5DA" w14:textId="77777777" w:rsidR="00D846D9" w:rsidRPr="00C8327F" w:rsidRDefault="00D846D9" w:rsidP="00D846D9">
            <w:pPr>
              <w:pStyle w:val="TableHeading1Centred"/>
              <w:rPr>
                <w:sz w:val="20"/>
              </w:rPr>
            </w:pPr>
            <w:r w:rsidRPr="00C8327F">
              <w:rPr>
                <w:sz w:val="20"/>
              </w:rPr>
              <w:t>Total</w:t>
            </w:r>
          </w:p>
        </w:tc>
      </w:tr>
      <w:tr w:rsidR="006F68D0" w:rsidRPr="00B43607" w14:paraId="7B1FA5C5" w14:textId="77777777" w:rsidTr="008E7495">
        <w:trPr>
          <w:tblHeader/>
        </w:trPr>
        <w:tc>
          <w:tcPr>
            <w:tcW w:w="1553" w:type="dxa"/>
            <w:vMerge/>
            <w:shd w:val="clear" w:color="auto" w:fill="0079C1" w:themeFill="text2"/>
            <w:vAlign w:val="center"/>
          </w:tcPr>
          <w:p w14:paraId="60A8168B" w14:textId="77777777" w:rsidR="00D846D9" w:rsidRPr="00C8327F" w:rsidRDefault="00D846D9" w:rsidP="00D846D9">
            <w:pPr>
              <w:pStyle w:val="TableHeading1Centred"/>
              <w:jc w:val="left"/>
              <w:rPr>
                <w:sz w:val="20"/>
              </w:rPr>
            </w:pPr>
          </w:p>
        </w:tc>
        <w:tc>
          <w:tcPr>
            <w:tcW w:w="1559" w:type="dxa"/>
            <w:gridSpan w:val="2"/>
            <w:shd w:val="clear" w:color="auto" w:fill="0079C1" w:themeFill="text2"/>
            <w:vAlign w:val="center"/>
          </w:tcPr>
          <w:p w14:paraId="2B75AA9D" w14:textId="77777777" w:rsidR="00D846D9" w:rsidRPr="00C8327F" w:rsidRDefault="00D846D9" w:rsidP="00D846D9">
            <w:pPr>
              <w:pStyle w:val="TableHeading1Centred"/>
              <w:rPr>
                <w:sz w:val="20"/>
              </w:rPr>
            </w:pPr>
            <w:r w:rsidRPr="00C8327F">
              <w:rPr>
                <w:sz w:val="20"/>
              </w:rPr>
              <w:t>First time</w:t>
            </w:r>
          </w:p>
        </w:tc>
        <w:tc>
          <w:tcPr>
            <w:tcW w:w="1559" w:type="dxa"/>
            <w:gridSpan w:val="2"/>
            <w:shd w:val="clear" w:color="auto" w:fill="0079C1" w:themeFill="text2"/>
            <w:vAlign w:val="center"/>
          </w:tcPr>
          <w:p w14:paraId="5C1F13E3" w14:textId="77777777" w:rsidR="00D846D9" w:rsidRPr="00C8327F" w:rsidRDefault="00D846D9" w:rsidP="00D846D9">
            <w:pPr>
              <w:pStyle w:val="TableHeading1Centred"/>
              <w:rPr>
                <w:sz w:val="20"/>
              </w:rPr>
            </w:pPr>
            <w:r w:rsidRPr="00C8327F">
              <w:rPr>
                <w:sz w:val="20"/>
              </w:rPr>
              <w:t>Repeat</w:t>
            </w:r>
          </w:p>
        </w:tc>
        <w:tc>
          <w:tcPr>
            <w:tcW w:w="1559" w:type="dxa"/>
            <w:gridSpan w:val="2"/>
            <w:vMerge/>
            <w:shd w:val="clear" w:color="auto" w:fill="0079C1" w:themeFill="text2"/>
            <w:vAlign w:val="center"/>
          </w:tcPr>
          <w:p w14:paraId="2F4AD6EA" w14:textId="77777777" w:rsidR="00D846D9" w:rsidRPr="00C8327F" w:rsidRDefault="00D846D9" w:rsidP="00D846D9">
            <w:pPr>
              <w:pStyle w:val="TableHeading1Centred"/>
              <w:rPr>
                <w:sz w:val="20"/>
              </w:rPr>
            </w:pPr>
          </w:p>
        </w:tc>
        <w:tc>
          <w:tcPr>
            <w:tcW w:w="1560" w:type="dxa"/>
            <w:gridSpan w:val="2"/>
            <w:vMerge/>
            <w:shd w:val="clear" w:color="auto" w:fill="0079C1" w:themeFill="text2"/>
            <w:vAlign w:val="center"/>
          </w:tcPr>
          <w:p w14:paraId="6523949D" w14:textId="77777777" w:rsidR="00D846D9" w:rsidRPr="00C8327F" w:rsidRDefault="00D846D9" w:rsidP="00D846D9">
            <w:pPr>
              <w:pStyle w:val="TableHeading1Centred"/>
              <w:rPr>
                <w:sz w:val="20"/>
              </w:rPr>
            </w:pPr>
          </w:p>
        </w:tc>
        <w:tc>
          <w:tcPr>
            <w:tcW w:w="1670" w:type="dxa"/>
            <w:gridSpan w:val="3"/>
            <w:vMerge/>
            <w:shd w:val="clear" w:color="auto" w:fill="0079C1" w:themeFill="text2"/>
            <w:vAlign w:val="center"/>
          </w:tcPr>
          <w:p w14:paraId="2109416D" w14:textId="77777777" w:rsidR="00D846D9" w:rsidRPr="00C8327F" w:rsidRDefault="00D846D9" w:rsidP="00D846D9">
            <w:pPr>
              <w:pStyle w:val="TableHeading1Centred"/>
              <w:rPr>
                <w:sz w:val="20"/>
              </w:rPr>
            </w:pPr>
          </w:p>
        </w:tc>
      </w:tr>
      <w:tr w:rsidR="006F68D0" w:rsidRPr="00B43607" w14:paraId="74826344" w14:textId="77777777" w:rsidTr="008E7495">
        <w:trPr>
          <w:gridAfter w:val="1"/>
          <w:wAfter w:w="15" w:type="dxa"/>
          <w:tblHeader/>
        </w:trPr>
        <w:tc>
          <w:tcPr>
            <w:tcW w:w="1553" w:type="dxa"/>
            <w:vMerge/>
            <w:vAlign w:val="center"/>
          </w:tcPr>
          <w:p w14:paraId="08277918" w14:textId="77777777" w:rsidR="00B43607" w:rsidRPr="00C8327F" w:rsidRDefault="00B43607" w:rsidP="00D846D9">
            <w:pPr>
              <w:pStyle w:val="TableHeading1Centred"/>
              <w:jc w:val="left"/>
              <w:rPr>
                <w:rFonts w:cs="Arial"/>
                <w:color w:val="333333"/>
                <w:sz w:val="20"/>
              </w:rPr>
            </w:pPr>
          </w:p>
        </w:tc>
        <w:tc>
          <w:tcPr>
            <w:tcW w:w="567" w:type="dxa"/>
            <w:shd w:val="clear" w:color="auto" w:fill="0079C1" w:themeFill="text2"/>
            <w:vAlign w:val="center"/>
          </w:tcPr>
          <w:p w14:paraId="6D5D5160" w14:textId="77777777" w:rsidR="00B43607" w:rsidRPr="00C8327F" w:rsidRDefault="00B43607" w:rsidP="00D846D9">
            <w:pPr>
              <w:pStyle w:val="TableHeading1Centred"/>
              <w:rPr>
                <w:sz w:val="20"/>
              </w:rPr>
            </w:pPr>
            <w:r w:rsidRPr="00C8327F">
              <w:rPr>
                <w:sz w:val="20"/>
              </w:rPr>
              <w:t>n</w:t>
            </w:r>
          </w:p>
        </w:tc>
        <w:tc>
          <w:tcPr>
            <w:tcW w:w="992" w:type="dxa"/>
            <w:shd w:val="clear" w:color="auto" w:fill="0079C1" w:themeFill="text2"/>
            <w:vAlign w:val="center"/>
          </w:tcPr>
          <w:p w14:paraId="3007D0E7" w14:textId="77777777" w:rsidR="00B43607" w:rsidRPr="00C8327F" w:rsidRDefault="00B43607" w:rsidP="00D846D9">
            <w:pPr>
              <w:pStyle w:val="TableHeading1Centred"/>
              <w:rPr>
                <w:sz w:val="20"/>
              </w:rPr>
            </w:pPr>
            <w:r w:rsidRPr="00C8327F">
              <w:rPr>
                <w:sz w:val="20"/>
              </w:rPr>
              <w:t>%</w:t>
            </w:r>
          </w:p>
        </w:tc>
        <w:tc>
          <w:tcPr>
            <w:tcW w:w="567" w:type="dxa"/>
            <w:shd w:val="clear" w:color="auto" w:fill="0079C1" w:themeFill="text2"/>
            <w:vAlign w:val="center"/>
          </w:tcPr>
          <w:p w14:paraId="36E5FFAA" w14:textId="77777777" w:rsidR="00B43607" w:rsidRPr="00C8327F" w:rsidRDefault="00B43607" w:rsidP="00D846D9">
            <w:pPr>
              <w:pStyle w:val="TableHeading1Centred"/>
              <w:rPr>
                <w:sz w:val="20"/>
              </w:rPr>
            </w:pPr>
            <w:r w:rsidRPr="00C8327F">
              <w:rPr>
                <w:sz w:val="20"/>
              </w:rPr>
              <w:t>n</w:t>
            </w:r>
          </w:p>
        </w:tc>
        <w:tc>
          <w:tcPr>
            <w:tcW w:w="992" w:type="dxa"/>
            <w:shd w:val="clear" w:color="auto" w:fill="0079C1" w:themeFill="text2"/>
            <w:vAlign w:val="center"/>
          </w:tcPr>
          <w:p w14:paraId="308DFD1E" w14:textId="77777777" w:rsidR="00B43607" w:rsidRPr="00C8327F" w:rsidRDefault="00B43607" w:rsidP="00D846D9">
            <w:pPr>
              <w:pStyle w:val="TableHeading1Centred"/>
              <w:rPr>
                <w:sz w:val="20"/>
              </w:rPr>
            </w:pPr>
            <w:r w:rsidRPr="00C8327F">
              <w:rPr>
                <w:sz w:val="20"/>
              </w:rPr>
              <w:t>%</w:t>
            </w:r>
          </w:p>
        </w:tc>
        <w:tc>
          <w:tcPr>
            <w:tcW w:w="567" w:type="dxa"/>
            <w:shd w:val="clear" w:color="auto" w:fill="0079C1" w:themeFill="text2"/>
            <w:vAlign w:val="center"/>
          </w:tcPr>
          <w:p w14:paraId="52343200" w14:textId="77777777" w:rsidR="00B43607" w:rsidRPr="00C8327F" w:rsidRDefault="00B43607" w:rsidP="00D846D9">
            <w:pPr>
              <w:pStyle w:val="TableHeading1Centred"/>
              <w:rPr>
                <w:sz w:val="20"/>
              </w:rPr>
            </w:pPr>
            <w:r w:rsidRPr="00C8327F">
              <w:rPr>
                <w:sz w:val="20"/>
              </w:rPr>
              <w:t>n</w:t>
            </w:r>
          </w:p>
        </w:tc>
        <w:tc>
          <w:tcPr>
            <w:tcW w:w="992" w:type="dxa"/>
            <w:shd w:val="clear" w:color="auto" w:fill="0079C1" w:themeFill="text2"/>
            <w:vAlign w:val="center"/>
          </w:tcPr>
          <w:p w14:paraId="376F1C7E" w14:textId="77777777" w:rsidR="00B43607" w:rsidRPr="00C8327F" w:rsidRDefault="00B43607" w:rsidP="00D846D9">
            <w:pPr>
              <w:pStyle w:val="TableHeading1Centred"/>
              <w:rPr>
                <w:sz w:val="20"/>
              </w:rPr>
            </w:pPr>
            <w:r w:rsidRPr="00C8327F">
              <w:rPr>
                <w:sz w:val="20"/>
              </w:rPr>
              <w:t>%</w:t>
            </w:r>
          </w:p>
        </w:tc>
        <w:tc>
          <w:tcPr>
            <w:tcW w:w="646" w:type="dxa"/>
            <w:shd w:val="clear" w:color="auto" w:fill="0079C1" w:themeFill="text2"/>
            <w:vAlign w:val="center"/>
          </w:tcPr>
          <w:p w14:paraId="3CA4D63B" w14:textId="77777777" w:rsidR="00B43607" w:rsidRPr="00C8327F" w:rsidRDefault="00B43607" w:rsidP="00D846D9">
            <w:pPr>
              <w:pStyle w:val="TableHeading1Centred"/>
              <w:rPr>
                <w:sz w:val="20"/>
              </w:rPr>
            </w:pPr>
            <w:r w:rsidRPr="00C8327F">
              <w:rPr>
                <w:sz w:val="20"/>
              </w:rPr>
              <w:t>n</w:t>
            </w:r>
          </w:p>
        </w:tc>
        <w:tc>
          <w:tcPr>
            <w:tcW w:w="914" w:type="dxa"/>
            <w:shd w:val="clear" w:color="auto" w:fill="0079C1" w:themeFill="text2"/>
            <w:vAlign w:val="center"/>
          </w:tcPr>
          <w:p w14:paraId="1ABB61B7" w14:textId="77777777" w:rsidR="00B43607" w:rsidRPr="00C8327F" w:rsidRDefault="00B43607" w:rsidP="00D846D9">
            <w:pPr>
              <w:pStyle w:val="TableHeading1Centred"/>
              <w:rPr>
                <w:sz w:val="20"/>
              </w:rPr>
            </w:pPr>
            <w:r w:rsidRPr="00C8327F">
              <w:rPr>
                <w:sz w:val="20"/>
              </w:rPr>
              <w:t>%</w:t>
            </w:r>
          </w:p>
        </w:tc>
        <w:tc>
          <w:tcPr>
            <w:tcW w:w="663" w:type="dxa"/>
            <w:shd w:val="clear" w:color="auto" w:fill="0079C1" w:themeFill="text2"/>
            <w:vAlign w:val="center"/>
          </w:tcPr>
          <w:p w14:paraId="21A05983" w14:textId="370D1661" w:rsidR="00B43607" w:rsidRPr="00C8327F" w:rsidRDefault="00D846D9" w:rsidP="00D846D9">
            <w:pPr>
              <w:pStyle w:val="TableHeading1Centred"/>
              <w:rPr>
                <w:sz w:val="20"/>
              </w:rPr>
            </w:pPr>
            <w:r w:rsidRPr="00C8327F">
              <w:rPr>
                <w:sz w:val="20"/>
              </w:rPr>
              <w:t>n</w:t>
            </w:r>
          </w:p>
        </w:tc>
        <w:tc>
          <w:tcPr>
            <w:tcW w:w="992" w:type="dxa"/>
            <w:shd w:val="clear" w:color="auto" w:fill="0079C1" w:themeFill="text2"/>
            <w:vAlign w:val="center"/>
          </w:tcPr>
          <w:p w14:paraId="1F96BAA1" w14:textId="77777777" w:rsidR="00B43607" w:rsidRPr="00C8327F" w:rsidRDefault="00B43607" w:rsidP="00D846D9">
            <w:pPr>
              <w:pStyle w:val="TableHeading1Centred"/>
              <w:rPr>
                <w:sz w:val="20"/>
              </w:rPr>
            </w:pPr>
            <w:r w:rsidRPr="00C8327F">
              <w:rPr>
                <w:sz w:val="20"/>
              </w:rPr>
              <w:t>%</w:t>
            </w:r>
          </w:p>
        </w:tc>
      </w:tr>
      <w:tr w:rsidR="005749F4" w:rsidRPr="00B43607" w14:paraId="0CD72237" w14:textId="77777777" w:rsidTr="00C8327F">
        <w:trPr>
          <w:gridAfter w:val="1"/>
          <w:wAfter w:w="15" w:type="dxa"/>
          <w:trHeight w:val="249"/>
        </w:trPr>
        <w:tc>
          <w:tcPr>
            <w:tcW w:w="1553" w:type="dxa"/>
            <w:tcBorders>
              <w:right w:val="single" w:sz="4" w:space="0" w:color="0079C1"/>
            </w:tcBorders>
            <w:shd w:val="clear" w:color="auto" w:fill="auto"/>
            <w:vAlign w:val="center"/>
          </w:tcPr>
          <w:p w14:paraId="49270B0F" w14:textId="77777777" w:rsidR="005749F4" w:rsidRPr="00C8327F" w:rsidRDefault="005749F4" w:rsidP="005749F4">
            <w:pPr>
              <w:pStyle w:val="TableText"/>
              <w:rPr>
                <w:sz w:val="20"/>
                <w:szCs w:val="20"/>
              </w:rPr>
            </w:pPr>
            <w:r w:rsidRPr="00C8327F">
              <w:rPr>
                <w:sz w:val="20"/>
                <w:szCs w:val="20"/>
              </w:rPr>
              <w:t>Yes</w:t>
            </w:r>
          </w:p>
        </w:tc>
        <w:tc>
          <w:tcPr>
            <w:tcW w:w="567" w:type="dxa"/>
            <w:tcBorders>
              <w:left w:val="single" w:sz="4" w:space="0" w:color="0079C1"/>
            </w:tcBorders>
            <w:shd w:val="clear" w:color="auto" w:fill="auto"/>
          </w:tcPr>
          <w:p w14:paraId="79E012E4" w14:textId="579F08F6" w:rsidR="005749F4" w:rsidRPr="00C8327F" w:rsidRDefault="005749F4" w:rsidP="005749F4">
            <w:pPr>
              <w:pStyle w:val="TableTextCentred"/>
              <w:rPr>
                <w:sz w:val="20"/>
                <w:szCs w:val="20"/>
              </w:rPr>
            </w:pPr>
            <w:r w:rsidRPr="00C8327F">
              <w:rPr>
                <w:sz w:val="20"/>
                <w:szCs w:val="20"/>
              </w:rPr>
              <w:t>81</w:t>
            </w:r>
          </w:p>
        </w:tc>
        <w:tc>
          <w:tcPr>
            <w:tcW w:w="992" w:type="dxa"/>
            <w:tcBorders>
              <w:right w:val="single" w:sz="4" w:space="0" w:color="0079C1"/>
            </w:tcBorders>
            <w:shd w:val="clear" w:color="auto" w:fill="auto"/>
          </w:tcPr>
          <w:p w14:paraId="2441A9DE" w14:textId="09756D0B" w:rsidR="005749F4" w:rsidRPr="00C8327F" w:rsidRDefault="005749F4" w:rsidP="005749F4">
            <w:pPr>
              <w:pStyle w:val="TableTextCentred"/>
              <w:rPr>
                <w:sz w:val="20"/>
                <w:szCs w:val="20"/>
              </w:rPr>
            </w:pPr>
            <w:r w:rsidRPr="00C8327F">
              <w:rPr>
                <w:sz w:val="20"/>
                <w:szCs w:val="20"/>
              </w:rPr>
              <w:t>75.0%</w:t>
            </w:r>
          </w:p>
        </w:tc>
        <w:tc>
          <w:tcPr>
            <w:tcW w:w="567" w:type="dxa"/>
            <w:tcBorders>
              <w:left w:val="single" w:sz="4" w:space="0" w:color="0079C1"/>
            </w:tcBorders>
            <w:shd w:val="clear" w:color="auto" w:fill="auto"/>
          </w:tcPr>
          <w:p w14:paraId="061E7900" w14:textId="019E847D" w:rsidR="005749F4" w:rsidRPr="00C8327F" w:rsidRDefault="005749F4" w:rsidP="005749F4">
            <w:pPr>
              <w:pStyle w:val="TableTextCentred"/>
              <w:rPr>
                <w:sz w:val="20"/>
                <w:szCs w:val="20"/>
              </w:rPr>
            </w:pPr>
            <w:r w:rsidRPr="00C8327F">
              <w:rPr>
                <w:sz w:val="20"/>
                <w:szCs w:val="20"/>
              </w:rPr>
              <w:t>8</w:t>
            </w:r>
          </w:p>
        </w:tc>
        <w:tc>
          <w:tcPr>
            <w:tcW w:w="992" w:type="dxa"/>
            <w:tcBorders>
              <w:right w:val="single" w:sz="4" w:space="0" w:color="0079C1"/>
            </w:tcBorders>
            <w:shd w:val="clear" w:color="auto" w:fill="auto"/>
          </w:tcPr>
          <w:p w14:paraId="5A14B630" w14:textId="6705C516" w:rsidR="005749F4" w:rsidRPr="00C8327F" w:rsidRDefault="005749F4" w:rsidP="005749F4">
            <w:pPr>
              <w:pStyle w:val="TableTextCentred"/>
              <w:rPr>
                <w:sz w:val="20"/>
                <w:szCs w:val="20"/>
              </w:rPr>
            </w:pPr>
            <w:r w:rsidRPr="00C8327F">
              <w:rPr>
                <w:sz w:val="20"/>
                <w:szCs w:val="20"/>
              </w:rPr>
              <w:t>42.1%</w:t>
            </w:r>
          </w:p>
        </w:tc>
        <w:tc>
          <w:tcPr>
            <w:tcW w:w="567" w:type="dxa"/>
            <w:tcBorders>
              <w:left w:val="single" w:sz="4" w:space="0" w:color="0079C1"/>
            </w:tcBorders>
            <w:shd w:val="clear" w:color="auto" w:fill="auto"/>
          </w:tcPr>
          <w:p w14:paraId="679E2A53" w14:textId="7A778D65" w:rsidR="005749F4" w:rsidRPr="00C8327F" w:rsidRDefault="005749F4" w:rsidP="005749F4">
            <w:pPr>
              <w:pStyle w:val="TableTextCentred"/>
              <w:rPr>
                <w:sz w:val="20"/>
                <w:szCs w:val="20"/>
              </w:rPr>
            </w:pPr>
            <w:r w:rsidRPr="00C8327F">
              <w:rPr>
                <w:sz w:val="20"/>
                <w:szCs w:val="20"/>
              </w:rPr>
              <w:t>27</w:t>
            </w:r>
          </w:p>
        </w:tc>
        <w:tc>
          <w:tcPr>
            <w:tcW w:w="992" w:type="dxa"/>
            <w:tcBorders>
              <w:right w:val="single" w:sz="4" w:space="0" w:color="0079C1"/>
            </w:tcBorders>
            <w:shd w:val="clear" w:color="auto" w:fill="auto"/>
          </w:tcPr>
          <w:p w14:paraId="39CA98A8" w14:textId="3FCECD7D" w:rsidR="005749F4" w:rsidRPr="00C8327F" w:rsidRDefault="005749F4" w:rsidP="005749F4">
            <w:pPr>
              <w:pStyle w:val="TableTextCentred"/>
              <w:rPr>
                <w:sz w:val="20"/>
                <w:szCs w:val="20"/>
              </w:rPr>
            </w:pPr>
            <w:r w:rsidRPr="00C8327F">
              <w:rPr>
                <w:sz w:val="20"/>
                <w:szCs w:val="20"/>
              </w:rPr>
              <w:t>37.0%</w:t>
            </w:r>
          </w:p>
        </w:tc>
        <w:tc>
          <w:tcPr>
            <w:tcW w:w="646" w:type="dxa"/>
            <w:tcBorders>
              <w:left w:val="single" w:sz="4" w:space="0" w:color="0079C1"/>
            </w:tcBorders>
            <w:shd w:val="clear" w:color="auto" w:fill="auto"/>
          </w:tcPr>
          <w:p w14:paraId="2C4F2B17" w14:textId="5D0CB9F3" w:rsidR="005749F4" w:rsidRPr="00C8327F" w:rsidRDefault="005749F4" w:rsidP="005749F4">
            <w:pPr>
              <w:pStyle w:val="TableTextCentred"/>
              <w:rPr>
                <w:sz w:val="20"/>
                <w:szCs w:val="20"/>
              </w:rPr>
            </w:pPr>
            <w:r w:rsidRPr="00C8327F">
              <w:rPr>
                <w:sz w:val="20"/>
                <w:szCs w:val="20"/>
              </w:rPr>
              <w:t>15</w:t>
            </w:r>
          </w:p>
        </w:tc>
        <w:tc>
          <w:tcPr>
            <w:tcW w:w="914" w:type="dxa"/>
            <w:tcBorders>
              <w:right w:val="single" w:sz="4" w:space="0" w:color="0079C1"/>
            </w:tcBorders>
            <w:shd w:val="clear" w:color="auto" w:fill="auto"/>
          </w:tcPr>
          <w:p w14:paraId="7434E4D3" w14:textId="492AE858" w:rsidR="005749F4" w:rsidRPr="00C8327F" w:rsidRDefault="005749F4" w:rsidP="005749F4">
            <w:pPr>
              <w:pStyle w:val="TableTextCentred"/>
              <w:rPr>
                <w:sz w:val="20"/>
                <w:szCs w:val="20"/>
              </w:rPr>
            </w:pPr>
            <w:r w:rsidRPr="00C8327F">
              <w:rPr>
                <w:sz w:val="20"/>
                <w:szCs w:val="20"/>
              </w:rPr>
              <w:t>75.0%</w:t>
            </w:r>
          </w:p>
        </w:tc>
        <w:tc>
          <w:tcPr>
            <w:tcW w:w="663" w:type="dxa"/>
            <w:tcBorders>
              <w:left w:val="single" w:sz="4" w:space="0" w:color="0079C1"/>
            </w:tcBorders>
            <w:shd w:val="clear" w:color="auto" w:fill="auto"/>
          </w:tcPr>
          <w:p w14:paraId="2C3B59D5" w14:textId="0745D704" w:rsidR="005749F4" w:rsidRPr="00C8327F" w:rsidRDefault="005749F4" w:rsidP="005749F4">
            <w:pPr>
              <w:pStyle w:val="TableTextCentred"/>
              <w:rPr>
                <w:b/>
                <w:bCs/>
                <w:sz w:val="20"/>
                <w:szCs w:val="20"/>
              </w:rPr>
            </w:pPr>
            <w:r w:rsidRPr="00C8327F">
              <w:rPr>
                <w:b/>
                <w:sz w:val="20"/>
                <w:szCs w:val="20"/>
              </w:rPr>
              <w:t>131</w:t>
            </w:r>
          </w:p>
        </w:tc>
        <w:tc>
          <w:tcPr>
            <w:tcW w:w="992" w:type="dxa"/>
            <w:shd w:val="clear" w:color="auto" w:fill="auto"/>
          </w:tcPr>
          <w:p w14:paraId="7BF1F87F" w14:textId="16372EA3" w:rsidR="005749F4" w:rsidRPr="00C8327F" w:rsidRDefault="005749F4" w:rsidP="005749F4">
            <w:pPr>
              <w:pStyle w:val="TableTextCentred"/>
              <w:rPr>
                <w:b/>
                <w:bCs/>
                <w:sz w:val="20"/>
                <w:szCs w:val="20"/>
              </w:rPr>
            </w:pPr>
            <w:r w:rsidRPr="00C8327F">
              <w:rPr>
                <w:b/>
                <w:sz w:val="20"/>
                <w:szCs w:val="20"/>
              </w:rPr>
              <w:t>59.5%</w:t>
            </w:r>
          </w:p>
        </w:tc>
      </w:tr>
      <w:tr w:rsidR="005749F4" w:rsidRPr="00B43607" w14:paraId="6D91778F" w14:textId="77777777" w:rsidTr="00C8327F">
        <w:trPr>
          <w:gridAfter w:val="1"/>
          <w:wAfter w:w="15" w:type="dxa"/>
        </w:trPr>
        <w:tc>
          <w:tcPr>
            <w:tcW w:w="1553" w:type="dxa"/>
            <w:tcBorders>
              <w:right w:val="single" w:sz="4" w:space="0" w:color="0079C1"/>
            </w:tcBorders>
            <w:shd w:val="clear" w:color="auto" w:fill="auto"/>
            <w:vAlign w:val="center"/>
          </w:tcPr>
          <w:p w14:paraId="3448580C" w14:textId="77777777" w:rsidR="005749F4" w:rsidRPr="00C8327F" w:rsidRDefault="005749F4" w:rsidP="005749F4">
            <w:pPr>
              <w:pStyle w:val="TableText"/>
              <w:rPr>
                <w:sz w:val="20"/>
                <w:szCs w:val="20"/>
              </w:rPr>
            </w:pPr>
            <w:r w:rsidRPr="00C8327F">
              <w:rPr>
                <w:sz w:val="20"/>
                <w:szCs w:val="20"/>
              </w:rPr>
              <w:t>No</w:t>
            </w:r>
          </w:p>
        </w:tc>
        <w:tc>
          <w:tcPr>
            <w:tcW w:w="567" w:type="dxa"/>
            <w:tcBorders>
              <w:left w:val="single" w:sz="4" w:space="0" w:color="0079C1"/>
            </w:tcBorders>
            <w:shd w:val="clear" w:color="auto" w:fill="auto"/>
          </w:tcPr>
          <w:p w14:paraId="56668373" w14:textId="7BEF077C" w:rsidR="005749F4" w:rsidRPr="00C8327F" w:rsidRDefault="005749F4" w:rsidP="005749F4">
            <w:pPr>
              <w:pStyle w:val="TableTextCentred"/>
              <w:rPr>
                <w:sz w:val="20"/>
                <w:szCs w:val="20"/>
              </w:rPr>
            </w:pPr>
            <w:r w:rsidRPr="00C8327F">
              <w:rPr>
                <w:sz w:val="20"/>
                <w:szCs w:val="20"/>
              </w:rPr>
              <w:t>24</w:t>
            </w:r>
          </w:p>
        </w:tc>
        <w:tc>
          <w:tcPr>
            <w:tcW w:w="992" w:type="dxa"/>
            <w:tcBorders>
              <w:right w:val="single" w:sz="4" w:space="0" w:color="0079C1"/>
            </w:tcBorders>
            <w:shd w:val="clear" w:color="auto" w:fill="auto"/>
          </w:tcPr>
          <w:p w14:paraId="35CDAA5F" w14:textId="2545CBD8" w:rsidR="005749F4" w:rsidRPr="00C8327F" w:rsidRDefault="005749F4" w:rsidP="005749F4">
            <w:pPr>
              <w:pStyle w:val="TableTextCentred"/>
              <w:rPr>
                <w:sz w:val="20"/>
                <w:szCs w:val="20"/>
              </w:rPr>
            </w:pPr>
            <w:r w:rsidRPr="00C8327F">
              <w:rPr>
                <w:sz w:val="20"/>
                <w:szCs w:val="20"/>
              </w:rPr>
              <w:t>22.2%</w:t>
            </w:r>
          </w:p>
        </w:tc>
        <w:tc>
          <w:tcPr>
            <w:tcW w:w="567" w:type="dxa"/>
            <w:tcBorders>
              <w:left w:val="single" w:sz="4" w:space="0" w:color="0079C1"/>
            </w:tcBorders>
            <w:shd w:val="clear" w:color="auto" w:fill="auto"/>
          </w:tcPr>
          <w:p w14:paraId="2E0DBEF4" w14:textId="6DD26247" w:rsidR="005749F4" w:rsidRPr="00C8327F" w:rsidRDefault="005749F4" w:rsidP="005749F4">
            <w:pPr>
              <w:pStyle w:val="TableTextCentred"/>
              <w:rPr>
                <w:sz w:val="20"/>
                <w:szCs w:val="20"/>
              </w:rPr>
            </w:pPr>
            <w:r w:rsidRPr="00C8327F">
              <w:rPr>
                <w:sz w:val="20"/>
                <w:szCs w:val="20"/>
              </w:rPr>
              <w:t>11</w:t>
            </w:r>
          </w:p>
        </w:tc>
        <w:tc>
          <w:tcPr>
            <w:tcW w:w="992" w:type="dxa"/>
            <w:tcBorders>
              <w:right w:val="single" w:sz="4" w:space="0" w:color="0079C1"/>
            </w:tcBorders>
            <w:shd w:val="clear" w:color="auto" w:fill="auto"/>
          </w:tcPr>
          <w:p w14:paraId="60635235" w14:textId="1D92F339" w:rsidR="005749F4" w:rsidRPr="00C8327F" w:rsidRDefault="005749F4" w:rsidP="005749F4">
            <w:pPr>
              <w:pStyle w:val="TableTextCentred"/>
              <w:rPr>
                <w:sz w:val="20"/>
                <w:szCs w:val="20"/>
              </w:rPr>
            </w:pPr>
            <w:r w:rsidRPr="00C8327F">
              <w:rPr>
                <w:sz w:val="20"/>
                <w:szCs w:val="20"/>
              </w:rPr>
              <w:t>57.9%</w:t>
            </w:r>
          </w:p>
        </w:tc>
        <w:tc>
          <w:tcPr>
            <w:tcW w:w="567" w:type="dxa"/>
            <w:tcBorders>
              <w:left w:val="single" w:sz="4" w:space="0" w:color="0079C1"/>
            </w:tcBorders>
            <w:shd w:val="clear" w:color="auto" w:fill="auto"/>
          </w:tcPr>
          <w:p w14:paraId="5D55A49A" w14:textId="1EE929AB" w:rsidR="005749F4" w:rsidRPr="00C8327F" w:rsidRDefault="005749F4" w:rsidP="005749F4">
            <w:pPr>
              <w:pStyle w:val="TableTextCentred"/>
              <w:rPr>
                <w:sz w:val="20"/>
                <w:szCs w:val="20"/>
              </w:rPr>
            </w:pPr>
            <w:r w:rsidRPr="00C8327F">
              <w:rPr>
                <w:sz w:val="20"/>
                <w:szCs w:val="20"/>
              </w:rPr>
              <w:t>42</w:t>
            </w:r>
          </w:p>
        </w:tc>
        <w:tc>
          <w:tcPr>
            <w:tcW w:w="992" w:type="dxa"/>
            <w:tcBorders>
              <w:right w:val="single" w:sz="4" w:space="0" w:color="0079C1"/>
            </w:tcBorders>
            <w:shd w:val="clear" w:color="auto" w:fill="auto"/>
          </w:tcPr>
          <w:p w14:paraId="3998909F" w14:textId="27D1F617" w:rsidR="005749F4" w:rsidRPr="00C8327F" w:rsidRDefault="005749F4" w:rsidP="005749F4">
            <w:pPr>
              <w:pStyle w:val="TableTextCentred"/>
              <w:rPr>
                <w:sz w:val="20"/>
                <w:szCs w:val="20"/>
              </w:rPr>
            </w:pPr>
            <w:r w:rsidRPr="00C8327F">
              <w:rPr>
                <w:sz w:val="20"/>
                <w:szCs w:val="20"/>
              </w:rPr>
              <w:t>57.5%</w:t>
            </w:r>
          </w:p>
        </w:tc>
        <w:tc>
          <w:tcPr>
            <w:tcW w:w="646" w:type="dxa"/>
            <w:tcBorders>
              <w:left w:val="single" w:sz="4" w:space="0" w:color="0079C1"/>
            </w:tcBorders>
            <w:shd w:val="clear" w:color="auto" w:fill="auto"/>
          </w:tcPr>
          <w:p w14:paraId="2CF0F416" w14:textId="2BE29049" w:rsidR="005749F4" w:rsidRPr="00C8327F" w:rsidRDefault="005749F4" w:rsidP="005749F4">
            <w:pPr>
              <w:pStyle w:val="TableTextCentred"/>
              <w:rPr>
                <w:sz w:val="20"/>
                <w:szCs w:val="20"/>
              </w:rPr>
            </w:pPr>
            <w:r w:rsidRPr="00C8327F">
              <w:rPr>
                <w:sz w:val="20"/>
                <w:szCs w:val="20"/>
              </w:rPr>
              <w:t>4</w:t>
            </w:r>
          </w:p>
        </w:tc>
        <w:tc>
          <w:tcPr>
            <w:tcW w:w="914" w:type="dxa"/>
            <w:tcBorders>
              <w:right w:val="single" w:sz="4" w:space="0" w:color="0079C1"/>
            </w:tcBorders>
            <w:shd w:val="clear" w:color="auto" w:fill="auto"/>
          </w:tcPr>
          <w:p w14:paraId="32D0BF0B" w14:textId="22336103" w:rsidR="005749F4" w:rsidRPr="00C8327F" w:rsidRDefault="005749F4" w:rsidP="005749F4">
            <w:pPr>
              <w:pStyle w:val="TableTextCentred"/>
              <w:rPr>
                <w:sz w:val="20"/>
                <w:szCs w:val="20"/>
              </w:rPr>
            </w:pPr>
            <w:r w:rsidRPr="00C8327F">
              <w:rPr>
                <w:sz w:val="20"/>
                <w:szCs w:val="20"/>
              </w:rPr>
              <w:t>20.0%</w:t>
            </w:r>
          </w:p>
        </w:tc>
        <w:tc>
          <w:tcPr>
            <w:tcW w:w="663" w:type="dxa"/>
            <w:tcBorders>
              <w:left w:val="single" w:sz="4" w:space="0" w:color="0079C1"/>
            </w:tcBorders>
            <w:shd w:val="clear" w:color="auto" w:fill="auto"/>
          </w:tcPr>
          <w:p w14:paraId="0D3DD4AD" w14:textId="0D8F602D" w:rsidR="005749F4" w:rsidRPr="00C8327F" w:rsidRDefault="005749F4" w:rsidP="005749F4">
            <w:pPr>
              <w:pStyle w:val="TableTextCentred"/>
              <w:rPr>
                <w:b/>
                <w:bCs/>
                <w:sz w:val="20"/>
                <w:szCs w:val="20"/>
              </w:rPr>
            </w:pPr>
            <w:r w:rsidRPr="00C8327F">
              <w:rPr>
                <w:b/>
                <w:sz w:val="20"/>
                <w:szCs w:val="20"/>
              </w:rPr>
              <w:t>81</w:t>
            </w:r>
          </w:p>
        </w:tc>
        <w:tc>
          <w:tcPr>
            <w:tcW w:w="992" w:type="dxa"/>
            <w:shd w:val="clear" w:color="auto" w:fill="auto"/>
          </w:tcPr>
          <w:p w14:paraId="1814B5DC" w14:textId="7221AC95" w:rsidR="005749F4" w:rsidRPr="00C8327F" w:rsidRDefault="005749F4" w:rsidP="005749F4">
            <w:pPr>
              <w:pStyle w:val="TableTextCentred"/>
              <w:rPr>
                <w:b/>
                <w:bCs/>
                <w:sz w:val="20"/>
                <w:szCs w:val="20"/>
              </w:rPr>
            </w:pPr>
            <w:r w:rsidRPr="00C8327F">
              <w:rPr>
                <w:b/>
                <w:sz w:val="20"/>
                <w:szCs w:val="20"/>
              </w:rPr>
              <w:t>36.8%</w:t>
            </w:r>
          </w:p>
        </w:tc>
      </w:tr>
      <w:tr w:rsidR="005749F4" w:rsidRPr="00B43607" w14:paraId="515246F3" w14:textId="77777777" w:rsidTr="00C8327F">
        <w:trPr>
          <w:gridAfter w:val="1"/>
          <w:wAfter w:w="15" w:type="dxa"/>
        </w:trPr>
        <w:tc>
          <w:tcPr>
            <w:tcW w:w="1553" w:type="dxa"/>
            <w:tcBorders>
              <w:bottom w:val="single" w:sz="4" w:space="0" w:color="0079C1" w:themeColor="text2"/>
              <w:right w:val="single" w:sz="4" w:space="0" w:color="0079C1"/>
            </w:tcBorders>
            <w:shd w:val="clear" w:color="auto" w:fill="auto"/>
            <w:vAlign w:val="center"/>
          </w:tcPr>
          <w:p w14:paraId="00A4A376" w14:textId="77777777" w:rsidR="005749F4" w:rsidRPr="00C8327F" w:rsidRDefault="005749F4" w:rsidP="005749F4">
            <w:pPr>
              <w:pStyle w:val="TableText"/>
              <w:rPr>
                <w:sz w:val="20"/>
                <w:szCs w:val="20"/>
              </w:rPr>
            </w:pPr>
            <w:r w:rsidRPr="00C8327F">
              <w:rPr>
                <w:sz w:val="20"/>
                <w:szCs w:val="20"/>
              </w:rPr>
              <w:t>Not stated</w:t>
            </w:r>
          </w:p>
        </w:tc>
        <w:tc>
          <w:tcPr>
            <w:tcW w:w="567" w:type="dxa"/>
            <w:tcBorders>
              <w:left w:val="single" w:sz="4" w:space="0" w:color="0079C1"/>
              <w:bottom w:val="single" w:sz="4" w:space="0" w:color="0079C1" w:themeColor="text2"/>
            </w:tcBorders>
            <w:shd w:val="clear" w:color="auto" w:fill="auto"/>
          </w:tcPr>
          <w:p w14:paraId="471F98BE" w14:textId="7FE4B4DE" w:rsidR="005749F4" w:rsidRPr="00C8327F" w:rsidRDefault="005749F4" w:rsidP="005749F4">
            <w:pPr>
              <w:pStyle w:val="TableTextCentred"/>
              <w:rPr>
                <w:sz w:val="20"/>
                <w:szCs w:val="20"/>
              </w:rPr>
            </w:pPr>
            <w:r w:rsidRPr="00C8327F">
              <w:rPr>
                <w:sz w:val="20"/>
                <w:szCs w:val="20"/>
              </w:rPr>
              <w:t>3</w:t>
            </w:r>
          </w:p>
        </w:tc>
        <w:tc>
          <w:tcPr>
            <w:tcW w:w="992" w:type="dxa"/>
            <w:tcBorders>
              <w:bottom w:val="single" w:sz="4" w:space="0" w:color="0079C1" w:themeColor="text2"/>
              <w:right w:val="single" w:sz="4" w:space="0" w:color="0079C1"/>
            </w:tcBorders>
            <w:shd w:val="clear" w:color="auto" w:fill="auto"/>
          </w:tcPr>
          <w:p w14:paraId="223397AE" w14:textId="66813C6C" w:rsidR="005749F4" w:rsidRPr="00C8327F" w:rsidRDefault="005749F4" w:rsidP="005749F4">
            <w:pPr>
              <w:pStyle w:val="TableTextCentred"/>
              <w:rPr>
                <w:sz w:val="20"/>
                <w:szCs w:val="20"/>
              </w:rPr>
            </w:pPr>
            <w:r w:rsidRPr="00C8327F">
              <w:rPr>
                <w:sz w:val="20"/>
                <w:szCs w:val="20"/>
              </w:rPr>
              <w:t>2.8%</w:t>
            </w:r>
          </w:p>
        </w:tc>
        <w:tc>
          <w:tcPr>
            <w:tcW w:w="567" w:type="dxa"/>
            <w:tcBorders>
              <w:left w:val="single" w:sz="4" w:space="0" w:color="0079C1"/>
              <w:bottom w:val="single" w:sz="4" w:space="0" w:color="0079C1" w:themeColor="text2"/>
            </w:tcBorders>
            <w:shd w:val="clear" w:color="auto" w:fill="auto"/>
          </w:tcPr>
          <w:p w14:paraId="304EA74F" w14:textId="7147F6F0" w:rsidR="005749F4" w:rsidRPr="00C8327F" w:rsidRDefault="005749F4" w:rsidP="005749F4">
            <w:pPr>
              <w:pStyle w:val="TableTextCentred"/>
              <w:rPr>
                <w:sz w:val="20"/>
                <w:szCs w:val="20"/>
              </w:rPr>
            </w:pPr>
            <w:r w:rsidRPr="00C8327F">
              <w:rPr>
                <w:sz w:val="20"/>
                <w:szCs w:val="20"/>
              </w:rPr>
              <w:t>0</w:t>
            </w:r>
          </w:p>
        </w:tc>
        <w:tc>
          <w:tcPr>
            <w:tcW w:w="992" w:type="dxa"/>
            <w:tcBorders>
              <w:bottom w:val="single" w:sz="4" w:space="0" w:color="0079C1" w:themeColor="text2"/>
              <w:right w:val="single" w:sz="4" w:space="0" w:color="0079C1"/>
            </w:tcBorders>
            <w:shd w:val="clear" w:color="auto" w:fill="auto"/>
          </w:tcPr>
          <w:p w14:paraId="547544E9" w14:textId="5877BF7F" w:rsidR="005749F4" w:rsidRPr="00C8327F" w:rsidRDefault="005749F4" w:rsidP="005749F4">
            <w:pPr>
              <w:pStyle w:val="TableTextCentred"/>
              <w:rPr>
                <w:sz w:val="20"/>
                <w:szCs w:val="20"/>
              </w:rPr>
            </w:pPr>
            <w:r w:rsidRPr="00C8327F">
              <w:rPr>
                <w:sz w:val="20"/>
                <w:szCs w:val="20"/>
              </w:rPr>
              <w:t>0.0%</w:t>
            </w:r>
          </w:p>
        </w:tc>
        <w:tc>
          <w:tcPr>
            <w:tcW w:w="567" w:type="dxa"/>
            <w:tcBorders>
              <w:left w:val="single" w:sz="4" w:space="0" w:color="0079C1"/>
              <w:bottom w:val="single" w:sz="4" w:space="0" w:color="0079C1" w:themeColor="text2"/>
            </w:tcBorders>
            <w:shd w:val="clear" w:color="auto" w:fill="auto"/>
          </w:tcPr>
          <w:p w14:paraId="31E175DD" w14:textId="11C76A64" w:rsidR="005749F4" w:rsidRPr="00C8327F" w:rsidRDefault="005749F4" w:rsidP="005749F4">
            <w:pPr>
              <w:pStyle w:val="TableTextCentred"/>
              <w:rPr>
                <w:sz w:val="20"/>
                <w:szCs w:val="20"/>
              </w:rPr>
            </w:pPr>
            <w:r w:rsidRPr="00C8327F">
              <w:rPr>
                <w:sz w:val="20"/>
                <w:szCs w:val="20"/>
              </w:rPr>
              <w:t>4</w:t>
            </w:r>
          </w:p>
        </w:tc>
        <w:tc>
          <w:tcPr>
            <w:tcW w:w="992" w:type="dxa"/>
            <w:tcBorders>
              <w:bottom w:val="single" w:sz="4" w:space="0" w:color="0079C1" w:themeColor="text2"/>
              <w:right w:val="single" w:sz="4" w:space="0" w:color="0079C1"/>
            </w:tcBorders>
            <w:shd w:val="clear" w:color="auto" w:fill="auto"/>
          </w:tcPr>
          <w:p w14:paraId="3173633F" w14:textId="54BDC0DF" w:rsidR="005749F4" w:rsidRPr="00C8327F" w:rsidRDefault="005749F4" w:rsidP="005749F4">
            <w:pPr>
              <w:pStyle w:val="TableTextCentred"/>
              <w:rPr>
                <w:sz w:val="20"/>
                <w:szCs w:val="20"/>
              </w:rPr>
            </w:pPr>
            <w:r w:rsidRPr="00C8327F">
              <w:rPr>
                <w:sz w:val="20"/>
                <w:szCs w:val="20"/>
              </w:rPr>
              <w:t>5.5%</w:t>
            </w:r>
          </w:p>
        </w:tc>
        <w:tc>
          <w:tcPr>
            <w:tcW w:w="646" w:type="dxa"/>
            <w:tcBorders>
              <w:left w:val="single" w:sz="4" w:space="0" w:color="0079C1"/>
              <w:bottom w:val="single" w:sz="4" w:space="0" w:color="0079C1" w:themeColor="text2"/>
            </w:tcBorders>
            <w:shd w:val="clear" w:color="auto" w:fill="auto"/>
          </w:tcPr>
          <w:p w14:paraId="32B33810" w14:textId="378DFF5A" w:rsidR="005749F4" w:rsidRPr="00C8327F" w:rsidRDefault="005749F4" w:rsidP="005749F4">
            <w:pPr>
              <w:pStyle w:val="TableTextCentred"/>
              <w:rPr>
                <w:sz w:val="20"/>
                <w:szCs w:val="20"/>
              </w:rPr>
            </w:pPr>
            <w:r w:rsidRPr="00C8327F">
              <w:rPr>
                <w:sz w:val="20"/>
                <w:szCs w:val="20"/>
              </w:rPr>
              <w:t>1</w:t>
            </w:r>
          </w:p>
        </w:tc>
        <w:tc>
          <w:tcPr>
            <w:tcW w:w="914" w:type="dxa"/>
            <w:tcBorders>
              <w:bottom w:val="single" w:sz="4" w:space="0" w:color="0079C1" w:themeColor="text2"/>
              <w:right w:val="single" w:sz="4" w:space="0" w:color="0079C1"/>
            </w:tcBorders>
            <w:shd w:val="clear" w:color="auto" w:fill="auto"/>
          </w:tcPr>
          <w:p w14:paraId="207A7EED" w14:textId="11538D27" w:rsidR="005749F4" w:rsidRPr="00C8327F" w:rsidRDefault="005749F4" w:rsidP="005749F4">
            <w:pPr>
              <w:pStyle w:val="TableTextCentred"/>
              <w:rPr>
                <w:sz w:val="20"/>
                <w:szCs w:val="20"/>
              </w:rPr>
            </w:pPr>
            <w:r w:rsidRPr="00C8327F">
              <w:rPr>
                <w:sz w:val="20"/>
                <w:szCs w:val="20"/>
              </w:rPr>
              <w:t>5.0%</w:t>
            </w:r>
          </w:p>
        </w:tc>
        <w:tc>
          <w:tcPr>
            <w:tcW w:w="663" w:type="dxa"/>
            <w:tcBorders>
              <w:left w:val="single" w:sz="4" w:space="0" w:color="0079C1"/>
              <w:bottom w:val="single" w:sz="4" w:space="0" w:color="0079C1" w:themeColor="text2"/>
            </w:tcBorders>
            <w:shd w:val="clear" w:color="auto" w:fill="auto"/>
          </w:tcPr>
          <w:p w14:paraId="16641E05" w14:textId="2DB8454E" w:rsidR="005749F4" w:rsidRPr="00C8327F" w:rsidRDefault="005749F4" w:rsidP="005749F4">
            <w:pPr>
              <w:pStyle w:val="TableTextCentred"/>
              <w:rPr>
                <w:b/>
                <w:bCs/>
                <w:sz w:val="20"/>
                <w:szCs w:val="20"/>
              </w:rPr>
            </w:pPr>
            <w:r w:rsidRPr="00C8327F">
              <w:rPr>
                <w:b/>
                <w:sz w:val="20"/>
                <w:szCs w:val="20"/>
              </w:rPr>
              <w:t>8</w:t>
            </w:r>
          </w:p>
        </w:tc>
        <w:tc>
          <w:tcPr>
            <w:tcW w:w="992" w:type="dxa"/>
            <w:tcBorders>
              <w:bottom w:val="single" w:sz="4" w:space="0" w:color="0079C1" w:themeColor="text2"/>
            </w:tcBorders>
            <w:shd w:val="clear" w:color="auto" w:fill="auto"/>
          </w:tcPr>
          <w:p w14:paraId="19E06A14" w14:textId="017531E8" w:rsidR="005749F4" w:rsidRPr="00C8327F" w:rsidRDefault="005749F4" w:rsidP="005749F4">
            <w:pPr>
              <w:pStyle w:val="TableTextCentred"/>
              <w:rPr>
                <w:b/>
                <w:bCs/>
                <w:sz w:val="20"/>
                <w:szCs w:val="20"/>
              </w:rPr>
            </w:pPr>
            <w:r w:rsidRPr="00C8327F">
              <w:rPr>
                <w:b/>
                <w:sz w:val="20"/>
                <w:szCs w:val="20"/>
              </w:rPr>
              <w:t>3.6%</w:t>
            </w:r>
          </w:p>
        </w:tc>
      </w:tr>
      <w:tr w:rsidR="006F68D0" w:rsidRPr="001E3F2D" w14:paraId="5193FA09" w14:textId="77777777" w:rsidTr="00C8327F">
        <w:trPr>
          <w:gridAfter w:val="1"/>
          <w:wAfter w:w="15" w:type="dxa"/>
        </w:trPr>
        <w:tc>
          <w:tcPr>
            <w:tcW w:w="1553"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5C78AF45" w14:textId="5DDA9641" w:rsidR="00B43607" w:rsidRPr="00C8327F" w:rsidRDefault="00B43607" w:rsidP="00D846D9">
            <w:pPr>
              <w:pStyle w:val="TableText"/>
              <w:rPr>
                <w:b/>
                <w:bCs/>
                <w:sz w:val="20"/>
                <w:szCs w:val="20"/>
              </w:rPr>
            </w:pPr>
            <w:r w:rsidRPr="00C8327F">
              <w:rPr>
                <w:b/>
                <w:bCs/>
                <w:sz w:val="20"/>
                <w:szCs w:val="20"/>
              </w:rPr>
              <w:t>Total</w:t>
            </w:r>
          </w:p>
        </w:tc>
        <w:tc>
          <w:tcPr>
            <w:tcW w:w="567"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1CE8BF7D" w14:textId="77777777" w:rsidR="00B43607" w:rsidRPr="00C8327F" w:rsidRDefault="00B43607" w:rsidP="00D846D9">
            <w:pPr>
              <w:pStyle w:val="TableTextCentred"/>
              <w:rPr>
                <w:b/>
                <w:bCs/>
                <w:sz w:val="20"/>
                <w:szCs w:val="20"/>
              </w:rPr>
            </w:pPr>
            <w:r w:rsidRPr="00C8327F">
              <w:rPr>
                <w:b/>
                <w:bCs/>
                <w:sz w:val="20"/>
                <w:szCs w:val="20"/>
              </w:rPr>
              <w:t>108</w:t>
            </w:r>
          </w:p>
        </w:tc>
        <w:tc>
          <w:tcPr>
            <w:tcW w:w="992"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2806D496" w14:textId="77777777" w:rsidR="00B43607" w:rsidRPr="00C8327F" w:rsidRDefault="00B43607" w:rsidP="00D846D9">
            <w:pPr>
              <w:pStyle w:val="TableTextCentred"/>
              <w:rPr>
                <w:b/>
                <w:bCs/>
                <w:sz w:val="20"/>
                <w:szCs w:val="20"/>
              </w:rPr>
            </w:pPr>
            <w:r w:rsidRPr="00C8327F">
              <w:rPr>
                <w:b/>
                <w:bCs/>
                <w:sz w:val="20"/>
                <w:szCs w:val="20"/>
              </w:rPr>
              <w:t>100.0%</w:t>
            </w:r>
          </w:p>
        </w:tc>
        <w:tc>
          <w:tcPr>
            <w:tcW w:w="567"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29163E7C" w14:textId="77777777" w:rsidR="00B43607" w:rsidRPr="00C8327F" w:rsidRDefault="00B43607" w:rsidP="00D846D9">
            <w:pPr>
              <w:pStyle w:val="TableTextCentred"/>
              <w:rPr>
                <w:b/>
                <w:bCs/>
                <w:sz w:val="20"/>
                <w:szCs w:val="20"/>
              </w:rPr>
            </w:pPr>
            <w:r w:rsidRPr="00C8327F">
              <w:rPr>
                <w:b/>
                <w:bCs/>
                <w:sz w:val="20"/>
                <w:szCs w:val="20"/>
              </w:rPr>
              <w:t>19</w:t>
            </w:r>
          </w:p>
        </w:tc>
        <w:tc>
          <w:tcPr>
            <w:tcW w:w="992"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5567D32B" w14:textId="77777777" w:rsidR="00B43607" w:rsidRPr="00C8327F" w:rsidRDefault="00B43607" w:rsidP="00D846D9">
            <w:pPr>
              <w:pStyle w:val="TableTextCentred"/>
              <w:rPr>
                <w:b/>
                <w:bCs/>
                <w:sz w:val="20"/>
                <w:szCs w:val="20"/>
              </w:rPr>
            </w:pPr>
            <w:r w:rsidRPr="00C8327F">
              <w:rPr>
                <w:b/>
                <w:bCs/>
                <w:sz w:val="20"/>
                <w:szCs w:val="20"/>
              </w:rPr>
              <w:t>100.0%</w:t>
            </w:r>
          </w:p>
        </w:tc>
        <w:tc>
          <w:tcPr>
            <w:tcW w:w="567"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0B1CF456" w14:textId="77777777" w:rsidR="00B43607" w:rsidRPr="00C8327F" w:rsidRDefault="00B43607" w:rsidP="00D846D9">
            <w:pPr>
              <w:pStyle w:val="TableTextCentred"/>
              <w:rPr>
                <w:b/>
                <w:bCs/>
                <w:sz w:val="20"/>
                <w:szCs w:val="20"/>
              </w:rPr>
            </w:pPr>
            <w:r w:rsidRPr="00C8327F">
              <w:rPr>
                <w:b/>
                <w:bCs/>
                <w:sz w:val="20"/>
                <w:szCs w:val="20"/>
              </w:rPr>
              <w:t>73</w:t>
            </w:r>
          </w:p>
        </w:tc>
        <w:tc>
          <w:tcPr>
            <w:tcW w:w="992"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70D6474E" w14:textId="77777777" w:rsidR="00B43607" w:rsidRPr="00C8327F" w:rsidRDefault="00B43607" w:rsidP="00D846D9">
            <w:pPr>
              <w:pStyle w:val="TableTextCentred"/>
              <w:rPr>
                <w:b/>
                <w:bCs/>
                <w:sz w:val="20"/>
                <w:szCs w:val="20"/>
              </w:rPr>
            </w:pPr>
            <w:r w:rsidRPr="00C8327F">
              <w:rPr>
                <w:b/>
                <w:bCs/>
                <w:sz w:val="20"/>
                <w:szCs w:val="20"/>
              </w:rPr>
              <w:t>100.0%</w:t>
            </w:r>
          </w:p>
        </w:tc>
        <w:tc>
          <w:tcPr>
            <w:tcW w:w="646"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677A60C9" w14:textId="77777777" w:rsidR="00B43607" w:rsidRPr="00C8327F" w:rsidRDefault="00B43607" w:rsidP="00D846D9">
            <w:pPr>
              <w:pStyle w:val="TableTextCentred"/>
              <w:rPr>
                <w:b/>
                <w:bCs/>
                <w:sz w:val="20"/>
                <w:szCs w:val="20"/>
              </w:rPr>
            </w:pPr>
            <w:r w:rsidRPr="00C8327F">
              <w:rPr>
                <w:b/>
                <w:bCs/>
                <w:sz w:val="20"/>
                <w:szCs w:val="20"/>
              </w:rPr>
              <w:t>20</w:t>
            </w:r>
          </w:p>
        </w:tc>
        <w:tc>
          <w:tcPr>
            <w:tcW w:w="914"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5CDFFD1F" w14:textId="77777777" w:rsidR="00B43607" w:rsidRPr="00C8327F" w:rsidRDefault="00B43607" w:rsidP="00D846D9">
            <w:pPr>
              <w:pStyle w:val="TableTextCentred"/>
              <w:rPr>
                <w:b/>
                <w:bCs/>
                <w:sz w:val="20"/>
                <w:szCs w:val="20"/>
              </w:rPr>
            </w:pPr>
            <w:r w:rsidRPr="00C8327F">
              <w:rPr>
                <w:b/>
                <w:bCs/>
                <w:sz w:val="20"/>
                <w:szCs w:val="20"/>
              </w:rPr>
              <w:t>100.0%</w:t>
            </w:r>
          </w:p>
        </w:tc>
        <w:tc>
          <w:tcPr>
            <w:tcW w:w="663"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17FE8301" w14:textId="77777777" w:rsidR="00B43607" w:rsidRPr="00C8327F" w:rsidRDefault="00B43607" w:rsidP="00D846D9">
            <w:pPr>
              <w:pStyle w:val="TableTextCentred"/>
              <w:rPr>
                <w:b/>
                <w:bCs/>
                <w:sz w:val="20"/>
                <w:szCs w:val="20"/>
              </w:rPr>
            </w:pPr>
            <w:r w:rsidRPr="00C8327F">
              <w:rPr>
                <w:b/>
                <w:bCs/>
                <w:sz w:val="20"/>
                <w:szCs w:val="20"/>
              </w:rPr>
              <w:t>220</w:t>
            </w:r>
          </w:p>
        </w:tc>
        <w:tc>
          <w:tcPr>
            <w:tcW w:w="992" w:type="dxa"/>
            <w:tcBorders>
              <w:top w:val="single" w:sz="4" w:space="0" w:color="0079C1" w:themeColor="text2"/>
              <w:bottom w:val="single" w:sz="4" w:space="0" w:color="0079C1" w:themeColor="text2"/>
            </w:tcBorders>
            <w:shd w:val="clear" w:color="auto" w:fill="E2F4FF" w:themeFill="accent1" w:themeFillTint="33"/>
            <w:vAlign w:val="center"/>
          </w:tcPr>
          <w:p w14:paraId="19F470B1" w14:textId="77777777" w:rsidR="00B43607" w:rsidRPr="00C8327F" w:rsidRDefault="00B43607" w:rsidP="00D846D9">
            <w:pPr>
              <w:pStyle w:val="TableTextCentred"/>
              <w:rPr>
                <w:b/>
                <w:bCs/>
                <w:sz w:val="20"/>
                <w:szCs w:val="20"/>
              </w:rPr>
            </w:pPr>
            <w:r w:rsidRPr="00C8327F">
              <w:rPr>
                <w:b/>
                <w:bCs/>
                <w:sz w:val="20"/>
                <w:szCs w:val="20"/>
              </w:rPr>
              <w:t>100.0%</w:t>
            </w:r>
          </w:p>
        </w:tc>
      </w:tr>
    </w:tbl>
    <w:p w14:paraId="0A4549DA" w14:textId="29F2E50C" w:rsidR="00052833" w:rsidRDefault="00052833" w:rsidP="00052833">
      <w:pPr>
        <w:pStyle w:val="Paragraph"/>
        <w:rPr>
          <w:rFonts w:asciiTheme="minorHAnsi" w:hAnsiTheme="minorHAnsi"/>
          <w:lang w:eastAsia="en-AU"/>
        </w:rPr>
      </w:pPr>
      <w:bookmarkStart w:id="114" w:name="_Hlk490060433"/>
      <w:bookmarkStart w:id="115" w:name="_Ref462654775"/>
      <w:bookmarkEnd w:id="112"/>
      <w:bookmarkEnd w:id="113"/>
      <w:r w:rsidRPr="00B43607">
        <w:rPr>
          <w:lang w:eastAsia="en-AU"/>
        </w:rPr>
        <w:t xml:space="preserve">Overall, the website information was rated as very useful or useful by more than one-third of parental </w:t>
      </w:r>
      <w:r w:rsidR="008F3FA6">
        <w:rPr>
          <w:lang w:eastAsia="en-AU"/>
        </w:rPr>
        <w:t xml:space="preserve">survey </w:t>
      </w:r>
      <w:r w:rsidRPr="00B43607">
        <w:rPr>
          <w:rFonts w:asciiTheme="minorHAnsi" w:hAnsiTheme="minorHAnsi"/>
          <w:lang w:eastAsia="en-AU"/>
        </w:rPr>
        <w:t>respondents (</w:t>
      </w:r>
      <w:r w:rsidR="00062CAF">
        <w:rPr>
          <w:rFonts w:asciiTheme="minorHAnsi" w:hAnsiTheme="minorHAnsi"/>
          <w:lang w:eastAsia="en-AU"/>
        </w:rPr>
        <w:t xml:space="preserve">81/220, </w:t>
      </w:r>
      <w:r w:rsidRPr="00B43607">
        <w:rPr>
          <w:rFonts w:asciiTheme="minorHAnsi" w:hAnsiTheme="minorHAnsi"/>
          <w:lang w:eastAsia="en-AU"/>
        </w:rPr>
        <w:t>36.8%) (</w:t>
      </w:r>
      <w:r w:rsidR="005749F4" w:rsidRPr="0096287B">
        <w:rPr>
          <w:i/>
        </w:rPr>
        <w:fldChar w:fldCharType="begin"/>
      </w:r>
      <w:r w:rsidR="005749F4" w:rsidRPr="0096287B">
        <w:rPr>
          <w:rFonts w:asciiTheme="minorHAnsi" w:hAnsiTheme="minorHAnsi"/>
          <w:i/>
          <w:lang w:eastAsia="en-AU"/>
        </w:rPr>
        <w:instrText xml:space="preserve"> REF _Ref489887378 \h </w:instrText>
      </w:r>
      <w:r w:rsidR="008A6C81" w:rsidRPr="0096287B">
        <w:rPr>
          <w:i/>
        </w:rPr>
        <w:instrText xml:space="preserve"> \* MERGEFORMAT </w:instrText>
      </w:r>
      <w:r w:rsidR="005749F4" w:rsidRPr="0096287B">
        <w:rPr>
          <w:i/>
        </w:rPr>
      </w:r>
      <w:r w:rsidR="005749F4" w:rsidRPr="0096287B">
        <w:rPr>
          <w:i/>
        </w:rPr>
        <w:fldChar w:fldCharType="separate"/>
      </w:r>
      <w:r w:rsidR="00487073" w:rsidRPr="00487073">
        <w:rPr>
          <w:i/>
        </w:rPr>
        <w:t>Table 5</w:t>
      </w:r>
      <w:r w:rsidR="00487073" w:rsidRPr="00487073">
        <w:rPr>
          <w:i/>
        </w:rPr>
        <w:noBreakHyphen/>
        <w:t>12</w:t>
      </w:r>
      <w:r w:rsidR="005749F4" w:rsidRPr="0096287B">
        <w:rPr>
          <w:i/>
        </w:rPr>
        <w:fldChar w:fldCharType="end"/>
      </w:r>
      <w:r w:rsidR="005749F4">
        <w:rPr>
          <w:i/>
        </w:rPr>
        <w:t>)</w:t>
      </w:r>
      <w:r w:rsidRPr="00B43607">
        <w:rPr>
          <w:rFonts w:asciiTheme="minorHAnsi" w:hAnsiTheme="minorHAnsi"/>
          <w:lang w:eastAsia="en-AU"/>
        </w:rPr>
        <w:t xml:space="preserve">.  The proportion of respondents who ranked the </w:t>
      </w:r>
      <w:r w:rsidRPr="00B43607">
        <w:rPr>
          <w:rFonts w:asciiTheme="minorHAnsi" w:hAnsiTheme="minorHAnsi"/>
          <w:lang w:eastAsia="en-AU"/>
        </w:rPr>
        <w:lastRenderedPageBreak/>
        <w:t>website information as either ‘very usefu</w:t>
      </w:r>
      <w:r w:rsidR="009B42CA">
        <w:rPr>
          <w:rFonts w:asciiTheme="minorHAnsi" w:hAnsiTheme="minorHAnsi"/>
          <w:lang w:eastAsia="en-AU"/>
        </w:rPr>
        <w:t xml:space="preserve">l’ or ‘useful’ increases to </w:t>
      </w:r>
      <w:bookmarkStart w:id="116" w:name="_Hlk489958511"/>
      <w:r w:rsidR="009B42CA">
        <w:rPr>
          <w:rFonts w:asciiTheme="minorHAnsi" w:hAnsiTheme="minorHAnsi"/>
          <w:lang w:eastAsia="en-AU"/>
        </w:rPr>
        <w:t>61.8% (81/</w:t>
      </w:r>
      <w:r w:rsidR="005A280E">
        <w:rPr>
          <w:rFonts w:asciiTheme="minorHAnsi" w:hAnsiTheme="minorHAnsi"/>
          <w:lang w:eastAsia="en-AU"/>
        </w:rPr>
        <w:t>131</w:t>
      </w:r>
      <w:r>
        <w:rPr>
          <w:rFonts w:asciiTheme="minorHAnsi" w:hAnsiTheme="minorHAnsi"/>
          <w:lang w:eastAsia="en-AU"/>
        </w:rPr>
        <w:t>)</w:t>
      </w:r>
      <w:bookmarkEnd w:id="116"/>
      <w:r>
        <w:rPr>
          <w:rFonts w:asciiTheme="minorHAnsi" w:hAnsiTheme="minorHAnsi"/>
          <w:lang w:eastAsia="en-AU"/>
        </w:rPr>
        <w:t xml:space="preserve"> when only those who</w:t>
      </w:r>
      <w:r w:rsidRPr="00B43607">
        <w:rPr>
          <w:rFonts w:asciiTheme="minorHAnsi" w:hAnsiTheme="minorHAnsi"/>
          <w:lang w:eastAsia="en-AU"/>
        </w:rPr>
        <w:t xml:space="preserve"> had used the website are considered (</w:t>
      </w:r>
      <w:r w:rsidRPr="00B43607">
        <w:rPr>
          <w:rFonts w:asciiTheme="minorHAnsi" w:hAnsiTheme="minorHAnsi"/>
          <w:i/>
          <w:iCs/>
        </w:rPr>
        <w:t>Table 6 9</w:t>
      </w:r>
      <w:r w:rsidRPr="00B43607">
        <w:rPr>
          <w:rFonts w:asciiTheme="minorHAnsi" w:hAnsiTheme="minorHAnsi"/>
          <w:lang w:eastAsia="en-AU"/>
        </w:rPr>
        <w:t xml:space="preserve">). </w:t>
      </w:r>
    </w:p>
    <w:p w14:paraId="5EB7C764" w14:textId="66BCEB5F" w:rsidR="00B43607" w:rsidRPr="00B43607" w:rsidRDefault="00B43607" w:rsidP="00393CB6">
      <w:pPr>
        <w:pStyle w:val="Caption"/>
      </w:pPr>
      <w:bookmarkStart w:id="117" w:name="_Ref489887378"/>
      <w:bookmarkStart w:id="118" w:name="_Toc490481662"/>
      <w:bookmarkEnd w:id="114"/>
      <w:r w:rsidRPr="00B43607">
        <w:t>Table</w:t>
      </w:r>
      <w:r w:rsidR="00142D4B">
        <w:t> </w:t>
      </w:r>
      <w:r w:rsidR="00644B63">
        <w:fldChar w:fldCharType="begin"/>
      </w:r>
      <w:r w:rsidR="00644B63">
        <w:instrText xml:space="preserve"> STYLEREF 1 \s </w:instrText>
      </w:r>
      <w:r w:rsidR="00644B63">
        <w:fldChar w:fldCharType="separate"/>
      </w:r>
      <w:r w:rsidR="00487073">
        <w:rPr>
          <w:noProof/>
        </w:rPr>
        <w:t>5</w:t>
      </w:r>
      <w:r w:rsidR="00644B63">
        <w:fldChar w:fldCharType="end"/>
      </w:r>
      <w:r w:rsidR="00644B63">
        <w:noBreakHyphen/>
      </w:r>
      <w:r w:rsidR="00644B63">
        <w:fldChar w:fldCharType="begin"/>
      </w:r>
      <w:r w:rsidR="00644B63">
        <w:instrText xml:space="preserve"> SEQ Table \* ARABIC \s 1 </w:instrText>
      </w:r>
      <w:r w:rsidR="00644B63">
        <w:fldChar w:fldCharType="separate"/>
      </w:r>
      <w:r w:rsidR="00487073">
        <w:rPr>
          <w:noProof/>
        </w:rPr>
        <w:t>12</w:t>
      </w:r>
      <w:r w:rsidR="00644B63">
        <w:fldChar w:fldCharType="end"/>
      </w:r>
      <w:bookmarkEnd w:id="115"/>
      <w:bookmarkEnd w:id="117"/>
      <w:r w:rsidR="00142D4B">
        <w:t>:</w:t>
      </w:r>
      <w:r w:rsidR="00142D4B">
        <w:tab/>
      </w:r>
      <w:r w:rsidR="002B7533">
        <w:t>Parental r</w:t>
      </w:r>
      <w:r w:rsidRPr="00B43607">
        <w:t>espondent</w:t>
      </w:r>
      <w:r w:rsidR="002B7533">
        <w:t>’</w:t>
      </w:r>
      <w:r w:rsidRPr="00B43607">
        <w:t>s assessment of the usefulness of website information</w:t>
      </w:r>
      <w:bookmarkEnd w:id="118"/>
    </w:p>
    <w:tbl>
      <w:tblPr>
        <w:tblStyle w:val="TableGrid"/>
        <w:tblW w:w="9491" w:type="dxa"/>
        <w:tblInd w:w="108"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Description w:val="Table 5 12: Parental respondent’s assessment of the usefulness of website information"/>
      </w:tblPr>
      <w:tblGrid>
        <w:gridCol w:w="1553"/>
        <w:gridCol w:w="663"/>
        <w:gridCol w:w="896"/>
        <w:gridCol w:w="664"/>
        <w:gridCol w:w="895"/>
        <w:gridCol w:w="551"/>
        <w:gridCol w:w="1056"/>
        <w:gridCol w:w="551"/>
        <w:gridCol w:w="961"/>
        <w:gridCol w:w="780"/>
        <w:gridCol w:w="921"/>
      </w:tblGrid>
      <w:tr w:rsidR="006A33F7" w:rsidRPr="00C8327F" w14:paraId="0F3E7CB5" w14:textId="77777777" w:rsidTr="008E7495">
        <w:trPr>
          <w:tblHeader/>
        </w:trPr>
        <w:tc>
          <w:tcPr>
            <w:tcW w:w="1553" w:type="dxa"/>
            <w:vMerge w:val="restart"/>
            <w:shd w:val="clear" w:color="auto" w:fill="0079C1" w:themeFill="text2"/>
            <w:vAlign w:val="center"/>
          </w:tcPr>
          <w:p w14:paraId="4B69407D" w14:textId="77777777" w:rsidR="00B43607" w:rsidRPr="00C8327F" w:rsidRDefault="00B43607" w:rsidP="003D536B">
            <w:pPr>
              <w:pStyle w:val="TableHeading1"/>
              <w:rPr>
                <w:sz w:val="20"/>
              </w:rPr>
            </w:pPr>
            <w:r w:rsidRPr="00C8327F">
              <w:rPr>
                <w:sz w:val="20"/>
              </w:rPr>
              <w:t>Usefulness of information provided on website</w:t>
            </w:r>
          </w:p>
        </w:tc>
        <w:tc>
          <w:tcPr>
            <w:tcW w:w="3118" w:type="dxa"/>
            <w:gridSpan w:val="4"/>
            <w:shd w:val="clear" w:color="auto" w:fill="0079C1" w:themeFill="text2"/>
            <w:vAlign w:val="center"/>
          </w:tcPr>
          <w:p w14:paraId="1FDBCA3D" w14:textId="77777777" w:rsidR="00B43607" w:rsidRPr="00C8327F" w:rsidRDefault="00B43607" w:rsidP="003D536B">
            <w:pPr>
              <w:pStyle w:val="TableHeading1Centred"/>
              <w:rPr>
                <w:sz w:val="20"/>
              </w:rPr>
            </w:pPr>
            <w:r w:rsidRPr="00C8327F">
              <w:rPr>
                <w:sz w:val="20"/>
              </w:rPr>
              <w:t>Wanting to adopt</w:t>
            </w:r>
          </w:p>
        </w:tc>
        <w:tc>
          <w:tcPr>
            <w:tcW w:w="1607" w:type="dxa"/>
            <w:gridSpan w:val="2"/>
            <w:vMerge w:val="restart"/>
            <w:shd w:val="clear" w:color="auto" w:fill="0079C1" w:themeFill="text2"/>
            <w:vAlign w:val="center"/>
          </w:tcPr>
          <w:p w14:paraId="4DEA3CEF" w14:textId="77777777" w:rsidR="00B43607" w:rsidRPr="00C8327F" w:rsidRDefault="00B43607" w:rsidP="003D536B">
            <w:pPr>
              <w:pStyle w:val="TableHeading1Centred"/>
              <w:rPr>
                <w:sz w:val="20"/>
              </w:rPr>
            </w:pPr>
            <w:r w:rsidRPr="00C8327F">
              <w:rPr>
                <w:sz w:val="20"/>
              </w:rPr>
              <w:t>Post adoption</w:t>
            </w:r>
          </w:p>
        </w:tc>
        <w:tc>
          <w:tcPr>
            <w:tcW w:w="1512" w:type="dxa"/>
            <w:gridSpan w:val="2"/>
            <w:vMerge w:val="restart"/>
            <w:shd w:val="clear" w:color="auto" w:fill="0079C1" w:themeFill="text2"/>
            <w:vAlign w:val="center"/>
          </w:tcPr>
          <w:p w14:paraId="2E306E33" w14:textId="77777777" w:rsidR="00B43607" w:rsidRPr="00C8327F" w:rsidRDefault="00B43607" w:rsidP="003D536B">
            <w:pPr>
              <w:pStyle w:val="TableHeading1Centred"/>
              <w:rPr>
                <w:sz w:val="20"/>
              </w:rPr>
            </w:pPr>
            <w:r w:rsidRPr="00C8327F">
              <w:rPr>
                <w:sz w:val="20"/>
              </w:rPr>
              <w:t>Did not continue</w:t>
            </w:r>
          </w:p>
        </w:tc>
        <w:tc>
          <w:tcPr>
            <w:tcW w:w="1701" w:type="dxa"/>
            <w:gridSpan w:val="2"/>
            <w:vMerge w:val="restart"/>
            <w:shd w:val="clear" w:color="auto" w:fill="0079C1" w:themeFill="text2"/>
            <w:vAlign w:val="center"/>
          </w:tcPr>
          <w:p w14:paraId="1300580C" w14:textId="77777777" w:rsidR="00B43607" w:rsidRPr="00C8327F" w:rsidRDefault="00B43607" w:rsidP="003D536B">
            <w:pPr>
              <w:pStyle w:val="TableHeading1Centred"/>
              <w:rPr>
                <w:sz w:val="20"/>
              </w:rPr>
            </w:pPr>
            <w:r w:rsidRPr="00C8327F">
              <w:rPr>
                <w:sz w:val="20"/>
              </w:rPr>
              <w:t>Total</w:t>
            </w:r>
          </w:p>
        </w:tc>
      </w:tr>
      <w:tr w:rsidR="006A33F7" w:rsidRPr="00C8327F" w14:paraId="6CB89F22" w14:textId="77777777" w:rsidTr="008E7495">
        <w:trPr>
          <w:tblHeader/>
        </w:trPr>
        <w:tc>
          <w:tcPr>
            <w:tcW w:w="1553" w:type="dxa"/>
            <w:vMerge/>
            <w:shd w:val="clear" w:color="auto" w:fill="0079C1" w:themeFill="text2"/>
            <w:vAlign w:val="center"/>
          </w:tcPr>
          <w:p w14:paraId="6B42F601" w14:textId="77777777" w:rsidR="00B43607" w:rsidRPr="00C8327F" w:rsidRDefault="00B43607" w:rsidP="003D536B">
            <w:pPr>
              <w:pStyle w:val="TableHeading1Centred"/>
              <w:rPr>
                <w:sz w:val="20"/>
              </w:rPr>
            </w:pPr>
          </w:p>
        </w:tc>
        <w:tc>
          <w:tcPr>
            <w:tcW w:w="1559" w:type="dxa"/>
            <w:gridSpan w:val="2"/>
            <w:shd w:val="clear" w:color="auto" w:fill="0079C1" w:themeFill="text2"/>
            <w:vAlign w:val="center"/>
          </w:tcPr>
          <w:p w14:paraId="02E484CB" w14:textId="77777777" w:rsidR="00B43607" w:rsidRPr="00C8327F" w:rsidRDefault="00B43607" w:rsidP="003D536B">
            <w:pPr>
              <w:pStyle w:val="TableHeading1Centred"/>
              <w:rPr>
                <w:sz w:val="20"/>
              </w:rPr>
            </w:pPr>
            <w:r w:rsidRPr="00C8327F">
              <w:rPr>
                <w:sz w:val="20"/>
              </w:rPr>
              <w:t>First time</w:t>
            </w:r>
          </w:p>
        </w:tc>
        <w:tc>
          <w:tcPr>
            <w:tcW w:w="1559" w:type="dxa"/>
            <w:gridSpan w:val="2"/>
            <w:shd w:val="clear" w:color="auto" w:fill="0079C1" w:themeFill="text2"/>
            <w:vAlign w:val="center"/>
          </w:tcPr>
          <w:p w14:paraId="13C7201D" w14:textId="77777777" w:rsidR="00B43607" w:rsidRPr="00C8327F" w:rsidRDefault="00B43607" w:rsidP="003D536B">
            <w:pPr>
              <w:pStyle w:val="TableHeading1Centred"/>
              <w:rPr>
                <w:sz w:val="20"/>
              </w:rPr>
            </w:pPr>
            <w:r w:rsidRPr="00C8327F">
              <w:rPr>
                <w:sz w:val="20"/>
              </w:rPr>
              <w:t>Repeat</w:t>
            </w:r>
          </w:p>
        </w:tc>
        <w:tc>
          <w:tcPr>
            <w:tcW w:w="1607" w:type="dxa"/>
            <w:gridSpan w:val="2"/>
            <w:vMerge/>
            <w:shd w:val="clear" w:color="auto" w:fill="0079C1" w:themeFill="text2"/>
            <w:vAlign w:val="center"/>
          </w:tcPr>
          <w:p w14:paraId="5927AD23" w14:textId="77777777" w:rsidR="00B43607" w:rsidRPr="00C8327F" w:rsidRDefault="00B43607" w:rsidP="003D536B">
            <w:pPr>
              <w:pStyle w:val="TableHeading1Centred"/>
              <w:rPr>
                <w:sz w:val="20"/>
              </w:rPr>
            </w:pPr>
          </w:p>
        </w:tc>
        <w:tc>
          <w:tcPr>
            <w:tcW w:w="1512" w:type="dxa"/>
            <w:gridSpan w:val="2"/>
            <w:vMerge/>
            <w:shd w:val="clear" w:color="auto" w:fill="0079C1" w:themeFill="text2"/>
            <w:vAlign w:val="center"/>
          </w:tcPr>
          <w:p w14:paraId="6229F5D3" w14:textId="77777777" w:rsidR="00B43607" w:rsidRPr="00C8327F" w:rsidRDefault="00B43607" w:rsidP="003D536B">
            <w:pPr>
              <w:pStyle w:val="TableHeading1Centred"/>
              <w:rPr>
                <w:sz w:val="20"/>
              </w:rPr>
            </w:pPr>
          </w:p>
        </w:tc>
        <w:tc>
          <w:tcPr>
            <w:tcW w:w="1701" w:type="dxa"/>
            <w:gridSpan w:val="2"/>
            <w:vMerge/>
            <w:shd w:val="clear" w:color="auto" w:fill="0079C1" w:themeFill="text2"/>
            <w:vAlign w:val="center"/>
          </w:tcPr>
          <w:p w14:paraId="7EC87EE2" w14:textId="77777777" w:rsidR="00B43607" w:rsidRPr="00C8327F" w:rsidRDefault="00B43607" w:rsidP="003D536B">
            <w:pPr>
              <w:pStyle w:val="TableHeading1Centred"/>
              <w:rPr>
                <w:sz w:val="20"/>
              </w:rPr>
            </w:pPr>
          </w:p>
        </w:tc>
      </w:tr>
      <w:tr w:rsidR="00F54A64" w:rsidRPr="00C8327F" w14:paraId="4292489F" w14:textId="77777777" w:rsidTr="008E7495">
        <w:trPr>
          <w:tblHeader/>
        </w:trPr>
        <w:tc>
          <w:tcPr>
            <w:tcW w:w="1553" w:type="dxa"/>
            <w:vMerge/>
            <w:vAlign w:val="center"/>
          </w:tcPr>
          <w:p w14:paraId="01BDBF16" w14:textId="77777777" w:rsidR="00B43607" w:rsidRPr="00C8327F" w:rsidRDefault="00B43607" w:rsidP="003D536B">
            <w:pPr>
              <w:pStyle w:val="TableHeading1Centred"/>
              <w:rPr>
                <w:rFonts w:cs="Arial"/>
                <w:color w:val="333333"/>
                <w:sz w:val="20"/>
              </w:rPr>
            </w:pPr>
          </w:p>
        </w:tc>
        <w:tc>
          <w:tcPr>
            <w:tcW w:w="663" w:type="dxa"/>
            <w:shd w:val="clear" w:color="auto" w:fill="0079C1" w:themeFill="text2"/>
            <w:vAlign w:val="center"/>
          </w:tcPr>
          <w:p w14:paraId="67585979" w14:textId="77777777" w:rsidR="00B43607" w:rsidRPr="00C8327F" w:rsidRDefault="00B43607" w:rsidP="003D536B">
            <w:pPr>
              <w:pStyle w:val="TableHeading1Centred"/>
              <w:rPr>
                <w:sz w:val="20"/>
              </w:rPr>
            </w:pPr>
            <w:r w:rsidRPr="00C8327F">
              <w:rPr>
                <w:sz w:val="20"/>
              </w:rPr>
              <w:t>n</w:t>
            </w:r>
          </w:p>
        </w:tc>
        <w:tc>
          <w:tcPr>
            <w:tcW w:w="896" w:type="dxa"/>
            <w:shd w:val="clear" w:color="auto" w:fill="0079C1" w:themeFill="text2"/>
            <w:vAlign w:val="center"/>
          </w:tcPr>
          <w:p w14:paraId="436D76CA" w14:textId="77777777" w:rsidR="00B43607" w:rsidRPr="00C8327F" w:rsidRDefault="00B43607" w:rsidP="003D536B">
            <w:pPr>
              <w:pStyle w:val="TableHeading1Centred"/>
              <w:rPr>
                <w:sz w:val="20"/>
              </w:rPr>
            </w:pPr>
            <w:r w:rsidRPr="00C8327F">
              <w:rPr>
                <w:sz w:val="20"/>
              </w:rPr>
              <w:t>%</w:t>
            </w:r>
          </w:p>
        </w:tc>
        <w:tc>
          <w:tcPr>
            <w:tcW w:w="664" w:type="dxa"/>
            <w:shd w:val="clear" w:color="auto" w:fill="0079C1" w:themeFill="text2"/>
            <w:vAlign w:val="center"/>
          </w:tcPr>
          <w:p w14:paraId="5972E937" w14:textId="77777777" w:rsidR="00B43607" w:rsidRPr="00C8327F" w:rsidRDefault="00B43607" w:rsidP="003D536B">
            <w:pPr>
              <w:pStyle w:val="TableHeading1Centred"/>
              <w:rPr>
                <w:sz w:val="20"/>
              </w:rPr>
            </w:pPr>
            <w:r w:rsidRPr="00C8327F">
              <w:rPr>
                <w:sz w:val="20"/>
              </w:rPr>
              <w:t>n</w:t>
            </w:r>
          </w:p>
        </w:tc>
        <w:tc>
          <w:tcPr>
            <w:tcW w:w="895" w:type="dxa"/>
            <w:shd w:val="clear" w:color="auto" w:fill="0079C1" w:themeFill="text2"/>
            <w:vAlign w:val="center"/>
          </w:tcPr>
          <w:p w14:paraId="2869C7E9" w14:textId="77777777" w:rsidR="00B43607" w:rsidRPr="00C8327F" w:rsidRDefault="00B43607" w:rsidP="003D536B">
            <w:pPr>
              <w:pStyle w:val="TableHeading1Centred"/>
              <w:rPr>
                <w:sz w:val="20"/>
              </w:rPr>
            </w:pPr>
            <w:r w:rsidRPr="00C8327F">
              <w:rPr>
                <w:sz w:val="20"/>
              </w:rPr>
              <w:t>%</w:t>
            </w:r>
          </w:p>
        </w:tc>
        <w:tc>
          <w:tcPr>
            <w:tcW w:w="551" w:type="dxa"/>
            <w:shd w:val="clear" w:color="auto" w:fill="0079C1" w:themeFill="text2"/>
            <w:vAlign w:val="center"/>
          </w:tcPr>
          <w:p w14:paraId="7D2702D1" w14:textId="77777777" w:rsidR="00B43607" w:rsidRPr="00C8327F" w:rsidRDefault="00B43607" w:rsidP="003D536B">
            <w:pPr>
              <w:pStyle w:val="TableHeading1Centred"/>
              <w:rPr>
                <w:sz w:val="20"/>
              </w:rPr>
            </w:pPr>
            <w:r w:rsidRPr="00C8327F">
              <w:rPr>
                <w:sz w:val="20"/>
              </w:rPr>
              <w:t>n</w:t>
            </w:r>
          </w:p>
        </w:tc>
        <w:tc>
          <w:tcPr>
            <w:tcW w:w="1056" w:type="dxa"/>
            <w:shd w:val="clear" w:color="auto" w:fill="0079C1" w:themeFill="text2"/>
            <w:vAlign w:val="center"/>
          </w:tcPr>
          <w:p w14:paraId="5CA40F93" w14:textId="77777777" w:rsidR="00B43607" w:rsidRPr="00C8327F" w:rsidRDefault="00B43607" w:rsidP="003D536B">
            <w:pPr>
              <w:pStyle w:val="TableHeading1Centred"/>
              <w:rPr>
                <w:sz w:val="20"/>
              </w:rPr>
            </w:pPr>
            <w:r w:rsidRPr="00C8327F">
              <w:rPr>
                <w:sz w:val="20"/>
              </w:rPr>
              <w:t>%</w:t>
            </w:r>
          </w:p>
        </w:tc>
        <w:tc>
          <w:tcPr>
            <w:tcW w:w="551" w:type="dxa"/>
            <w:shd w:val="clear" w:color="auto" w:fill="0079C1" w:themeFill="text2"/>
            <w:vAlign w:val="center"/>
          </w:tcPr>
          <w:p w14:paraId="1CF659CA" w14:textId="77777777" w:rsidR="00B43607" w:rsidRPr="00C8327F" w:rsidRDefault="00B43607" w:rsidP="003D536B">
            <w:pPr>
              <w:pStyle w:val="TableHeading1Centred"/>
              <w:rPr>
                <w:sz w:val="20"/>
              </w:rPr>
            </w:pPr>
            <w:r w:rsidRPr="00C8327F">
              <w:rPr>
                <w:sz w:val="20"/>
              </w:rPr>
              <w:t>n</w:t>
            </w:r>
          </w:p>
        </w:tc>
        <w:tc>
          <w:tcPr>
            <w:tcW w:w="961" w:type="dxa"/>
            <w:shd w:val="clear" w:color="auto" w:fill="0079C1" w:themeFill="text2"/>
            <w:vAlign w:val="center"/>
          </w:tcPr>
          <w:p w14:paraId="31DF56A0" w14:textId="77777777" w:rsidR="00B43607" w:rsidRPr="00C8327F" w:rsidRDefault="00B43607" w:rsidP="003D536B">
            <w:pPr>
              <w:pStyle w:val="TableHeading1Centred"/>
              <w:rPr>
                <w:sz w:val="20"/>
              </w:rPr>
            </w:pPr>
            <w:r w:rsidRPr="00C8327F">
              <w:rPr>
                <w:sz w:val="20"/>
              </w:rPr>
              <w:t>%</w:t>
            </w:r>
          </w:p>
        </w:tc>
        <w:tc>
          <w:tcPr>
            <w:tcW w:w="780" w:type="dxa"/>
            <w:shd w:val="clear" w:color="auto" w:fill="0079C1" w:themeFill="text2"/>
            <w:vAlign w:val="center"/>
          </w:tcPr>
          <w:p w14:paraId="600B1376" w14:textId="77777777" w:rsidR="00B43607" w:rsidRPr="00C8327F" w:rsidRDefault="00B43607" w:rsidP="003D536B">
            <w:pPr>
              <w:pStyle w:val="TableHeading1Centred"/>
              <w:rPr>
                <w:sz w:val="20"/>
              </w:rPr>
            </w:pPr>
            <w:r w:rsidRPr="00C8327F">
              <w:rPr>
                <w:sz w:val="20"/>
              </w:rPr>
              <w:t>n</w:t>
            </w:r>
          </w:p>
        </w:tc>
        <w:tc>
          <w:tcPr>
            <w:tcW w:w="921" w:type="dxa"/>
            <w:shd w:val="clear" w:color="auto" w:fill="0079C1" w:themeFill="text2"/>
            <w:vAlign w:val="center"/>
          </w:tcPr>
          <w:p w14:paraId="23F67FD1" w14:textId="77777777" w:rsidR="00B43607" w:rsidRPr="00C8327F" w:rsidRDefault="00B43607" w:rsidP="003D536B">
            <w:pPr>
              <w:pStyle w:val="TableHeading1Centred"/>
              <w:rPr>
                <w:sz w:val="20"/>
              </w:rPr>
            </w:pPr>
            <w:r w:rsidRPr="00C8327F">
              <w:rPr>
                <w:sz w:val="20"/>
              </w:rPr>
              <w:t>%</w:t>
            </w:r>
          </w:p>
        </w:tc>
      </w:tr>
      <w:tr w:rsidR="00F54A64" w:rsidRPr="00C8327F" w14:paraId="2116B8E4" w14:textId="77777777" w:rsidTr="00C8327F">
        <w:trPr>
          <w:trHeight w:val="249"/>
        </w:trPr>
        <w:tc>
          <w:tcPr>
            <w:tcW w:w="1553" w:type="dxa"/>
            <w:tcBorders>
              <w:right w:val="single" w:sz="4" w:space="0" w:color="0079C1"/>
            </w:tcBorders>
            <w:shd w:val="clear" w:color="auto" w:fill="auto"/>
            <w:vAlign w:val="center"/>
          </w:tcPr>
          <w:p w14:paraId="00F8D17C" w14:textId="77777777" w:rsidR="00B43607" w:rsidRPr="00C8327F" w:rsidRDefault="00B43607" w:rsidP="003D536B">
            <w:pPr>
              <w:pStyle w:val="TableText"/>
              <w:rPr>
                <w:sz w:val="20"/>
                <w:szCs w:val="20"/>
              </w:rPr>
            </w:pPr>
            <w:r w:rsidRPr="00C8327F">
              <w:rPr>
                <w:sz w:val="20"/>
                <w:szCs w:val="20"/>
              </w:rPr>
              <w:t>Very useful</w:t>
            </w:r>
          </w:p>
        </w:tc>
        <w:tc>
          <w:tcPr>
            <w:tcW w:w="663" w:type="dxa"/>
            <w:tcBorders>
              <w:left w:val="single" w:sz="4" w:space="0" w:color="0079C1"/>
            </w:tcBorders>
            <w:shd w:val="clear" w:color="auto" w:fill="auto"/>
            <w:vAlign w:val="center"/>
          </w:tcPr>
          <w:p w14:paraId="64892DBA" w14:textId="77777777" w:rsidR="00B43607" w:rsidRPr="00C8327F" w:rsidRDefault="00B43607" w:rsidP="001A0564">
            <w:pPr>
              <w:pStyle w:val="TableTextCentred"/>
              <w:rPr>
                <w:sz w:val="20"/>
                <w:szCs w:val="20"/>
              </w:rPr>
            </w:pPr>
            <w:r w:rsidRPr="00C8327F">
              <w:rPr>
                <w:sz w:val="20"/>
                <w:szCs w:val="20"/>
              </w:rPr>
              <w:t>12</w:t>
            </w:r>
          </w:p>
        </w:tc>
        <w:tc>
          <w:tcPr>
            <w:tcW w:w="896" w:type="dxa"/>
            <w:tcBorders>
              <w:right w:val="single" w:sz="4" w:space="0" w:color="0079C1"/>
            </w:tcBorders>
            <w:shd w:val="clear" w:color="auto" w:fill="auto"/>
            <w:vAlign w:val="center"/>
          </w:tcPr>
          <w:p w14:paraId="7DAC34CD" w14:textId="77777777" w:rsidR="00B43607" w:rsidRPr="00C8327F" w:rsidRDefault="00B43607" w:rsidP="001A0564">
            <w:pPr>
              <w:pStyle w:val="TableTextCentred"/>
              <w:rPr>
                <w:sz w:val="20"/>
                <w:szCs w:val="20"/>
              </w:rPr>
            </w:pPr>
            <w:r w:rsidRPr="00C8327F">
              <w:rPr>
                <w:sz w:val="20"/>
                <w:szCs w:val="20"/>
              </w:rPr>
              <w:t>11.1%</w:t>
            </w:r>
          </w:p>
        </w:tc>
        <w:tc>
          <w:tcPr>
            <w:tcW w:w="664" w:type="dxa"/>
            <w:tcBorders>
              <w:left w:val="single" w:sz="4" w:space="0" w:color="0079C1"/>
            </w:tcBorders>
            <w:shd w:val="clear" w:color="auto" w:fill="auto"/>
            <w:vAlign w:val="center"/>
          </w:tcPr>
          <w:p w14:paraId="527287EB" w14:textId="77777777" w:rsidR="00B43607" w:rsidRPr="00C8327F" w:rsidRDefault="00B43607" w:rsidP="001A0564">
            <w:pPr>
              <w:pStyle w:val="TableTextCentred"/>
              <w:rPr>
                <w:sz w:val="20"/>
                <w:szCs w:val="20"/>
              </w:rPr>
            </w:pPr>
            <w:r w:rsidRPr="00C8327F">
              <w:rPr>
                <w:sz w:val="20"/>
                <w:szCs w:val="20"/>
              </w:rPr>
              <w:t>1</w:t>
            </w:r>
          </w:p>
        </w:tc>
        <w:tc>
          <w:tcPr>
            <w:tcW w:w="895" w:type="dxa"/>
            <w:tcBorders>
              <w:right w:val="single" w:sz="4" w:space="0" w:color="0079C1"/>
            </w:tcBorders>
            <w:shd w:val="clear" w:color="auto" w:fill="auto"/>
            <w:vAlign w:val="center"/>
          </w:tcPr>
          <w:p w14:paraId="0ED52E7F" w14:textId="77777777" w:rsidR="00B43607" w:rsidRPr="00C8327F" w:rsidRDefault="00B43607" w:rsidP="001A0564">
            <w:pPr>
              <w:pStyle w:val="TableTextCentred"/>
              <w:rPr>
                <w:sz w:val="20"/>
                <w:szCs w:val="20"/>
              </w:rPr>
            </w:pPr>
            <w:r w:rsidRPr="00C8327F">
              <w:rPr>
                <w:sz w:val="20"/>
                <w:szCs w:val="20"/>
              </w:rPr>
              <w:t>5.3%</w:t>
            </w:r>
          </w:p>
        </w:tc>
        <w:tc>
          <w:tcPr>
            <w:tcW w:w="551" w:type="dxa"/>
            <w:tcBorders>
              <w:left w:val="single" w:sz="4" w:space="0" w:color="0079C1"/>
            </w:tcBorders>
            <w:shd w:val="clear" w:color="auto" w:fill="auto"/>
            <w:vAlign w:val="center"/>
          </w:tcPr>
          <w:p w14:paraId="236575BC" w14:textId="77777777" w:rsidR="00B43607" w:rsidRPr="00C8327F" w:rsidRDefault="00B43607" w:rsidP="001A0564">
            <w:pPr>
              <w:pStyle w:val="TableTextCentred"/>
              <w:rPr>
                <w:sz w:val="20"/>
                <w:szCs w:val="20"/>
              </w:rPr>
            </w:pPr>
            <w:r w:rsidRPr="00C8327F">
              <w:rPr>
                <w:sz w:val="20"/>
                <w:szCs w:val="20"/>
              </w:rPr>
              <w:t>2</w:t>
            </w:r>
          </w:p>
        </w:tc>
        <w:tc>
          <w:tcPr>
            <w:tcW w:w="1056" w:type="dxa"/>
            <w:tcBorders>
              <w:right w:val="single" w:sz="4" w:space="0" w:color="0079C1"/>
            </w:tcBorders>
            <w:shd w:val="clear" w:color="auto" w:fill="auto"/>
            <w:vAlign w:val="center"/>
          </w:tcPr>
          <w:p w14:paraId="06627E99" w14:textId="77777777" w:rsidR="00B43607" w:rsidRPr="00C8327F" w:rsidRDefault="00B43607" w:rsidP="001A0564">
            <w:pPr>
              <w:pStyle w:val="TableTextCentred"/>
              <w:rPr>
                <w:sz w:val="20"/>
                <w:szCs w:val="20"/>
              </w:rPr>
            </w:pPr>
            <w:r w:rsidRPr="00C8327F">
              <w:rPr>
                <w:sz w:val="20"/>
                <w:szCs w:val="20"/>
              </w:rPr>
              <w:t>2.7%</w:t>
            </w:r>
          </w:p>
        </w:tc>
        <w:tc>
          <w:tcPr>
            <w:tcW w:w="551" w:type="dxa"/>
            <w:tcBorders>
              <w:left w:val="single" w:sz="4" w:space="0" w:color="0079C1"/>
            </w:tcBorders>
            <w:shd w:val="clear" w:color="auto" w:fill="auto"/>
            <w:vAlign w:val="center"/>
          </w:tcPr>
          <w:p w14:paraId="0B9F6A22" w14:textId="77777777" w:rsidR="00B43607" w:rsidRPr="00C8327F" w:rsidRDefault="00B43607" w:rsidP="001A0564">
            <w:pPr>
              <w:pStyle w:val="TableTextCentred"/>
              <w:rPr>
                <w:sz w:val="20"/>
                <w:szCs w:val="20"/>
              </w:rPr>
            </w:pPr>
            <w:r w:rsidRPr="00C8327F">
              <w:rPr>
                <w:sz w:val="20"/>
                <w:szCs w:val="20"/>
              </w:rPr>
              <w:t>1</w:t>
            </w:r>
          </w:p>
        </w:tc>
        <w:tc>
          <w:tcPr>
            <w:tcW w:w="961" w:type="dxa"/>
            <w:tcBorders>
              <w:right w:val="single" w:sz="4" w:space="0" w:color="0079C1"/>
            </w:tcBorders>
            <w:shd w:val="clear" w:color="auto" w:fill="auto"/>
            <w:vAlign w:val="center"/>
          </w:tcPr>
          <w:p w14:paraId="7DB756D1" w14:textId="77777777" w:rsidR="00B43607" w:rsidRPr="00C8327F" w:rsidRDefault="00B43607" w:rsidP="001A0564">
            <w:pPr>
              <w:pStyle w:val="TableTextCentred"/>
              <w:rPr>
                <w:sz w:val="20"/>
                <w:szCs w:val="20"/>
              </w:rPr>
            </w:pPr>
            <w:r w:rsidRPr="00C8327F">
              <w:rPr>
                <w:sz w:val="20"/>
                <w:szCs w:val="20"/>
              </w:rPr>
              <w:t>5.0%</w:t>
            </w:r>
          </w:p>
        </w:tc>
        <w:tc>
          <w:tcPr>
            <w:tcW w:w="780" w:type="dxa"/>
            <w:tcBorders>
              <w:left w:val="single" w:sz="4" w:space="0" w:color="0079C1"/>
            </w:tcBorders>
            <w:shd w:val="clear" w:color="auto" w:fill="auto"/>
            <w:vAlign w:val="center"/>
          </w:tcPr>
          <w:p w14:paraId="7D8A802A" w14:textId="77777777" w:rsidR="00B43607" w:rsidRPr="00C8327F" w:rsidRDefault="00B43607" w:rsidP="001A0564">
            <w:pPr>
              <w:pStyle w:val="TableTextCentred"/>
              <w:rPr>
                <w:b/>
                <w:bCs/>
                <w:sz w:val="20"/>
                <w:szCs w:val="20"/>
              </w:rPr>
            </w:pPr>
            <w:r w:rsidRPr="00C8327F">
              <w:rPr>
                <w:b/>
                <w:bCs/>
                <w:sz w:val="20"/>
                <w:szCs w:val="20"/>
              </w:rPr>
              <w:t>16</w:t>
            </w:r>
          </w:p>
        </w:tc>
        <w:tc>
          <w:tcPr>
            <w:tcW w:w="921" w:type="dxa"/>
            <w:shd w:val="clear" w:color="auto" w:fill="auto"/>
            <w:vAlign w:val="center"/>
          </w:tcPr>
          <w:p w14:paraId="4563CF5B" w14:textId="77777777" w:rsidR="00B43607" w:rsidRPr="00C8327F" w:rsidRDefault="00B43607" w:rsidP="001A0564">
            <w:pPr>
              <w:pStyle w:val="TableTextCentred"/>
              <w:rPr>
                <w:b/>
                <w:bCs/>
                <w:sz w:val="20"/>
                <w:szCs w:val="20"/>
              </w:rPr>
            </w:pPr>
            <w:r w:rsidRPr="00C8327F">
              <w:rPr>
                <w:b/>
                <w:bCs/>
                <w:sz w:val="20"/>
                <w:szCs w:val="20"/>
              </w:rPr>
              <w:t>7.3%</w:t>
            </w:r>
          </w:p>
        </w:tc>
      </w:tr>
      <w:tr w:rsidR="00F54A64" w:rsidRPr="00C8327F" w14:paraId="06F6D149" w14:textId="77777777" w:rsidTr="00C8327F">
        <w:tc>
          <w:tcPr>
            <w:tcW w:w="1553" w:type="dxa"/>
            <w:tcBorders>
              <w:right w:val="single" w:sz="4" w:space="0" w:color="0079C1"/>
            </w:tcBorders>
            <w:shd w:val="clear" w:color="auto" w:fill="auto"/>
            <w:vAlign w:val="center"/>
          </w:tcPr>
          <w:p w14:paraId="7FBFCCB4" w14:textId="77777777" w:rsidR="00B43607" w:rsidRPr="00C8327F" w:rsidRDefault="00B43607" w:rsidP="003D536B">
            <w:pPr>
              <w:pStyle w:val="TableText"/>
              <w:rPr>
                <w:sz w:val="20"/>
                <w:szCs w:val="20"/>
              </w:rPr>
            </w:pPr>
            <w:r w:rsidRPr="00C8327F">
              <w:rPr>
                <w:sz w:val="20"/>
                <w:szCs w:val="20"/>
              </w:rPr>
              <w:t>Useful</w:t>
            </w:r>
          </w:p>
        </w:tc>
        <w:tc>
          <w:tcPr>
            <w:tcW w:w="663" w:type="dxa"/>
            <w:tcBorders>
              <w:left w:val="single" w:sz="4" w:space="0" w:color="0079C1"/>
            </w:tcBorders>
            <w:shd w:val="clear" w:color="auto" w:fill="auto"/>
            <w:vAlign w:val="center"/>
          </w:tcPr>
          <w:p w14:paraId="7C1D1956" w14:textId="77777777" w:rsidR="00B43607" w:rsidRPr="00C8327F" w:rsidRDefault="00B43607" w:rsidP="001A0564">
            <w:pPr>
              <w:pStyle w:val="TableTextCentred"/>
              <w:rPr>
                <w:sz w:val="20"/>
                <w:szCs w:val="20"/>
              </w:rPr>
            </w:pPr>
            <w:r w:rsidRPr="00C8327F">
              <w:rPr>
                <w:sz w:val="20"/>
                <w:szCs w:val="20"/>
              </w:rPr>
              <w:t>46</w:t>
            </w:r>
          </w:p>
        </w:tc>
        <w:tc>
          <w:tcPr>
            <w:tcW w:w="896" w:type="dxa"/>
            <w:tcBorders>
              <w:right w:val="single" w:sz="4" w:space="0" w:color="0079C1"/>
            </w:tcBorders>
            <w:shd w:val="clear" w:color="auto" w:fill="auto"/>
            <w:vAlign w:val="center"/>
          </w:tcPr>
          <w:p w14:paraId="0361F381" w14:textId="77777777" w:rsidR="00B43607" w:rsidRPr="00C8327F" w:rsidRDefault="00B43607" w:rsidP="001A0564">
            <w:pPr>
              <w:pStyle w:val="TableTextCentred"/>
              <w:rPr>
                <w:sz w:val="20"/>
                <w:szCs w:val="20"/>
              </w:rPr>
            </w:pPr>
            <w:r w:rsidRPr="00C8327F">
              <w:rPr>
                <w:sz w:val="20"/>
                <w:szCs w:val="20"/>
              </w:rPr>
              <w:t>42.6%</w:t>
            </w:r>
          </w:p>
        </w:tc>
        <w:tc>
          <w:tcPr>
            <w:tcW w:w="664" w:type="dxa"/>
            <w:tcBorders>
              <w:left w:val="single" w:sz="4" w:space="0" w:color="0079C1"/>
            </w:tcBorders>
            <w:shd w:val="clear" w:color="auto" w:fill="auto"/>
            <w:vAlign w:val="center"/>
          </w:tcPr>
          <w:p w14:paraId="5FC747B2" w14:textId="77777777" w:rsidR="00B43607" w:rsidRPr="00C8327F" w:rsidRDefault="00B43607" w:rsidP="001A0564">
            <w:pPr>
              <w:pStyle w:val="TableTextCentred"/>
              <w:rPr>
                <w:sz w:val="20"/>
                <w:szCs w:val="20"/>
              </w:rPr>
            </w:pPr>
            <w:r w:rsidRPr="00C8327F">
              <w:rPr>
                <w:sz w:val="20"/>
                <w:szCs w:val="20"/>
              </w:rPr>
              <w:t>1</w:t>
            </w:r>
          </w:p>
        </w:tc>
        <w:tc>
          <w:tcPr>
            <w:tcW w:w="895" w:type="dxa"/>
            <w:tcBorders>
              <w:right w:val="single" w:sz="4" w:space="0" w:color="0079C1"/>
            </w:tcBorders>
            <w:shd w:val="clear" w:color="auto" w:fill="auto"/>
            <w:vAlign w:val="center"/>
          </w:tcPr>
          <w:p w14:paraId="7B165B77" w14:textId="77777777" w:rsidR="00B43607" w:rsidRPr="00C8327F" w:rsidRDefault="00B43607" w:rsidP="001A0564">
            <w:pPr>
              <w:pStyle w:val="TableTextCentred"/>
              <w:rPr>
                <w:sz w:val="20"/>
                <w:szCs w:val="20"/>
              </w:rPr>
            </w:pPr>
            <w:r w:rsidRPr="00C8327F">
              <w:rPr>
                <w:sz w:val="20"/>
                <w:szCs w:val="20"/>
              </w:rPr>
              <w:t>5.3%</w:t>
            </w:r>
          </w:p>
        </w:tc>
        <w:tc>
          <w:tcPr>
            <w:tcW w:w="551" w:type="dxa"/>
            <w:tcBorders>
              <w:left w:val="single" w:sz="4" w:space="0" w:color="0079C1"/>
            </w:tcBorders>
            <w:shd w:val="clear" w:color="auto" w:fill="auto"/>
            <w:vAlign w:val="center"/>
          </w:tcPr>
          <w:p w14:paraId="23BFE256" w14:textId="77777777" w:rsidR="00B43607" w:rsidRPr="00C8327F" w:rsidRDefault="00B43607" w:rsidP="001A0564">
            <w:pPr>
              <w:pStyle w:val="TableTextCentred"/>
              <w:rPr>
                <w:sz w:val="20"/>
                <w:szCs w:val="20"/>
              </w:rPr>
            </w:pPr>
            <w:r w:rsidRPr="00C8327F">
              <w:rPr>
                <w:sz w:val="20"/>
                <w:szCs w:val="20"/>
              </w:rPr>
              <w:t>9</w:t>
            </w:r>
          </w:p>
        </w:tc>
        <w:tc>
          <w:tcPr>
            <w:tcW w:w="1056" w:type="dxa"/>
            <w:tcBorders>
              <w:right w:val="single" w:sz="4" w:space="0" w:color="0079C1"/>
            </w:tcBorders>
            <w:shd w:val="clear" w:color="auto" w:fill="auto"/>
            <w:vAlign w:val="center"/>
          </w:tcPr>
          <w:p w14:paraId="135ACBB2" w14:textId="77777777" w:rsidR="00B43607" w:rsidRPr="00C8327F" w:rsidRDefault="00B43607" w:rsidP="001A0564">
            <w:pPr>
              <w:pStyle w:val="TableTextCentred"/>
              <w:rPr>
                <w:sz w:val="20"/>
                <w:szCs w:val="20"/>
              </w:rPr>
            </w:pPr>
            <w:r w:rsidRPr="00C8327F">
              <w:rPr>
                <w:sz w:val="20"/>
                <w:szCs w:val="20"/>
              </w:rPr>
              <w:t>12.3%</w:t>
            </w:r>
          </w:p>
        </w:tc>
        <w:tc>
          <w:tcPr>
            <w:tcW w:w="551" w:type="dxa"/>
            <w:tcBorders>
              <w:left w:val="single" w:sz="4" w:space="0" w:color="0079C1"/>
            </w:tcBorders>
            <w:shd w:val="clear" w:color="auto" w:fill="auto"/>
            <w:vAlign w:val="center"/>
          </w:tcPr>
          <w:p w14:paraId="1D4525F6" w14:textId="77777777" w:rsidR="00B43607" w:rsidRPr="00C8327F" w:rsidRDefault="00B43607" w:rsidP="001A0564">
            <w:pPr>
              <w:pStyle w:val="TableTextCentred"/>
              <w:rPr>
                <w:sz w:val="20"/>
                <w:szCs w:val="20"/>
              </w:rPr>
            </w:pPr>
            <w:r w:rsidRPr="00C8327F">
              <w:rPr>
                <w:sz w:val="20"/>
                <w:szCs w:val="20"/>
              </w:rPr>
              <w:t>9</w:t>
            </w:r>
          </w:p>
        </w:tc>
        <w:tc>
          <w:tcPr>
            <w:tcW w:w="961" w:type="dxa"/>
            <w:tcBorders>
              <w:right w:val="single" w:sz="4" w:space="0" w:color="0079C1"/>
            </w:tcBorders>
            <w:shd w:val="clear" w:color="auto" w:fill="auto"/>
            <w:vAlign w:val="center"/>
          </w:tcPr>
          <w:p w14:paraId="00CE0DFC" w14:textId="77777777" w:rsidR="00B43607" w:rsidRPr="00C8327F" w:rsidRDefault="00B43607" w:rsidP="001A0564">
            <w:pPr>
              <w:pStyle w:val="TableTextCentred"/>
              <w:rPr>
                <w:sz w:val="20"/>
                <w:szCs w:val="20"/>
              </w:rPr>
            </w:pPr>
            <w:r w:rsidRPr="00C8327F">
              <w:rPr>
                <w:sz w:val="20"/>
                <w:szCs w:val="20"/>
              </w:rPr>
              <w:t>45.0%</w:t>
            </w:r>
          </w:p>
        </w:tc>
        <w:tc>
          <w:tcPr>
            <w:tcW w:w="780" w:type="dxa"/>
            <w:tcBorders>
              <w:left w:val="single" w:sz="4" w:space="0" w:color="0079C1"/>
            </w:tcBorders>
            <w:shd w:val="clear" w:color="auto" w:fill="auto"/>
            <w:vAlign w:val="center"/>
          </w:tcPr>
          <w:p w14:paraId="7BFB3830" w14:textId="77777777" w:rsidR="00B43607" w:rsidRPr="00C8327F" w:rsidRDefault="00B43607" w:rsidP="001A0564">
            <w:pPr>
              <w:pStyle w:val="TableTextCentred"/>
              <w:rPr>
                <w:b/>
                <w:bCs/>
                <w:sz w:val="20"/>
                <w:szCs w:val="20"/>
              </w:rPr>
            </w:pPr>
            <w:r w:rsidRPr="00C8327F">
              <w:rPr>
                <w:b/>
                <w:bCs/>
                <w:sz w:val="20"/>
                <w:szCs w:val="20"/>
              </w:rPr>
              <w:t>65</w:t>
            </w:r>
          </w:p>
        </w:tc>
        <w:tc>
          <w:tcPr>
            <w:tcW w:w="921" w:type="dxa"/>
            <w:shd w:val="clear" w:color="auto" w:fill="auto"/>
            <w:vAlign w:val="center"/>
          </w:tcPr>
          <w:p w14:paraId="6FA779C1" w14:textId="77777777" w:rsidR="00B43607" w:rsidRPr="00C8327F" w:rsidRDefault="00B43607" w:rsidP="001A0564">
            <w:pPr>
              <w:pStyle w:val="TableTextCentred"/>
              <w:rPr>
                <w:b/>
                <w:bCs/>
                <w:sz w:val="20"/>
                <w:szCs w:val="20"/>
              </w:rPr>
            </w:pPr>
            <w:r w:rsidRPr="00C8327F">
              <w:rPr>
                <w:b/>
                <w:bCs/>
                <w:sz w:val="20"/>
                <w:szCs w:val="20"/>
              </w:rPr>
              <w:t>29.5%</w:t>
            </w:r>
          </w:p>
        </w:tc>
      </w:tr>
      <w:tr w:rsidR="00F54A64" w:rsidRPr="00C8327F" w14:paraId="24ECD532" w14:textId="77777777" w:rsidTr="00C8327F">
        <w:tc>
          <w:tcPr>
            <w:tcW w:w="1553" w:type="dxa"/>
            <w:tcBorders>
              <w:right w:val="single" w:sz="4" w:space="0" w:color="0079C1"/>
            </w:tcBorders>
            <w:shd w:val="clear" w:color="auto" w:fill="E2F4FF" w:themeFill="accent1" w:themeFillTint="33"/>
            <w:vAlign w:val="center"/>
          </w:tcPr>
          <w:p w14:paraId="45C78DD9" w14:textId="77777777" w:rsidR="00B43607" w:rsidRPr="00C8327F" w:rsidRDefault="00B43607" w:rsidP="003D536B">
            <w:pPr>
              <w:pStyle w:val="TableText"/>
              <w:rPr>
                <w:bCs/>
                <w:sz w:val="20"/>
                <w:szCs w:val="20"/>
              </w:rPr>
            </w:pPr>
            <w:r w:rsidRPr="00C8327F">
              <w:rPr>
                <w:bCs/>
                <w:sz w:val="20"/>
                <w:szCs w:val="20"/>
              </w:rPr>
              <w:t>Subtotal</w:t>
            </w:r>
          </w:p>
        </w:tc>
        <w:tc>
          <w:tcPr>
            <w:tcW w:w="663" w:type="dxa"/>
            <w:tcBorders>
              <w:left w:val="single" w:sz="4" w:space="0" w:color="0079C1"/>
            </w:tcBorders>
            <w:shd w:val="clear" w:color="auto" w:fill="E2F4FF" w:themeFill="accent1" w:themeFillTint="33"/>
            <w:vAlign w:val="center"/>
          </w:tcPr>
          <w:p w14:paraId="13999DBE" w14:textId="77777777" w:rsidR="00B43607" w:rsidRPr="00C8327F" w:rsidRDefault="00B43607" w:rsidP="001A0564">
            <w:pPr>
              <w:pStyle w:val="TableTextCentred"/>
              <w:rPr>
                <w:bCs/>
                <w:sz w:val="20"/>
                <w:szCs w:val="20"/>
              </w:rPr>
            </w:pPr>
            <w:r w:rsidRPr="00C8327F">
              <w:rPr>
                <w:bCs/>
                <w:sz w:val="20"/>
                <w:szCs w:val="20"/>
              </w:rPr>
              <w:t>58</w:t>
            </w:r>
          </w:p>
        </w:tc>
        <w:tc>
          <w:tcPr>
            <w:tcW w:w="896" w:type="dxa"/>
            <w:tcBorders>
              <w:right w:val="single" w:sz="4" w:space="0" w:color="0079C1"/>
            </w:tcBorders>
            <w:shd w:val="clear" w:color="auto" w:fill="E2F4FF" w:themeFill="accent1" w:themeFillTint="33"/>
            <w:vAlign w:val="center"/>
          </w:tcPr>
          <w:p w14:paraId="074548AF" w14:textId="77777777" w:rsidR="00B43607" w:rsidRPr="00C8327F" w:rsidRDefault="00B43607" w:rsidP="001A0564">
            <w:pPr>
              <w:pStyle w:val="TableTextCentred"/>
              <w:rPr>
                <w:bCs/>
                <w:sz w:val="20"/>
                <w:szCs w:val="20"/>
              </w:rPr>
            </w:pPr>
            <w:r w:rsidRPr="00C8327F">
              <w:rPr>
                <w:bCs/>
                <w:sz w:val="20"/>
                <w:szCs w:val="20"/>
              </w:rPr>
              <w:t>53.7%</w:t>
            </w:r>
          </w:p>
        </w:tc>
        <w:tc>
          <w:tcPr>
            <w:tcW w:w="664" w:type="dxa"/>
            <w:tcBorders>
              <w:left w:val="single" w:sz="4" w:space="0" w:color="0079C1"/>
            </w:tcBorders>
            <w:shd w:val="clear" w:color="auto" w:fill="E2F4FF" w:themeFill="accent1" w:themeFillTint="33"/>
            <w:vAlign w:val="center"/>
          </w:tcPr>
          <w:p w14:paraId="08022011" w14:textId="77777777" w:rsidR="00B43607" w:rsidRPr="00C8327F" w:rsidRDefault="00B43607" w:rsidP="001A0564">
            <w:pPr>
              <w:pStyle w:val="TableTextCentred"/>
              <w:rPr>
                <w:bCs/>
                <w:sz w:val="20"/>
                <w:szCs w:val="20"/>
              </w:rPr>
            </w:pPr>
            <w:r w:rsidRPr="00C8327F">
              <w:rPr>
                <w:bCs/>
                <w:sz w:val="20"/>
                <w:szCs w:val="20"/>
              </w:rPr>
              <w:t>2</w:t>
            </w:r>
          </w:p>
        </w:tc>
        <w:tc>
          <w:tcPr>
            <w:tcW w:w="895" w:type="dxa"/>
            <w:tcBorders>
              <w:right w:val="single" w:sz="4" w:space="0" w:color="0079C1"/>
            </w:tcBorders>
            <w:shd w:val="clear" w:color="auto" w:fill="E2F4FF" w:themeFill="accent1" w:themeFillTint="33"/>
            <w:vAlign w:val="center"/>
          </w:tcPr>
          <w:p w14:paraId="5494F262" w14:textId="77777777" w:rsidR="00B43607" w:rsidRPr="00C8327F" w:rsidRDefault="00B43607" w:rsidP="001A0564">
            <w:pPr>
              <w:pStyle w:val="TableTextCentred"/>
              <w:rPr>
                <w:bCs/>
                <w:sz w:val="20"/>
                <w:szCs w:val="20"/>
              </w:rPr>
            </w:pPr>
            <w:r w:rsidRPr="00C8327F">
              <w:rPr>
                <w:bCs/>
                <w:sz w:val="20"/>
                <w:szCs w:val="20"/>
              </w:rPr>
              <w:t>10.6</w:t>
            </w:r>
          </w:p>
        </w:tc>
        <w:tc>
          <w:tcPr>
            <w:tcW w:w="551" w:type="dxa"/>
            <w:tcBorders>
              <w:left w:val="single" w:sz="4" w:space="0" w:color="0079C1"/>
            </w:tcBorders>
            <w:shd w:val="clear" w:color="auto" w:fill="E2F4FF" w:themeFill="accent1" w:themeFillTint="33"/>
            <w:vAlign w:val="center"/>
          </w:tcPr>
          <w:p w14:paraId="71237B01" w14:textId="77777777" w:rsidR="00B43607" w:rsidRPr="00C8327F" w:rsidRDefault="00B43607" w:rsidP="001A0564">
            <w:pPr>
              <w:pStyle w:val="TableTextCentred"/>
              <w:rPr>
                <w:bCs/>
                <w:sz w:val="20"/>
                <w:szCs w:val="20"/>
              </w:rPr>
            </w:pPr>
            <w:r w:rsidRPr="00C8327F">
              <w:rPr>
                <w:bCs/>
                <w:sz w:val="20"/>
                <w:szCs w:val="20"/>
              </w:rPr>
              <w:t>11</w:t>
            </w:r>
          </w:p>
        </w:tc>
        <w:tc>
          <w:tcPr>
            <w:tcW w:w="1056" w:type="dxa"/>
            <w:tcBorders>
              <w:right w:val="single" w:sz="4" w:space="0" w:color="0079C1"/>
            </w:tcBorders>
            <w:shd w:val="clear" w:color="auto" w:fill="E2F4FF" w:themeFill="accent1" w:themeFillTint="33"/>
            <w:vAlign w:val="center"/>
          </w:tcPr>
          <w:p w14:paraId="7932DAA8" w14:textId="77777777" w:rsidR="00B43607" w:rsidRPr="00C8327F" w:rsidRDefault="00B43607" w:rsidP="001A0564">
            <w:pPr>
              <w:pStyle w:val="TableTextCentred"/>
              <w:rPr>
                <w:bCs/>
                <w:sz w:val="20"/>
                <w:szCs w:val="20"/>
              </w:rPr>
            </w:pPr>
            <w:r w:rsidRPr="00C8327F">
              <w:rPr>
                <w:bCs/>
                <w:sz w:val="20"/>
                <w:szCs w:val="20"/>
              </w:rPr>
              <w:t>15.0%</w:t>
            </w:r>
          </w:p>
        </w:tc>
        <w:tc>
          <w:tcPr>
            <w:tcW w:w="551" w:type="dxa"/>
            <w:tcBorders>
              <w:left w:val="single" w:sz="4" w:space="0" w:color="0079C1"/>
            </w:tcBorders>
            <w:shd w:val="clear" w:color="auto" w:fill="E2F4FF" w:themeFill="accent1" w:themeFillTint="33"/>
            <w:vAlign w:val="center"/>
          </w:tcPr>
          <w:p w14:paraId="2EFB64A1" w14:textId="77777777" w:rsidR="00B43607" w:rsidRPr="00C8327F" w:rsidRDefault="00B43607" w:rsidP="001A0564">
            <w:pPr>
              <w:pStyle w:val="TableTextCentred"/>
              <w:rPr>
                <w:bCs/>
                <w:sz w:val="20"/>
                <w:szCs w:val="20"/>
              </w:rPr>
            </w:pPr>
            <w:r w:rsidRPr="00C8327F">
              <w:rPr>
                <w:bCs/>
                <w:sz w:val="20"/>
                <w:szCs w:val="20"/>
              </w:rPr>
              <w:t>10</w:t>
            </w:r>
          </w:p>
        </w:tc>
        <w:tc>
          <w:tcPr>
            <w:tcW w:w="961" w:type="dxa"/>
            <w:tcBorders>
              <w:right w:val="single" w:sz="4" w:space="0" w:color="0079C1"/>
            </w:tcBorders>
            <w:shd w:val="clear" w:color="auto" w:fill="E2F4FF" w:themeFill="accent1" w:themeFillTint="33"/>
            <w:vAlign w:val="center"/>
          </w:tcPr>
          <w:p w14:paraId="7D50493B" w14:textId="77777777" w:rsidR="00B43607" w:rsidRPr="00C8327F" w:rsidRDefault="00B43607" w:rsidP="001A0564">
            <w:pPr>
              <w:pStyle w:val="TableTextCentred"/>
              <w:rPr>
                <w:bCs/>
                <w:sz w:val="20"/>
                <w:szCs w:val="20"/>
              </w:rPr>
            </w:pPr>
            <w:r w:rsidRPr="00C8327F">
              <w:rPr>
                <w:bCs/>
                <w:sz w:val="20"/>
                <w:szCs w:val="20"/>
              </w:rPr>
              <w:t>50.0%</w:t>
            </w:r>
          </w:p>
        </w:tc>
        <w:tc>
          <w:tcPr>
            <w:tcW w:w="780" w:type="dxa"/>
            <w:tcBorders>
              <w:left w:val="single" w:sz="4" w:space="0" w:color="0079C1"/>
            </w:tcBorders>
            <w:shd w:val="clear" w:color="auto" w:fill="E2F4FF" w:themeFill="accent1" w:themeFillTint="33"/>
            <w:vAlign w:val="center"/>
          </w:tcPr>
          <w:p w14:paraId="0C1646FC" w14:textId="77777777" w:rsidR="00B43607" w:rsidRPr="00C8327F" w:rsidRDefault="00B43607" w:rsidP="001A0564">
            <w:pPr>
              <w:pStyle w:val="TableTextCentred"/>
              <w:rPr>
                <w:b/>
                <w:bCs/>
                <w:sz w:val="20"/>
                <w:szCs w:val="20"/>
              </w:rPr>
            </w:pPr>
            <w:r w:rsidRPr="00C8327F">
              <w:rPr>
                <w:b/>
                <w:bCs/>
                <w:sz w:val="20"/>
                <w:szCs w:val="20"/>
              </w:rPr>
              <w:t>81</w:t>
            </w:r>
          </w:p>
        </w:tc>
        <w:tc>
          <w:tcPr>
            <w:tcW w:w="921" w:type="dxa"/>
            <w:shd w:val="clear" w:color="auto" w:fill="E2F4FF" w:themeFill="accent1" w:themeFillTint="33"/>
            <w:vAlign w:val="center"/>
          </w:tcPr>
          <w:p w14:paraId="4DADF069" w14:textId="77777777" w:rsidR="00B43607" w:rsidRPr="00C8327F" w:rsidRDefault="00B43607" w:rsidP="001A0564">
            <w:pPr>
              <w:pStyle w:val="TableTextCentred"/>
              <w:rPr>
                <w:b/>
                <w:bCs/>
                <w:sz w:val="20"/>
                <w:szCs w:val="20"/>
              </w:rPr>
            </w:pPr>
            <w:r w:rsidRPr="00C8327F">
              <w:rPr>
                <w:b/>
                <w:bCs/>
                <w:sz w:val="20"/>
                <w:szCs w:val="20"/>
              </w:rPr>
              <w:t>36.8%</w:t>
            </w:r>
          </w:p>
        </w:tc>
      </w:tr>
      <w:tr w:rsidR="00F54A64" w:rsidRPr="00C8327F" w14:paraId="1A81A5AA" w14:textId="77777777" w:rsidTr="00C8327F">
        <w:tc>
          <w:tcPr>
            <w:tcW w:w="1553" w:type="dxa"/>
            <w:tcBorders>
              <w:right w:val="single" w:sz="4" w:space="0" w:color="0079C1"/>
            </w:tcBorders>
            <w:shd w:val="clear" w:color="auto" w:fill="auto"/>
            <w:vAlign w:val="center"/>
          </w:tcPr>
          <w:p w14:paraId="2CBBABF8" w14:textId="77777777" w:rsidR="00B43607" w:rsidRPr="00C8327F" w:rsidRDefault="00B43607" w:rsidP="003D536B">
            <w:pPr>
              <w:pStyle w:val="TableText"/>
              <w:rPr>
                <w:sz w:val="20"/>
                <w:szCs w:val="20"/>
              </w:rPr>
            </w:pPr>
            <w:r w:rsidRPr="00C8327F">
              <w:rPr>
                <w:sz w:val="20"/>
                <w:szCs w:val="20"/>
              </w:rPr>
              <w:t>Neutral</w:t>
            </w:r>
          </w:p>
        </w:tc>
        <w:tc>
          <w:tcPr>
            <w:tcW w:w="663" w:type="dxa"/>
            <w:tcBorders>
              <w:left w:val="single" w:sz="4" w:space="0" w:color="0079C1"/>
            </w:tcBorders>
            <w:shd w:val="clear" w:color="auto" w:fill="auto"/>
            <w:vAlign w:val="center"/>
          </w:tcPr>
          <w:p w14:paraId="36C1038A" w14:textId="77777777" w:rsidR="00B43607" w:rsidRPr="00C8327F" w:rsidRDefault="00B43607" w:rsidP="001A0564">
            <w:pPr>
              <w:pStyle w:val="TableTextCentred"/>
              <w:rPr>
                <w:sz w:val="20"/>
                <w:szCs w:val="20"/>
              </w:rPr>
            </w:pPr>
            <w:r w:rsidRPr="00C8327F">
              <w:rPr>
                <w:sz w:val="20"/>
                <w:szCs w:val="20"/>
              </w:rPr>
              <w:t>10</w:t>
            </w:r>
          </w:p>
        </w:tc>
        <w:tc>
          <w:tcPr>
            <w:tcW w:w="896" w:type="dxa"/>
            <w:tcBorders>
              <w:right w:val="single" w:sz="4" w:space="0" w:color="0079C1"/>
            </w:tcBorders>
            <w:shd w:val="clear" w:color="auto" w:fill="auto"/>
            <w:vAlign w:val="center"/>
          </w:tcPr>
          <w:p w14:paraId="25B192AF" w14:textId="77777777" w:rsidR="00B43607" w:rsidRPr="00C8327F" w:rsidRDefault="00B43607" w:rsidP="001A0564">
            <w:pPr>
              <w:pStyle w:val="TableTextCentred"/>
              <w:rPr>
                <w:sz w:val="20"/>
                <w:szCs w:val="20"/>
              </w:rPr>
            </w:pPr>
            <w:r w:rsidRPr="00C8327F">
              <w:rPr>
                <w:sz w:val="20"/>
                <w:szCs w:val="20"/>
              </w:rPr>
              <w:t>9.3%</w:t>
            </w:r>
          </w:p>
        </w:tc>
        <w:tc>
          <w:tcPr>
            <w:tcW w:w="664" w:type="dxa"/>
            <w:tcBorders>
              <w:left w:val="single" w:sz="4" w:space="0" w:color="0079C1"/>
            </w:tcBorders>
            <w:shd w:val="clear" w:color="auto" w:fill="auto"/>
            <w:vAlign w:val="center"/>
          </w:tcPr>
          <w:p w14:paraId="28551D57" w14:textId="77777777" w:rsidR="00B43607" w:rsidRPr="00C8327F" w:rsidRDefault="00B43607" w:rsidP="001A0564">
            <w:pPr>
              <w:pStyle w:val="TableTextCentred"/>
              <w:rPr>
                <w:sz w:val="20"/>
                <w:szCs w:val="20"/>
              </w:rPr>
            </w:pPr>
            <w:r w:rsidRPr="00C8327F">
              <w:rPr>
                <w:sz w:val="20"/>
                <w:szCs w:val="20"/>
              </w:rPr>
              <w:t>3</w:t>
            </w:r>
          </w:p>
        </w:tc>
        <w:tc>
          <w:tcPr>
            <w:tcW w:w="895" w:type="dxa"/>
            <w:tcBorders>
              <w:right w:val="single" w:sz="4" w:space="0" w:color="0079C1"/>
            </w:tcBorders>
            <w:shd w:val="clear" w:color="auto" w:fill="auto"/>
            <w:vAlign w:val="center"/>
          </w:tcPr>
          <w:p w14:paraId="64535D4F" w14:textId="77777777" w:rsidR="00B43607" w:rsidRPr="00C8327F" w:rsidRDefault="00B43607" w:rsidP="001A0564">
            <w:pPr>
              <w:pStyle w:val="TableTextCentred"/>
              <w:rPr>
                <w:sz w:val="20"/>
                <w:szCs w:val="20"/>
              </w:rPr>
            </w:pPr>
            <w:r w:rsidRPr="00C8327F">
              <w:rPr>
                <w:sz w:val="20"/>
                <w:szCs w:val="20"/>
              </w:rPr>
              <w:t>15.8%</w:t>
            </w:r>
          </w:p>
        </w:tc>
        <w:tc>
          <w:tcPr>
            <w:tcW w:w="551" w:type="dxa"/>
            <w:tcBorders>
              <w:left w:val="single" w:sz="4" w:space="0" w:color="0079C1"/>
            </w:tcBorders>
            <w:shd w:val="clear" w:color="auto" w:fill="auto"/>
            <w:vAlign w:val="center"/>
          </w:tcPr>
          <w:p w14:paraId="6D2F7D35" w14:textId="77777777" w:rsidR="00B43607" w:rsidRPr="00C8327F" w:rsidRDefault="00B43607" w:rsidP="001A0564">
            <w:pPr>
              <w:pStyle w:val="TableTextCentred"/>
              <w:rPr>
                <w:sz w:val="20"/>
                <w:szCs w:val="20"/>
              </w:rPr>
            </w:pPr>
            <w:r w:rsidRPr="00C8327F">
              <w:rPr>
                <w:sz w:val="20"/>
                <w:szCs w:val="20"/>
              </w:rPr>
              <w:t>9</w:t>
            </w:r>
          </w:p>
        </w:tc>
        <w:tc>
          <w:tcPr>
            <w:tcW w:w="1056" w:type="dxa"/>
            <w:tcBorders>
              <w:right w:val="single" w:sz="4" w:space="0" w:color="0079C1"/>
            </w:tcBorders>
            <w:shd w:val="clear" w:color="auto" w:fill="auto"/>
            <w:vAlign w:val="center"/>
          </w:tcPr>
          <w:p w14:paraId="51E34E78" w14:textId="77777777" w:rsidR="00B43607" w:rsidRPr="00C8327F" w:rsidRDefault="00B43607" w:rsidP="001A0564">
            <w:pPr>
              <w:pStyle w:val="TableTextCentred"/>
              <w:rPr>
                <w:sz w:val="20"/>
                <w:szCs w:val="20"/>
              </w:rPr>
            </w:pPr>
            <w:r w:rsidRPr="00C8327F">
              <w:rPr>
                <w:sz w:val="20"/>
                <w:szCs w:val="20"/>
              </w:rPr>
              <w:t>12.3%</w:t>
            </w:r>
          </w:p>
        </w:tc>
        <w:tc>
          <w:tcPr>
            <w:tcW w:w="551" w:type="dxa"/>
            <w:tcBorders>
              <w:left w:val="single" w:sz="4" w:space="0" w:color="0079C1"/>
            </w:tcBorders>
            <w:shd w:val="clear" w:color="auto" w:fill="auto"/>
            <w:vAlign w:val="center"/>
          </w:tcPr>
          <w:p w14:paraId="184620F2" w14:textId="77777777" w:rsidR="00B43607" w:rsidRPr="00C8327F" w:rsidRDefault="00B43607" w:rsidP="001A0564">
            <w:pPr>
              <w:pStyle w:val="TableTextCentred"/>
              <w:rPr>
                <w:sz w:val="20"/>
                <w:szCs w:val="20"/>
              </w:rPr>
            </w:pPr>
            <w:r w:rsidRPr="00C8327F">
              <w:rPr>
                <w:sz w:val="20"/>
                <w:szCs w:val="20"/>
              </w:rPr>
              <w:t>5</w:t>
            </w:r>
          </w:p>
        </w:tc>
        <w:tc>
          <w:tcPr>
            <w:tcW w:w="961" w:type="dxa"/>
            <w:tcBorders>
              <w:right w:val="single" w:sz="4" w:space="0" w:color="0079C1"/>
            </w:tcBorders>
            <w:shd w:val="clear" w:color="auto" w:fill="auto"/>
            <w:vAlign w:val="center"/>
          </w:tcPr>
          <w:p w14:paraId="556AA51A" w14:textId="77777777" w:rsidR="00B43607" w:rsidRPr="00C8327F" w:rsidRDefault="00B43607" w:rsidP="001A0564">
            <w:pPr>
              <w:pStyle w:val="TableTextCentred"/>
              <w:rPr>
                <w:sz w:val="20"/>
                <w:szCs w:val="20"/>
              </w:rPr>
            </w:pPr>
            <w:r w:rsidRPr="00C8327F">
              <w:rPr>
                <w:sz w:val="20"/>
                <w:szCs w:val="20"/>
              </w:rPr>
              <w:t>25.0%</w:t>
            </w:r>
          </w:p>
        </w:tc>
        <w:tc>
          <w:tcPr>
            <w:tcW w:w="780" w:type="dxa"/>
            <w:tcBorders>
              <w:left w:val="single" w:sz="4" w:space="0" w:color="0079C1"/>
            </w:tcBorders>
            <w:shd w:val="clear" w:color="auto" w:fill="auto"/>
            <w:vAlign w:val="center"/>
          </w:tcPr>
          <w:p w14:paraId="774CB155" w14:textId="77777777" w:rsidR="00B43607" w:rsidRPr="00C8327F" w:rsidRDefault="00B43607" w:rsidP="001A0564">
            <w:pPr>
              <w:pStyle w:val="TableTextCentred"/>
              <w:rPr>
                <w:b/>
                <w:bCs/>
                <w:sz w:val="20"/>
                <w:szCs w:val="20"/>
              </w:rPr>
            </w:pPr>
            <w:r w:rsidRPr="00C8327F">
              <w:rPr>
                <w:b/>
                <w:bCs/>
                <w:sz w:val="20"/>
                <w:szCs w:val="20"/>
              </w:rPr>
              <w:t>27</w:t>
            </w:r>
          </w:p>
        </w:tc>
        <w:tc>
          <w:tcPr>
            <w:tcW w:w="921" w:type="dxa"/>
            <w:shd w:val="clear" w:color="auto" w:fill="auto"/>
            <w:vAlign w:val="center"/>
          </w:tcPr>
          <w:p w14:paraId="543BF061" w14:textId="77777777" w:rsidR="00B43607" w:rsidRPr="00C8327F" w:rsidRDefault="00B43607" w:rsidP="001A0564">
            <w:pPr>
              <w:pStyle w:val="TableTextCentred"/>
              <w:rPr>
                <w:b/>
                <w:bCs/>
                <w:sz w:val="20"/>
                <w:szCs w:val="20"/>
              </w:rPr>
            </w:pPr>
            <w:r w:rsidRPr="00C8327F">
              <w:rPr>
                <w:b/>
                <w:bCs/>
                <w:sz w:val="20"/>
                <w:szCs w:val="20"/>
              </w:rPr>
              <w:t>12.3%</w:t>
            </w:r>
          </w:p>
        </w:tc>
      </w:tr>
      <w:tr w:rsidR="00F54A64" w:rsidRPr="00C8327F" w14:paraId="302D7288" w14:textId="77777777" w:rsidTr="00C8327F">
        <w:tc>
          <w:tcPr>
            <w:tcW w:w="1553" w:type="dxa"/>
            <w:tcBorders>
              <w:right w:val="single" w:sz="4" w:space="0" w:color="0079C1"/>
            </w:tcBorders>
            <w:shd w:val="clear" w:color="auto" w:fill="auto"/>
            <w:vAlign w:val="center"/>
          </w:tcPr>
          <w:p w14:paraId="7ABD17DD" w14:textId="77777777" w:rsidR="00B43607" w:rsidRPr="00C8327F" w:rsidRDefault="00B43607" w:rsidP="003D536B">
            <w:pPr>
              <w:pStyle w:val="TableText"/>
              <w:rPr>
                <w:sz w:val="20"/>
                <w:szCs w:val="20"/>
              </w:rPr>
            </w:pPr>
            <w:r w:rsidRPr="00C8327F">
              <w:rPr>
                <w:sz w:val="20"/>
                <w:szCs w:val="20"/>
              </w:rPr>
              <w:t>Not very useful</w:t>
            </w:r>
          </w:p>
        </w:tc>
        <w:tc>
          <w:tcPr>
            <w:tcW w:w="663" w:type="dxa"/>
            <w:tcBorders>
              <w:left w:val="single" w:sz="4" w:space="0" w:color="0079C1"/>
            </w:tcBorders>
            <w:shd w:val="clear" w:color="auto" w:fill="auto"/>
            <w:vAlign w:val="center"/>
          </w:tcPr>
          <w:p w14:paraId="43496076" w14:textId="77777777" w:rsidR="00B43607" w:rsidRPr="00C8327F" w:rsidRDefault="00B43607" w:rsidP="001A0564">
            <w:pPr>
              <w:pStyle w:val="TableTextCentred"/>
              <w:rPr>
                <w:sz w:val="20"/>
                <w:szCs w:val="20"/>
              </w:rPr>
            </w:pPr>
            <w:r w:rsidRPr="00C8327F">
              <w:rPr>
                <w:sz w:val="20"/>
                <w:szCs w:val="20"/>
              </w:rPr>
              <w:t>7</w:t>
            </w:r>
          </w:p>
        </w:tc>
        <w:tc>
          <w:tcPr>
            <w:tcW w:w="896" w:type="dxa"/>
            <w:tcBorders>
              <w:right w:val="single" w:sz="4" w:space="0" w:color="0079C1"/>
            </w:tcBorders>
            <w:shd w:val="clear" w:color="auto" w:fill="auto"/>
            <w:vAlign w:val="center"/>
          </w:tcPr>
          <w:p w14:paraId="71066D59" w14:textId="77777777" w:rsidR="00B43607" w:rsidRPr="00C8327F" w:rsidRDefault="00B43607" w:rsidP="001A0564">
            <w:pPr>
              <w:pStyle w:val="TableTextCentred"/>
              <w:rPr>
                <w:sz w:val="20"/>
                <w:szCs w:val="20"/>
              </w:rPr>
            </w:pPr>
            <w:r w:rsidRPr="00C8327F">
              <w:rPr>
                <w:sz w:val="20"/>
                <w:szCs w:val="20"/>
              </w:rPr>
              <w:t>6.5%</w:t>
            </w:r>
          </w:p>
        </w:tc>
        <w:tc>
          <w:tcPr>
            <w:tcW w:w="664" w:type="dxa"/>
            <w:tcBorders>
              <w:left w:val="single" w:sz="4" w:space="0" w:color="0079C1"/>
            </w:tcBorders>
            <w:shd w:val="clear" w:color="auto" w:fill="auto"/>
            <w:vAlign w:val="center"/>
          </w:tcPr>
          <w:p w14:paraId="1E9DF169" w14:textId="77777777" w:rsidR="00B43607" w:rsidRPr="00C8327F" w:rsidRDefault="00B43607" w:rsidP="001A0564">
            <w:pPr>
              <w:pStyle w:val="TableTextCentred"/>
              <w:rPr>
                <w:sz w:val="20"/>
                <w:szCs w:val="20"/>
              </w:rPr>
            </w:pPr>
            <w:r w:rsidRPr="00C8327F">
              <w:rPr>
                <w:sz w:val="20"/>
                <w:szCs w:val="20"/>
              </w:rPr>
              <w:t>1</w:t>
            </w:r>
          </w:p>
        </w:tc>
        <w:tc>
          <w:tcPr>
            <w:tcW w:w="895" w:type="dxa"/>
            <w:tcBorders>
              <w:right w:val="single" w:sz="4" w:space="0" w:color="0079C1"/>
            </w:tcBorders>
            <w:shd w:val="clear" w:color="auto" w:fill="auto"/>
            <w:vAlign w:val="center"/>
          </w:tcPr>
          <w:p w14:paraId="2C430936" w14:textId="77777777" w:rsidR="00B43607" w:rsidRPr="00C8327F" w:rsidRDefault="00B43607" w:rsidP="001A0564">
            <w:pPr>
              <w:pStyle w:val="TableTextCentred"/>
              <w:rPr>
                <w:sz w:val="20"/>
                <w:szCs w:val="20"/>
              </w:rPr>
            </w:pPr>
            <w:r w:rsidRPr="00C8327F">
              <w:rPr>
                <w:sz w:val="20"/>
                <w:szCs w:val="20"/>
              </w:rPr>
              <w:t>5.3%</w:t>
            </w:r>
          </w:p>
        </w:tc>
        <w:tc>
          <w:tcPr>
            <w:tcW w:w="551" w:type="dxa"/>
            <w:tcBorders>
              <w:left w:val="single" w:sz="4" w:space="0" w:color="0079C1"/>
            </w:tcBorders>
            <w:shd w:val="clear" w:color="auto" w:fill="auto"/>
            <w:vAlign w:val="center"/>
          </w:tcPr>
          <w:p w14:paraId="22C51BB5" w14:textId="77777777" w:rsidR="00B43607" w:rsidRPr="00C8327F" w:rsidRDefault="00B43607" w:rsidP="001A0564">
            <w:pPr>
              <w:pStyle w:val="TableTextCentred"/>
              <w:rPr>
                <w:sz w:val="20"/>
                <w:szCs w:val="20"/>
              </w:rPr>
            </w:pPr>
            <w:r w:rsidRPr="00C8327F">
              <w:rPr>
                <w:sz w:val="20"/>
                <w:szCs w:val="20"/>
              </w:rPr>
              <w:t>4</w:t>
            </w:r>
          </w:p>
        </w:tc>
        <w:tc>
          <w:tcPr>
            <w:tcW w:w="1056" w:type="dxa"/>
            <w:tcBorders>
              <w:right w:val="single" w:sz="4" w:space="0" w:color="0079C1"/>
            </w:tcBorders>
            <w:shd w:val="clear" w:color="auto" w:fill="auto"/>
            <w:vAlign w:val="center"/>
          </w:tcPr>
          <w:p w14:paraId="7EC4C657" w14:textId="77777777" w:rsidR="00B43607" w:rsidRPr="00C8327F" w:rsidRDefault="00B43607" w:rsidP="001A0564">
            <w:pPr>
              <w:pStyle w:val="TableTextCentred"/>
              <w:rPr>
                <w:sz w:val="20"/>
                <w:szCs w:val="20"/>
              </w:rPr>
            </w:pPr>
            <w:r w:rsidRPr="00C8327F">
              <w:rPr>
                <w:sz w:val="20"/>
                <w:szCs w:val="20"/>
              </w:rPr>
              <w:t>5.5%</w:t>
            </w:r>
          </w:p>
        </w:tc>
        <w:tc>
          <w:tcPr>
            <w:tcW w:w="551" w:type="dxa"/>
            <w:tcBorders>
              <w:left w:val="single" w:sz="4" w:space="0" w:color="0079C1"/>
            </w:tcBorders>
            <w:shd w:val="clear" w:color="auto" w:fill="auto"/>
            <w:vAlign w:val="center"/>
          </w:tcPr>
          <w:p w14:paraId="5DFA04C5" w14:textId="77777777" w:rsidR="00B43607" w:rsidRPr="00C8327F" w:rsidRDefault="00B43607" w:rsidP="001A0564">
            <w:pPr>
              <w:pStyle w:val="TableTextCentred"/>
              <w:rPr>
                <w:sz w:val="20"/>
                <w:szCs w:val="20"/>
              </w:rPr>
            </w:pPr>
            <w:r w:rsidRPr="00C8327F">
              <w:rPr>
                <w:sz w:val="20"/>
                <w:szCs w:val="20"/>
              </w:rPr>
              <w:t>-</w:t>
            </w:r>
          </w:p>
        </w:tc>
        <w:tc>
          <w:tcPr>
            <w:tcW w:w="961" w:type="dxa"/>
            <w:tcBorders>
              <w:right w:val="single" w:sz="4" w:space="0" w:color="0079C1"/>
            </w:tcBorders>
            <w:shd w:val="clear" w:color="auto" w:fill="auto"/>
            <w:vAlign w:val="center"/>
          </w:tcPr>
          <w:p w14:paraId="5B95DB7F" w14:textId="77777777" w:rsidR="00B43607" w:rsidRPr="00C8327F" w:rsidRDefault="00B43607" w:rsidP="001A0564">
            <w:pPr>
              <w:pStyle w:val="TableTextCentred"/>
              <w:rPr>
                <w:sz w:val="20"/>
                <w:szCs w:val="20"/>
              </w:rPr>
            </w:pPr>
            <w:r w:rsidRPr="00C8327F">
              <w:rPr>
                <w:sz w:val="20"/>
                <w:szCs w:val="20"/>
              </w:rPr>
              <w:t>-</w:t>
            </w:r>
          </w:p>
        </w:tc>
        <w:tc>
          <w:tcPr>
            <w:tcW w:w="780" w:type="dxa"/>
            <w:tcBorders>
              <w:left w:val="single" w:sz="4" w:space="0" w:color="0079C1"/>
            </w:tcBorders>
            <w:shd w:val="clear" w:color="auto" w:fill="auto"/>
            <w:vAlign w:val="center"/>
          </w:tcPr>
          <w:p w14:paraId="1F12807D" w14:textId="77777777" w:rsidR="00B43607" w:rsidRPr="00C8327F" w:rsidRDefault="00B43607" w:rsidP="001A0564">
            <w:pPr>
              <w:pStyle w:val="TableTextCentred"/>
              <w:rPr>
                <w:b/>
                <w:bCs/>
                <w:sz w:val="20"/>
                <w:szCs w:val="20"/>
              </w:rPr>
            </w:pPr>
            <w:r w:rsidRPr="00C8327F">
              <w:rPr>
                <w:b/>
                <w:bCs/>
                <w:sz w:val="20"/>
                <w:szCs w:val="20"/>
              </w:rPr>
              <w:t>12</w:t>
            </w:r>
          </w:p>
        </w:tc>
        <w:tc>
          <w:tcPr>
            <w:tcW w:w="921" w:type="dxa"/>
            <w:shd w:val="clear" w:color="auto" w:fill="auto"/>
            <w:vAlign w:val="center"/>
          </w:tcPr>
          <w:p w14:paraId="23D7FDB9" w14:textId="77777777" w:rsidR="00B43607" w:rsidRPr="00C8327F" w:rsidRDefault="00B43607" w:rsidP="001A0564">
            <w:pPr>
              <w:pStyle w:val="TableTextCentred"/>
              <w:rPr>
                <w:b/>
                <w:bCs/>
                <w:sz w:val="20"/>
                <w:szCs w:val="20"/>
              </w:rPr>
            </w:pPr>
            <w:r w:rsidRPr="00C8327F">
              <w:rPr>
                <w:b/>
                <w:bCs/>
                <w:sz w:val="20"/>
                <w:szCs w:val="20"/>
              </w:rPr>
              <w:t>5.5%</w:t>
            </w:r>
          </w:p>
        </w:tc>
      </w:tr>
      <w:tr w:rsidR="00F54A64" w:rsidRPr="00C8327F" w14:paraId="085F7484" w14:textId="77777777" w:rsidTr="00C8327F">
        <w:tc>
          <w:tcPr>
            <w:tcW w:w="1553" w:type="dxa"/>
            <w:tcBorders>
              <w:right w:val="single" w:sz="4" w:space="0" w:color="0079C1"/>
            </w:tcBorders>
            <w:shd w:val="clear" w:color="auto" w:fill="auto"/>
            <w:vAlign w:val="center"/>
          </w:tcPr>
          <w:p w14:paraId="5A8F9A74" w14:textId="77777777" w:rsidR="00B43607" w:rsidRPr="00C8327F" w:rsidRDefault="00B43607" w:rsidP="003D536B">
            <w:pPr>
              <w:pStyle w:val="TableText"/>
              <w:rPr>
                <w:sz w:val="20"/>
                <w:szCs w:val="20"/>
              </w:rPr>
            </w:pPr>
            <w:r w:rsidRPr="00C8327F">
              <w:rPr>
                <w:sz w:val="20"/>
                <w:szCs w:val="20"/>
              </w:rPr>
              <w:t xml:space="preserve">Not at all useful </w:t>
            </w:r>
          </w:p>
        </w:tc>
        <w:tc>
          <w:tcPr>
            <w:tcW w:w="663" w:type="dxa"/>
            <w:tcBorders>
              <w:left w:val="single" w:sz="4" w:space="0" w:color="0079C1"/>
            </w:tcBorders>
            <w:shd w:val="clear" w:color="auto" w:fill="auto"/>
            <w:vAlign w:val="center"/>
          </w:tcPr>
          <w:p w14:paraId="5225462E" w14:textId="77777777" w:rsidR="00B43607" w:rsidRPr="00C8327F" w:rsidRDefault="00B43607" w:rsidP="001A0564">
            <w:pPr>
              <w:pStyle w:val="TableTextCentred"/>
              <w:rPr>
                <w:sz w:val="20"/>
                <w:szCs w:val="20"/>
              </w:rPr>
            </w:pPr>
            <w:r w:rsidRPr="00C8327F">
              <w:rPr>
                <w:sz w:val="20"/>
                <w:szCs w:val="20"/>
              </w:rPr>
              <w:t>5</w:t>
            </w:r>
          </w:p>
        </w:tc>
        <w:tc>
          <w:tcPr>
            <w:tcW w:w="896" w:type="dxa"/>
            <w:tcBorders>
              <w:right w:val="single" w:sz="4" w:space="0" w:color="0079C1"/>
            </w:tcBorders>
            <w:shd w:val="clear" w:color="auto" w:fill="auto"/>
            <w:vAlign w:val="center"/>
          </w:tcPr>
          <w:p w14:paraId="7B023E14" w14:textId="77777777" w:rsidR="00B43607" w:rsidRPr="00C8327F" w:rsidRDefault="00B43607" w:rsidP="001A0564">
            <w:pPr>
              <w:pStyle w:val="TableTextCentred"/>
              <w:rPr>
                <w:sz w:val="20"/>
                <w:szCs w:val="20"/>
              </w:rPr>
            </w:pPr>
            <w:r w:rsidRPr="00C8327F">
              <w:rPr>
                <w:sz w:val="20"/>
                <w:szCs w:val="20"/>
              </w:rPr>
              <w:t>4.6%</w:t>
            </w:r>
          </w:p>
        </w:tc>
        <w:tc>
          <w:tcPr>
            <w:tcW w:w="664" w:type="dxa"/>
            <w:tcBorders>
              <w:left w:val="single" w:sz="4" w:space="0" w:color="0079C1"/>
            </w:tcBorders>
            <w:shd w:val="clear" w:color="auto" w:fill="auto"/>
            <w:vAlign w:val="center"/>
          </w:tcPr>
          <w:p w14:paraId="201490A2" w14:textId="77777777" w:rsidR="00B43607" w:rsidRPr="00C8327F" w:rsidRDefault="00B43607" w:rsidP="001A0564">
            <w:pPr>
              <w:pStyle w:val="TableTextCentred"/>
              <w:rPr>
                <w:sz w:val="20"/>
                <w:szCs w:val="20"/>
              </w:rPr>
            </w:pPr>
            <w:r w:rsidRPr="00C8327F">
              <w:rPr>
                <w:sz w:val="20"/>
                <w:szCs w:val="20"/>
              </w:rPr>
              <w:t>2</w:t>
            </w:r>
          </w:p>
        </w:tc>
        <w:tc>
          <w:tcPr>
            <w:tcW w:w="895" w:type="dxa"/>
            <w:tcBorders>
              <w:right w:val="single" w:sz="4" w:space="0" w:color="0079C1"/>
            </w:tcBorders>
            <w:shd w:val="clear" w:color="auto" w:fill="auto"/>
            <w:vAlign w:val="center"/>
          </w:tcPr>
          <w:p w14:paraId="4FFD6AFF" w14:textId="77777777" w:rsidR="00B43607" w:rsidRPr="00C8327F" w:rsidRDefault="00B43607" w:rsidP="001A0564">
            <w:pPr>
              <w:pStyle w:val="TableTextCentred"/>
              <w:rPr>
                <w:sz w:val="20"/>
                <w:szCs w:val="20"/>
              </w:rPr>
            </w:pPr>
            <w:r w:rsidRPr="00C8327F">
              <w:rPr>
                <w:sz w:val="20"/>
                <w:szCs w:val="20"/>
              </w:rPr>
              <w:t>10.5%</w:t>
            </w:r>
          </w:p>
        </w:tc>
        <w:tc>
          <w:tcPr>
            <w:tcW w:w="551" w:type="dxa"/>
            <w:tcBorders>
              <w:left w:val="single" w:sz="4" w:space="0" w:color="0079C1"/>
            </w:tcBorders>
            <w:shd w:val="clear" w:color="auto" w:fill="auto"/>
            <w:vAlign w:val="center"/>
          </w:tcPr>
          <w:p w14:paraId="47FE91CD" w14:textId="77777777" w:rsidR="00B43607" w:rsidRPr="00C8327F" w:rsidRDefault="00B43607" w:rsidP="001A0564">
            <w:pPr>
              <w:pStyle w:val="TableTextCentred"/>
              <w:rPr>
                <w:sz w:val="20"/>
                <w:szCs w:val="20"/>
              </w:rPr>
            </w:pPr>
            <w:r w:rsidRPr="00C8327F">
              <w:rPr>
                <w:sz w:val="20"/>
                <w:szCs w:val="20"/>
              </w:rPr>
              <w:t>2</w:t>
            </w:r>
          </w:p>
        </w:tc>
        <w:tc>
          <w:tcPr>
            <w:tcW w:w="1056" w:type="dxa"/>
            <w:tcBorders>
              <w:right w:val="single" w:sz="4" w:space="0" w:color="0079C1"/>
            </w:tcBorders>
            <w:shd w:val="clear" w:color="auto" w:fill="auto"/>
            <w:vAlign w:val="center"/>
          </w:tcPr>
          <w:p w14:paraId="0C2C4529" w14:textId="77777777" w:rsidR="00B43607" w:rsidRPr="00C8327F" w:rsidRDefault="00B43607" w:rsidP="001A0564">
            <w:pPr>
              <w:pStyle w:val="TableTextCentred"/>
              <w:rPr>
                <w:sz w:val="20"/>
                <w:szCs w:val="20"/>
              </w:rPr>
            </w:pPr>
            <w:r w:rsidRPr="00C8327F">
              <w:rPr>
                <w:sz w:val="20"/>
                <w:szCs w:val="20"/>
              </w:rPr>
              <w:t>2.7%</w:t>
            </w:r>
          </w:p>
        </w:tc>
        <w:tc>
          <w:tcPr>
            <w:tcW w:w="551" w:type="dxa"/>
            <w:tcBorders>
              <w:left w:val="single" w:sz="4" w:space="0" w:color="0079C1"/>
            </w:tcBorders>
            <w:shd w:val="clear" w:color="auto" w:fill="auto"/>
            <w:vAlign w:val="center"/>
          </w:tcPr>
          <w:p w14:paraId="1965E7A6" w14:textId="77777777" w:rsidR="00B43607" w:rsidRPr="00C8327F" w:rsidRDefault="00B43607" w:rsidP="001A0564">
            <w:pPr>
              <w:pStyle w:val="TableTextCentred"/>
              <w:rPr>
                <w:sz w:val="20"/>
                <w:szCs w:val="20"/>
              </w:rPr>
            </w:pPr>
            <w:r w:rsidRPr="00C8327F">
              <w:rPr>
                <w:sz w:val="20"/>
                <w:szCs w:val="20"/>
              </w:rPr>
              <w:t>-</w:t>
            </w:r>
          </w:p>
        </w:tc>
        <w:tc>
          <w:tcPr>
            <w:tcW w:w="961" w:type="dxa"/>
            <w:tcBorders>
              <w:right w:val="single" w:sz="4" w:space="0" w:color="0079C1"/>
            </w:tcBorders>
            <w:shd w:val="clear" w:color="auto" w:fill="auto"/>
            <w:vAlign w:val="center"/>
          </w:tcPr>
          <w:p w14:paraId="75749628" w14:textId="77777777" w:rsidR="00B43607" w:rsidRPr="00C8327F" w:rsidRDefault="00B43607" w:rsidP="001A0564">
            <w:pPr>
              <w:pStyle w:val="TableTextCentred"/>
              <w:rPr>
                <w:sz w:val="20"/>
                <w:szCs w:val="20"/>
              </w:rPr>
            </w:pPr>
            <w:r w:rsidRPr="00C8327F">
              <w:rPr>
                <w:sz w:val="20"/>
                <w:szCs w:val="20"/>
              </w:rPr>
              <w:t>-</w:t>
            </w:r>
          </w:p>
        </w:tc>
        <w:tc>
          <w:tcPr>
            <w:tcW w:w="780" w:type="dxa"/>
            <w:tcBorders>
              <w:left w:val="single" w:sz="4" w:space="0" w:color="0079C1"/>
            </w:tcBorders>
            <w:shd w:val="clear" w:color="auto" w:fill="auto"/>
            <w:vAlign w:val="center"/>
          </w:tcPr>
          <w:p w14:paraId="14B167FB" w14:textId="77777777" w:rsidR="00B43607" w:rsidRPr="00C8327F" w:rsidRDefault="00B43607" w:rsidP="001A0564">
            <w:pPr>
              <w:pStyle w:val="TableTextCentred"/>
              <w:rPr>
                <w:b/>
                <w:bCs/>
                <w:sz w:val="20"/>
                <w:szCs w:val="20"/>
              </w:rPr>
            </w:pPr>
            <w:r w:rsidRPr="00C8327F">
              <w:rPr>
                <w:b/>
                <w:bCs/>
                <w:sz w:val="20"/>
                <w:szCs w:val="20"/>
              </w:rPr>
              <w:t>9</w:t>
            </w:r>
          </w:p>
        </w:tc>
        <w:tc>
          <w:tcPr>
            <w:tcW w:w="921" w:type="dxa"/>
            <w:shd w:val="clear" w:color="auto" w:fill="auto"/>
            <w:vAlign w:val="center"/>
          </w:tcPr>
          <w:p w14:paraId="74EECDF0" w14:textId="77777777" w:rsidR="00B43607" w:rsidRPr="00C8327F" w:rsidRDefault="00B43607" w:rsidP="001A0564">
            <w:pPr>
              <w:pStyle w:val="TableTextCentred"/>
              <w:rPr>
                <w:b/>
                <w:bCs/>
                <w:sz w:val="20"/>
                <w:szCs w:val="20"/>
              </w:rPr>
            </w:pPr>
            <w:r w:rsidRPr="00C8327F">
              <w:rPr>
                <w:b/>
                <w:bCs/>
                <w:sz w:val="20"/>
                <w:szCs w:val="20"/>
              </w:rPr>
              <w:t>4.1%</w:t>
            </w:r>
          </w:p>
        </w:tc>
      </w:tr>
      <w:tr w:rsidR="00F54A64" w:rsidRPr="00C8327F" w14:paraId="4ECA54DE" w14:textId="77777777" w:rsidTr="00C8327F">
        <w:tc>
          <w:tcPr>
            <w:tcW w:w="1553" w:type="dxa"/>
            <w:tcBorders>
              <w:bottom w:val="single" w:sz="4" w:space="0" w:color="0079C1" w:themeColor="text2"/>
              <w:right w:val="single" w:sz="4" w:space="0" w:color="0079C1"/>
            </w:tcBorders>
            <w:shd w:val="clear" w:color="auto" w:fill="auto"/>
            <w:vAlign w:val="center"/>
          </w:tcPr>
          <w:p w14:paraId="51059709" w14:textId="723FEA59" w:rsidR="00B43607" w:rsidRPr="00C8327F" w:rsidRDefault="00B43607" w:rsidP="003D536B">
            <w:pPr>
              <w:pStyle w:val="TableText"/>
              <w:rPr>
                <w:sz w:val="20"/>
                <w:szCs w:val="20"/>
              </w:rPr>
            </w:pPr>
            <w:r w:rsidRPr="00C8327F">
              <w:rPr>
                <w:sz w:val="20"/>
                <w:szCs w:val="20"/>
              </w:rPr>
              <w:t>Not stated</w:t>
            </w:r>
            <w:r w:rsidR="004E6892" w:rsidRPr="00C8327F">
              <w:rPr>
                <w:sz w:val="20"/>
                <w:szCs w:val="20"/>
              </w:rPr>
              <w:t>/</w:t>
            </w:r>
            <w:r w:rsidR="001A0564" w:rsidRPr="00C8327F">
              <w:rPr>
                <w:rFonts w:asciiTheme="minorHAnsi" w:hAnsiTheme="minorHAnsi"/>
                <w:sz w:val="20"/>
                <w:szCs w:val="20"/>
              </w:rPr>
              <w:t xml:space="preserve"> not applicable </w:t>
            </w:r>
          </w:p>
        </w:tc>
        <w:tc>
          <w:tcPr>
            <w:tcW w:w="663" w:type="dxa"/>
            <w:tcBorders>
              <w:left w:val="single" w:sz="4" w:space="0" w:color="0079C1"/>
              <w:bottom w:val="single" w:sz="4" w:space="0" w:color="0079C1" w:themeColor="text2"/>
            </w:tcBorders>
            <w:shd w:val="clear" w:color="auto" w:fill="auto"/>
            <w:vAlign w:val="center"/>
          </w:tcPr>
          <w:p w14:paraId="5E801F1E" w14:textId="77777777" w:rsidR="00B43607" w:rsidRPr="00C8327F" w:rsidRDefault="00B43607" w:rsidP="001A0564">
            <w:pPr>
              <w:pStyle w:val="TableTextCentred"/>
              <w:rPr>
                <w:sz w:val="20"/>
                <w:szCs w:val="20"/>
              </w:rPr>
            </w:pPr>
            <w:r w:rsidRPr="00C8327F">
              <w:rPr>
                <w:sz w:val="20"/>
                <w:szCs w:val="20"/>
              </w:rPr>
              <w:t>28</w:t>
            </w:r>
          </w:p>
        </w:tc>
        <w:tc>
          <w:tcPr>
            <w:tcW w:w="896" w:type="dxa"/>
            <w:tcBorders>
              <w:bottom w:val="single" w:sz="4" w:space="0" w:color="0079C1" w:themeColor="text2"/>
              <w:right w:val="single" w:sz="4" w:space="0" w:color="0079C1"/>
            </w:tcBorders>
            <w:shd w:val="clear" w:color="auto" w:fill="auto"/>
            <w:vAlign w:val="center"/>
          </w:tcPr>
          <w:p w14:paraId="74369C7C" w14:textId="77777777" w:rsidR="00B43607" w:rsidRPr="00C8327F" w:rsidRDefault="00B43607" w:rsidP="001A0564">
            <w:pPr>
              <w:pStyle w:val="TableTextCentred"/>
              <w:rPr>
                <w:sz w:val="20"/>
                <w:szCs w:val="20"/>
              </w:rPr>
            </w:pPr>
            <w:r w:rsidRPr="00C8327F">
              <w:rPr>
                <w:sz w:val="20"/>
                <w:szCs w:val="20"/>
              </w:rPr>
              <w:t>25.9%</w:t>
            </w:r>
          </w:p>
        </w:tc>
        <w:tc>
          <w:tcPr>
            <w:tcW w:w="664" w:type="dxa"/>
            <w:tcBorders>
              <w:left w:val="single" w:sz="4" w:space="0" w:color="0079C1"/>
              <w:bottom w:val="single" w:sz="4" w:space="0" w:color="0079C1" w:themeColor="text2"/>
            </w:tcBorders>
            <w:shd w:val="clear" w:color="auto" w:fill="auto"/>
            <w:vAlign w:val="center"/>
          </w:tcPr>
          <w:p w14:paraId="6E1E3209" w14:textId="77777777" w:rsidR="00B43607" w:rsidRPr="00C8327F" w:rsidRDefault="00B43607" w:rsidP="001A0564">
            <w:pPr>
              <w:pStyle w:val="TableTextCentred"/>
              <w:rPr>
                <w:sz w:val="20"/>
                <w:szCs w:val="20"/>
              </w:rPr>
            </w:pPr>
            <w:r w:rsidRPr="00C8327F">
              <w:rPr>
                <w:sz w:val="20"/>
                <w:szCs w:val="20"/>
              </w:rPr>
              <w:t>11</w:t>
            </w:r>
          </w:p>
        </w:tc>
        <w:tc>
          <w:tcPr>
            <w:tcW w:w="895" w:type="dxa"/>
            <w:tcBorders>
              <w:bottom w:val="single" w:sz="4" w:space="0" w:color="0079C1" w:themeColor="text2"/>
              <w:right w:val="single" w:sz="4" w:space="0" w:color="0079C1"/>
            </w:tcBorders>
            <w:shd w:val="clear" w:color="auto" w:fill="auto"/>
            <w:vAlign w:val="center"/>
          </w:tcPr>
          <w:p w14:paraId="1772802E" w14:textId="77777777" w:rsidR="00B43607" w:rsidRPr="00C8327F" w:rsidRDefault="00B43607" w:rsidP="001A0564">
            <w:pPr>
              <w:pStyle w:val="TableTextCentred"/>
              <w:rPr>
                <w:sz w:val="20"/>
                <w:szCs w:val="20"/>
              </w:rPr>
            </w:pPr>
            <w:r w:rsidRPr="00C8327F">
              <w:rPr>
                <w:sz w:val="20"/>
                <w:szCs w:val="20"/>
              </w:rPr>
              <w:t>57.9%</w:t>
            </w:r>
          </w:p>
        </w:tc>
        <w:tc>
          <w:tcPr>
            <w:tcW w:w="551" w:type="dxa"/>
            <w:tcBorders>
              <w:left w:val="single" w:sz="4" w:space="0" w:color="0079C1"/>
              <w:bottom w:val="single" w:sz="4" w:space="0" w:color="0079C1" w:themeColor="text2"/>
            </w:tcBorders>
            <w:shd w:val="clear" w:color="auto" w:fill="auto"/>
            <w:vAlign w:val="center"/>
          </w:tcPr>
          <w:p w14:paraId="1EAC1066" w14:textId="77777777" w:rsidR="00B43607" w:rsidRPr="00C8327F" w:rsidRDefault="00B43607" w:rsidP="001A0564">
            <w:pPr>
              <w:pStyle w:val="TableTextCentred"/>
              <w:rPr>
                <w:sz w:val="20"/>
                <w:szCs w:val="20"/>
              </w:rPr>
            </w:pPr>
            <w:r w:rsidRPr="00C8327F">
              <w:rPr>
                <w:sz w:val="20"/>
                <w:szCs w:val="20"/>
              </w:rPr>
              <w:t>47</w:t>
            </w:r>
          </w:p>
        </w:tc>
        <w:tc>
          <w:tcPr>
            <w:tcW w:w="1056" w:type="dxa"/>
            <w:tcBorders>
              <w:bottom w:val="single" w:sz="4" w:space="0" w:color="0079C1" w:themeColor="text2"/>
              <w:right w:val="single" w:sz="4" w:space="0" w:color="0079C1"/>
            </w:tcBorders>
            <w:shd w:val="clear" w:color="auto" w:fill="auto"/>
            <w:vAlign w:val="center"/>
          </w:tcPr>
          <w:p w14:paraId="49FDC88F" w14:textId="77777777" w:rsidR="00B43607" w:rsidRPr="00C8327F" w:rsidRDefault="00B43607" w:rsidP="001A0564">
            <w:pPr>
              <w:pStyle w:val="TableTextCentred"/>
              <w:rPr>
                <w:sz w:val="20"/>
                <w:szCs w:val="20"/>
              </w:rPr>
            </w:pPr>
            <w:r w:rsidRPr="00C8327F">
              <w:rPr>
                <w:sz w:val="20"/>
                <w:szCs w:val="20"/>
              </w:rPr>
              <w:t>64.4%</w:t>
            </w:r>
          </w:p>
        </w:tc>
        <w:tc>
          <w:tcPr>
            <w:tcW w:w="551" w:type="dxa"/>
            <w:tcBorders>
              <w:left w:val="single" w:sz="4" w:space="0" w:color="0079C1"/>
              <w:bottom w:val="single" w:sz="4" w:space="0" w:color="0079C1" w:themeColor="text2"/>
            </w:tcBorders>
            <w:shd w:val="clear" w:color="auto" w:fill="auto"/>
            <w:vAlign w:val="center"/>
          </w:tcPr>
          <w:p w14:paraId="2803F5EF" w14:textId="77777777" w:rsidR="00B43607" w:rsidRPr="00C8327F" w:rsidRDefault="00B43607" w:rsidP="001A0564">
            <w:pPr>
              <w:pStyle w:val="TableTextCentred"/>
              <w:rPr>
                <w:sz w:val="20"/>
                <w:szCs w:val="20"/>
              </w:rPr>
            </w:pPr>
            <w:r w:rsidRPr="00C8327F">
              <w:rPr>
                <w:sz w:val="20"/>
                <w:szCs w:val="20"/>
              </w:rPr>
              <w:t>5</w:t>
            </w:r>
          </w:p>
        </w:tc>
        <w:tc>
          <w:tcPr>
            <w:tcW w:w="961" w:type="dxa"/>
            <w:tcBorders>
              <w:bottom w:val="single" w:sz="4" w:space="0" w:color="0079C1" w:themeColor="text2"/>
              <w:right w:val="single" w:sz="4" w:space="0" w:color="0079C1"/>
            </w:tcBorders>
            <w:shd w:val="clear" w:color="auto" w:fill="auto"/>
            <w:vAlign w:val="center"/>
          </w:tcPr>
          <w:p w14:paraId="3AFE9F73" w14:textId="77777777" w:rsidR="00B43607" w:rsidRPr="00C8327F" w:rsidRDefault="00B43607" w:rsidP="001A0564">
            <w:pPr>
              <w:pStyle w:val="TableTextCentred"/>
              <w:rPr>
                <w:sz w:val="20"/>
                <w:szCs w:val="20"/>
              </w:rPr>
            </w:pPr>
            <w:r w:rsidRPr="00C8327F">
              <w:rPr>
                <w:sz w:val="20"/>
                <w:szCs w:val="20"/>
              </w:rPr>
              <w:t>25.0%</w:t>
            </w:r>
          </w:p>
        </w:tc>
        <w:tc>
          <w:tcPr>
            <w:tcW w:w="780" w:type="dxa"/>
            <w:tcBorders>
              <w:left w:val="single" w:sz="4" w:space="0" w:color="0079C1"/>
              <w:bottom w:val="single" w:sz="4" w:space="0" w:color="0079C1" w:themeColor="text2"/>
            </w:tcBorders>
            <w:shd w:val="clear" w:color="auto" w:fill="auto"/>
            <w:vAlign w:val="center"/>
          </w:tcPr>
          <w:p w14:paraId="5537DF82" w14:textId="77777777" w:rsidR="00B43607" w:rsidRPr="00C8327F" w:rsidRDefault="00B43607" w:rsidP="001A0564">
            <w:pPr>
              <w:pStyle w:val="TableTextCentred"/>
              <w:rPr>
                <w:b/>
                <w:bCs/>
                <w:sz w:val="20"/>
                <w:szCs w:val="20"/>
              </w:rPr>
            </w:pPr>
            <w:r w:rsidRPr="00C8327F">
              <w:rPr>
                <w:b/>
                <w:bCs/>
                <w:sz w:val="20"/>
                <w:szCs w:val="20"/>
              </w:rPr>
              <w:t>91</w:t>
            </w:r>
          </w:p>
        </w:tc>
        <w:tc>
          <w:tcPr>
            <w:tcW w:w="921" w:type="dxa"/>
            <w:tcBorders>
              <w:bottom w:val="single" w:sz="4" w:space="0" w:color="0079C1" w:themeColor="text2"/>
            </w:tcBorders>
            <w:shd w:val="clear" w:color="auto" w:fill="auto"/>
            <w:vAlign w:val="center"/>
          </w:tcPr>
          <w:p w14:paraId="5B866B2C" w14:textId="77777777" w:rsidR="00B43607" w:rsidRPr="00C8327F" w:rsidRDefault="00B43607" w:rsidP="001A0564">
            <w:pPr>
              <w:pStyle w:val="TableTextCentred"/>
              <w:rPr>
                <w:b/>
                <w:bCs/>
                <w:sz w:val="20"/>
                <w:szCs w:val="20"/>
              </w:rPr>
            </w:pPr>
            <w:r w:rsidRPr="00C8327F">
              <w:rPr>
                <w:b/>
                <w:bCs/>
                <w:sz w:val="20"/>
                <w:szCs w:val="20"/>
              </w:rPr>
              <w:t>41.36%</w:t>
            </w:r>
          </w:p>
        </w:tc>
      </w:tr>
      <w:tr w:rsidR="00F54A64" w:rsidRPr="00C8327F" w14:paraId="14DBE830" w14:textId="77777777" w:rsidTr="00C8327F">
        <w:tc>
          <w:tcPr>
            <w:tcW w:w="1553"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4326B957" w14:textId="77777777" w:rsidR="00B43607" w:rsidRPr="00C8327F" w:rsidRDefault="00B43607" w:rsidP="003D536B">
            <w:pPr>
              <w:pStyle w:val="TableText"/>
              <w:rPr>
                <w:b/>
                <w:bCs/>
                <w:sz w:val="20"/>
                <w:szCs w:val="20"/>
              </w:rPr>
            </w:pPr>
            <w:r w:rsidRPr="00C8327F">
              <w:rPr>
                <w:b/>
                <w:bCs/>
                <w:sz w:val="20"/>
                <w:szCs w:val="20"/>
              </w:rPr>
              <w:t xml:space="preserve">Total </w:t>
            </w:r>
          </w:p>
        </w:tc>
        <w:tc>
          <w:tcPr>
            <w:tcW w:w="663"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3FA11FA3" w14:textId="77777777" w:rsidR="00B43607" w:rsidRPr="00C8327F" w:rsidRDefault="00B43607" w:rsidP="003D536B">
            <w:pPr>
              <w:pStyle w:val="TableTextCentred"/>
              <w:rPr>
                <w:b/>
                <w:bCs/>
                <w:sz w:val="20"/>
                <w:szCs w:val="20"/>
              </w:rPr>
            </w:pPr>
            <w:r w:rsidRPr="00C8327F">
              <w:rPr>
                <w:b/>
                <w:bCs/>
                <w:sz w:val="20"/>
                <w:szCs w:val="20"/>
              </w:rPr>
              <w:t>108</w:t>
            </w:r>
          </w:p>
        </w:tc>
        <w:tc>
          <w:tcPr>
            <w:tcW w:w="896"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234792AC" w14:textId="77777777" w:rsidR="00B43607" w:rsidRPr="00C8327F" w:rsidRDefault="00B43607" w:rsidP="003D536B">
            <w:pPr>
              <w:pStyle w:val="TableTextCentred"/>
              <w:rPr>
                <w:b/>
                <w:bCs/>
                <w:sz w:val="20"/>
                <w:szCs w:val="20"/>
              </w:rPr>
            </w:pPr>
            <w:r w:rsidRPr="00C8327F">
              <w:rPr>
                <w:b/>
                <w:bCs/>
                <w:sz w:val="20"/>
                <w:szCs w:val="20"/>
              </w:rPr>
              <w:t>100.0%</w:t>
            </w:r>
          </w:p>
        </w:tc>
        <w:tc>
          <w:tcPr>
            <w:tcW w:w="664"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0BD29DE4" w14:textId="77777777" w:rsidR="00B43607" w:rsidRPr="00C8327F" w:rsidRDefault="00B43607" w:rsidP="003D536B">
            <w:pPr>
              <w:pStyle w:val="TableTextCentred"/>
              <w:rPr>
                <w:b/>
                <w:bCs/>
                <w:sz w:val="20"/>
                <w:szCs w:val="20"/>
              </w:rPr>
            </w:pPr>
            <w:r w:rsidRPr="00C8327F">
              <w:rPr>
                <w:b/>
                <w:bCs/>
                <w:sz w:val="20"/>
                <w:szCs w:val="20"/>
              </w:rPr>
              <w:t>19</w:t>
            </w:r>
          </w:p>
        </w:tc>
        <w:tc>
          <w:tcPr>
            <w:tcW w:w="895"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29FFD94B" w14:textId="77777777" w:rsidR="00B43607" w:rsidRPr="00C8327F" w:rsidRDefault="00B43607" w:rsidP="003D536B">
            <w:pPr>
              <w:pStyle w:val="TableTextCentred"/>
              <w:rPr>
                <w:b/>
                <w:bCs/>
                <w:sz w:val="20"/>
                <w:szCs w:val="20"/>
              </w:rPr>
            </w:pPr>
            <w:r w:rsidRPr="00C8327F">
              <w:rPr>
                <w:b/>
                <w:bCs/>
                <w:sz w:val="20"/>
                <w:szCs w:val="20"/>
              </w:rPr>
              <w:t>100.0%</w:t>
            </w:r>
          </w:p>
        </w:tc>
        <w:tc>
          <w:tcPr>
            <w:tcW w:w="551"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573FE531" w14:textId="77777777" w:rsidR="00B43607" w:rsidRPr="00C8327F" w:rsidRDefault="00B43607" w:rsidP="003D536B">
            <w:pPr>
              <w:pStyle w:val="TableTextCentred"/>
              <w:rPr>
                <w:b/>
                <w:bCs/>
                <w:sz w:val="20"/>
                <w:szCs w:val="20"/>
              </w:rPr>
            </w:pPr>
            <w:r w:rsidRPr="00C8327F">
              <w:rPr>
                <w:b/>
                <w:bCs/>
                <w:sz w:val="20"/>
                <w:szCs w:val="20"/>
              </w:rPr>
              <w:t>73</w:t>
            </w:r>
          </w:p>
        </w:tc>
        <w:tc>
          <w:tcPr>
            <w:tcW w:w="1056"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49486590" w14:textId="77777777" w:rsidR="00B43607" w:rsidRPr="00C8327F" w:rsidRDefault="00B43607" w:rsidP="003D536B">
            <w:pPr>
              <w:pStyle w:val="TableTextCentred"/>
              <w:rPr>
                <w:b/>
                <w:bCs/>
                <w:sz w:val="20"/>
                <w:szCs w:val="20"/>
              </w:rPr>
            </w:pPr>
            <w:r w:rsidRPr="00C8327F">
              <w:rPr>
                <w:b/>
                <w:bCs/>
                <w:sz w:val="20"/>
                <w:szCs w:val="20"/>
              </w:rPr>
              <w:t>100.0%</w:t>
            </w:r>
          </w:p>
        </w:tc>
        <w:tc>
          <w:tcPr>
            <w:tcW w:w="551"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796D1A34" w14:textId="77777777" w:rsidR="00B43607" w:rsidRPr="00C8327F" w:rsidRDefault="00B43607" w:rsidP="003D536B">
            <w:pPr>
              <w:pStyle w:val="TableTextCentred"/>
              <w:rPr>
                <w:b/>
                <w:bCs/>
                <w:sz w:val="20"/>
                <w:szCs w:val="20"/>
              </w:rPr>
            </w:pPr>
            <w:r w:rsidRPr="00C8327F">
              <w:rPr>
                <w:b/>
                <w:bCs/>
                <w:sz w:val="20"/>
                <w:szCs w:val="20"/>
              </w:rPr>
              <w:t>20</w:t>
            </w:r>
          </w:p>
        </w:tc>
        <w:tc>
          <w:tcPr>
            <w:tcW w:w="961"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69933560" w14:textId="77777777" w:rsidR="00B43607" w:rsidRPr="00C8327F" w:rsidRDefault="00B43607" w:rsidP="003D536B">
            <w:pPr>
              <w:pStyle w:val="TableTextCentred"/>
              <w:rPr>
                <w:b/>
                <w:bCs/>
                <w:sz w:val="20"/>
                <w:szCs w:val="20"/>
              </w:rPr>
            </w:pPr>
            <w:r w:rsidRPr="00C8327F">
              <w:rPr>
                <w:b/>
                <w:bCs/>
                <w:sz w:val="20"/>
                <w:szCs w:val="20"/>
              </w:rPr>
              <w:t>100.0%</w:t>
            </w:r>
          </w:p>
        </w:tc>
        <w:tc>
          <w:tcPr>
            <w:tcW w:w="780"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4F7380B6" w14:textId="77777777" w:rsidR="00B43607" w:rsidRPr="00C8327F" w:rsidRDefault="00B43607" w:rsidP="003D536B">
            <w:pPr>
              <w:pStyle w:val="TableTextCentred"/>
              <w:rPr>
                <w:b/>
                <w:bCs/>
                <w:sz w:val="20"/>
                <w:szCs w:val="20"/>
              </w:rPr>
            </w:pPr>
            <w:r w:rsidRPr="00C8327F">
              <w:rPr>
                <w:b/>
                <w:bCs/>
                <w:sz w:val="20"/>
                <w:szCs w:val="20"/>
              </w:rPr>
              <w:t>220</w:t>
            </w:r>
          </w:p>
        </w:tc>
        <w:tc>
          <w:tcPr>
            <w:tcW w:w="921" w:type="dxa"/>
            <w:tcBorders>
              <w:top w:val="single" w:sz="4" w:space="0" w:color="0079C1" w:themeColor="text2"/>
              <w:bottom w:val="single" w:sz="4" w:space="0" w:color="0079C1" w:themeColor="text2"/>
            </w:tcBorders>
            <w:shd w:val="clear" w:color="auto" w:fill="E2F4FF" w:themeFill="accent1" w:themeFillTint="33"/>
            <w:vAlign w:val="center"/>
          </w:tcPr>
          <w:p w14:paraId="1D1DA1FB" w14:textId="77777777" w:rsidR="00B43607" w:rsidRPr="00C8327F" w:rsidRDefault="00B43607" w:rsidP="003D536B">
            <w:pPr>
              <w:pStyle w:val="TableTextCentred"/>
              <w:rPr>
                <w:b/>
                <w:bCs/>
                <w:sz w:val="20"/>
                <w:szCs w:val="20"/>
              </w:rPr>
            </w:pPr>
            <w:r w:rsidRPr="00C8327F">
              <w:rPr>
                <w:b/>
                <w:bCs/>
                <w:sz w:val="20"/>
                <w:szCs w:val="20"/>
              </w:rPr>
              <w:t>100.0%</w:t>
            </w:r>
          </w:p>
        </w:tc>
      </w:tr>
    </w:tbl>
    <w:p w14:paraId="22612999" w14:textId="04858949" w:rsidR="00DA1F29" w:rsidRDefault="00DA1F29" w:rsidP="00393CB6">
      <w:pPr>
        <w:pStyle w:val="Paragraph"/>
        <w:rPr>
          <w:rStyle w:val="IntenseEmphasis"/>
        </w:rPr>
      </w:pPr>
      <w:r w:rsidRPr="00DA1F29">
        <w:rPr>
          <w:rStyle w:val="IntenseEmphasis"/>
        </w:rPr>
        <w:t>Adult adoptees</w:t>
      </w:r>
    </w:p>
    <w:p w14:paraId="11F05990" w14:textId="2E748B0D" w:rsidR="00DA1F29" w:rsidRPr="00DA1F29" w:rsidRDefault="00DA1F29" w:rsidP="00DA1F29">
      <w:pPr>
        <w:pStyle w:val="Paragraph"/>
      </w:pPr>
      <w:r w:rsidRPr="00DA1F29">
        <w:t xml:space="preserve">Two </w:t>
      </w:r>
      <w:r>
        <w:t>adult adoptees who completed the survey indicated that they had used the IAA website.  In both cases, the respondents were seeking information on post-adoption services.  Again, both respondents were polarised in their assessment of the usefulness of the web information provided</w:t>
      </w:r>
      <w:r w:rsidR="00AF7660">
        <w:t>, with responses ranging from ‘very useful’ to ‘not at all useful’.</w:t>
      </w:r>
    </w:p>
    <w:p w14:paraId="2390054C" w14:textId="77777777" w:rsidR="00B43607" w:rsidRPr="00393CB6" w:rsidRDefault="00B43607" w:rsidP="008B34B3">
      <w:pPr>
        <w:pStyle w:val="Heading4"/>
      </w:pPr>
      <w:r w:rsidRPr="00393CB6">
        <w:t>Use of the online enquiry form</w:t>
      </w:r>
    </w:p>
    <w:p w14:paraId="6727FB6A" w14:textId="3DFC45C3" w:rsidR="00B43607" w:rsidRPr="00B43607" w:rsidRDefault="009B42CA" w:rsidP="008B34B3">
      <w:pPr>
        <w:pStyle w:val="Paragraph"/>
        <w:rPr>
          <w:lang w:eastAsia="en-AU"/>
        </w:rPr>
      </w:pPr>
      <w:bookmarkStart w:id="119" w:name="_Hlk489962138"/>
      <w:r>
        <w:rPr>
          <w:lang w:eastAsia="en-AU"/>
        </w:rPr>
        <w:t>A total of 6</w:t>
      </w:r>
      <w:r w:rsidR="0045462C">
        <w:rPr>
          <w:lang w:eastAsia="en-AU"/>
        </w:rPr>
        <w:t>5</w:t>
      </w:r>
      <w:r w:rsidR="00716CEC">
        <w:rPr>
          <w:lang w:eastAsia="en-AU"/>
        </w:rPr>
        <w:t xml:space="preserve"> of the 220 </w:t>
      </w:r>
      <w:r w:rsidR="00B43607" w:rsidRPr="00B43607">
        <w:rPr>
          <w:lang w:eastAsia="en-AU"/>
        </w:rPr>
        <w:t>parental respondents</w:t>
      </w:r>
      <w:r w:rsidR="00716CEC">
        <w:rPr>
          <w:lang w:eastAsia="en-AU"/>
        </w:rPr>
        <w:t xml:space="preserve"> (</w:t>
      </w:r>
      <w:bookmarkStart w:id="120" w:name="_Hlk489958618"/>
      <w:r w:rsidR="0045462C">
        <w:rPr>
          <w:lang w:eastAsia="en-AU"/>
        </w:rPr>
        <w:t>29.5</w:t>
      </w:r>
      <w:r w:rsidR="00716CEC">
        <w:rPr>
          <w:lang w:eastAsia="en-AU"/>
        </w:rPr>
        <w:t>%</w:t>
      </w:r>
      <w:bookmarkEnd w:id="120"/>
      <w:r w:rsidR="00716CEC">
        <w:rPr>
          <w:lang w:eastAsia="en-AU"/>
        </w:rPr>
        <w:t xml:space="preserve">) </w:t>
      </w:r>
      <w:r w:rsidR="00B43607" w:rsidRPr="00B43607">
        <w:rPr>
          <w:lang w:eastAsia="en-AU"/>
        </w:rPr>
        <w:t>indicated that they had used the online enquiry form (</w:t>
      </w:r>
      <w:r w:rsidR="00B43607" w:rsidRPr="0093220D">
        <w:rPr>
          <w:rStyle w:val="Emphasis"/>
        </w:rPr>
        <w:fldChar w:fldCharType="begin"/>
      </w:r>
      <w:r w:rsidR="00B43607" w:rsidRPr="0093220D">
        <w:rPr>
          <w:rStyle w:val="Emphasis"/>
        </w:rPr>
        <w:instrText xml:space="preserve"> REF _Ref462771081 \h  \* MERGEFORMAT </w:instrText>
      </w:r>
      <w:r w:rsidR="00B43607" w:rsidRPr="0093220D">
        <w:rPr>
          <w:rStyle w:val="Emphasis"/>
        </w:rPr>
      </w:r>
      <w:r w:rsidR="00B43607" w:rsidRPr="0093220D">
        <w:rPr>
          <w:rStyle w:val="Emphasis"/>
        </w:rPr>
        <w:fldChar w:fldCharType="separate"/>
      </w:r>
      <w:r w:rsidR="00487073" w:rsidRPr="00487073">
        <w:rPr>
          <w:rStyle w:val="Emphasis"/>
        </w:rPr>
        <w:t>Table 5</w:t>
      </w:r>
      <w:r w:rsidR="00487073" w:rsidRPr="00487073">
        <w:rPr>
          <w:rStyle w:val="Emphasis"/>
        </w:rPr>
        <w:noBreakHyphen/>
        <w:t>13</w:t>
      </w:r>
      <w:r w:rsidR="00B43607" w:rsidRPr="0093220D">
        <w:rPr>
          <w:rStyle w:val="Emphasis"/>
        </w:rPr>
        <w:fldChar w:fldCharType="end"/>
      </w:r>
      <w:bookmarkEnd w:id="119"/>
      <w:r w:rsidR="00B43607" w:rsidRPr="00B43607">
        <w:rPr>
          <w:lang w:eastAsia="en-AU"/>
        </w:rPr>
        <w:t xml:space="preserve">).  </w:t>
      </w:r>
      <w:r w:rsidR="004E6892">
        <w:rPr>
          <w:lang w:eastAsia="en-AU"/>
        </w:rPr>
        <w:t>Of those who had used the form, t</w:t>
      </w:r>
      <w:r w:rsidR="00B43607" w:rsidRPr="00B43607">
        <w:rPr>
          <w:lang w:eastAsia="en-AU"/>
        </w:rPr>
        <w:t>hose wanting to adopt for the first time represented the highest online enquiry form usage group (</w:t>
      </w:r>
      <w:r w:rsidR="0045462C">
        <w:rPr>
          <w:lang w:eastAsia="en-AU"/>
        </w:rPr>
        <w:t>47/65</w:t>
      </w:r>
      <w:r w:rsidR="00FD299D">
        <w:rPr>
          <w:lang w:eastAsia="en-AU"/>
        </w:rPr>
        <w:t>, 7</w:t>
      </w:r>
      <w:r w:rsidR="0045462C">
        <w:rPr>
          <w:lang w:eastAsia="en-AU"/>
        </w:rPr>
        <w:t>2.3</w:t>
      </w:r>
      <w:r w:rsidR="00B43607" w:rsidRPr="00B43607">
        <w:rPr>
          <w:lang w:eastAsia="en-AU"/>
        </w:rPr>
        <w:t xml:space="preserve">%). </w:t>
      </w:r>
    </w:p>
    <w:p w14:paraId="03E5044D" w14:textId="37197AE1" w:rsidR="00B43607" w:rsidRPr="00B43607" w:rsidRDefault="00B43607" w:rsidP="00393CB6">
      <w:pPr>
        <w:pStyle w:val="Caption"/>
      </w:pPr>
      <w:bookmarkStart w:id="121" w:name="_Ref462771081"/>
      <w:bookmarkStart w:id="122" w:name="_Toc490481663"/>
      <w:bookmarkStart w:id="123" w:name="_Hlk489544576"/>
      <w:r w:rsidRPr="00B43607">
        <w:t xml:space="preserve">Table </w:t>
      </w:r>
      <w:r w:rsidR="00644B63">
        <w:fldChar w:fldCharType="begin"/>
      </w:r>
      <w:r w:rsidR="00644B63">
        <w:instrText xml:space="preserve"> STYLEREF 1 \s </w:instrText>
      </w:r>
      <w:r w:rsidR="00644B63">
        <w:fldChar w:fldCharType="separate"/>
      </w:r>
      <w:r w:rsidR="00487073">
        <w:rPr>
          <w:noProof/>
        </w:rPr>
        <w:t>5</w:t>
      </w:r>
      <w:r w:rsidR="00644B63">
        <w:fldChar w:fldCharType="end"/>
      </w:r>
      <w:r w:rsidR="00644B63">
        <w:noBreakHyphen/>
      </w:r>
      <w:r w:rsidR="00644B63">
        <w:fldChar w:fldCharType="begin"/>
      </w:r>
      <w:r w:rsidR="00644B63">
        <w:instrText xml:space="preserve"> SEQ Table \* ARABIC \s 1 </w:instrText>
      </w:r>
      <w:r w:rsidR="00644B63">
        <w:fldChar w:fldCharType="separate"/>
      </w:r>
      <w:r w:rsidR="00487073">
        <w:rPr>
          <w:noProof/>
        </w:rPr>
        <w:t>13</w:t>
      </w:r>
      <w:r w:rsidR="00644B63">
        <w:fldChar w:fldCharType="end"/>
      </w:r>
      <w:bookmarkEnd w:id="121"/>
      <w:r w:rsidR="00E07D8E">
        <w:t>:</w:t>
      </w:r>
      <w:r w:rsidR="00E07D8E">
        <w:tab/>
      </w:r>
      <w:r w:rsidRPr="00B43607">
        <w:t>Usage of online contact form</w:t>
      </w:r>
      <w:bookmarkEnd w:id="122"/>
    </w:p>
    <w:tbl>
      <w:tblPr>
        <w:tblStyle w:val="TableGrid"/>
        <w:tblW w:w="9384" w:type="dxa"/>
        <w:tblInd w:w="108"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Description w:val="Table 5 13: Usage of online contact form "/>
      </w:tblPr>
      <w:tblGrid>
        <w:gridCol w:w="1269"/>
        <w:gridCol w:w="709"/>
        <w:gridCol w:w="914"/>
        <w:gridCol w:w="7"/>
        <w:gridCol w:w="638"/>
        <w:gridCol w:w="992"/>
        <w:gridCol w:w="709"/>
        <w:gridCol w:w="992"/>
        <w:gridCol w:w="567"/>
        <w:gridCol w:w="993"/>
        <w:gridCol w:w="708"/>
        <w:gridCol w:w="886"/>
      </w:tblGrid>
      <w:tr w:rsidR="00346E1D" w:rsidRPr="00C8327F" w14:paraId="57A14772" w14:textId="77777777" w:rsidTr="00F25A33">
        <w:trPr>
          <w:tblHeader/>
        </w:trPr>
        <w:tc>
          <w:tcPr>
            <w:tcW w:w="1269" w:type="dxa"/>
            <w:vMerge w:val="restart"/>
            <w:shd w:val="clear" w:color="auto" w:fill="0079C1" w:themeFill="text2"/>
            <w:vAlign w:val="center"/>
          </w:tcPr>
          <w:p w14:paraId="03E2BBF1" w14:textId="77777777" w:rsidR="00346E1D" w:rsidRPr="00C8327F" w:rsidRDefault="00346E1D" w:rsidP="00347C0D">
            <w:pPr>
              <w:pStyle w:val="TableHeading1"/>
              <w:rPr>
                <w:sz w:val="20"/>
              </w:rPr>
            </w:pPr>
            <w:r w:rsidRPr="00C8327F">
              <w:rPr>
                <w:sz w:val="20"/>
              </w:rPr>
              <w:t xml:space="preserve">Use of online contact form </w:t>
            </w:r>
          </w:p>
        </w:tc>
        <w:tc>
          <w:tcPr>
            <w:tcW w:w="3260" w:type="dxa"/>
            <w:gridSpan w:val="5"/>
            <w:shd w:val="clear" w:color="auto" w:fill="0079C1" w:themeFill="text2"/>
          </w:tcPr>
          <w:p w14:paraId="2C50C858" w14:textId="77777777" w:rsidR="00346E1D" w:rsidRPr="00C8327F" w:rsidRDefault="00346E1D" w:rsidP="00F51FE8">
            <w:pPr>
              <w:pStyle w:val="TableHeading1Centred"/>
              <w:rPr>
                <w:sz w:val="20"/>
              </w:rPr>
            </w:pPr>
            <w:r w:rsidRPr="00C8327F">
              <w:rPr>
                <w:sz w:val="20"/>
              </w:rPr>
              <w:t>Wanting to adopt</w:t>
            </w:r>
          </w:p>
        </w:tc>
        <w:tc>
          <w:tcPr>
            <w:tcW w:w="1701" w:type="dxa"/>
            <w:gridSpan w:val="2"/>
            <w:vMerge w:val="restart"/>
            <w:shd w:val="clear" w:color="auto" w:fill="0079C1" w:themeFill="text2"/>
            <w:vAlign w:val="center"/>
          </w:tcPr>
          <w:p w14:paraId="3222AFDC" w14:textId="77777777" w:rsidR="00346E1D" w:rsidRPr="00C8327F" w:rsidRDefault="00346E1D" w:rsidP="00F51FE8">
            <w:pPr>
              <w:pStyle w:val="TableHeading1Centred"/>
              <w:rPr>
                <w:sz w:val="20"/>
              </w:rPr>
            </w:pPr>
            <w:r w:rsidRPr="00C8327F">
              <w:rPr>
                <w:sz w:val="20"/>
              </w:rPr>
              <w:t>Post adoption</w:t>
            </w:r>
          </w:p>
        </w:tc>
        <w:tc>
          <w:tcPr>
            <w:tcW w:w="1560" w:type="dxa"/>
            <w:gridSpan w:val="2"/>
            <w:vMerge w:val="restart"/>
            <w:shd w:val="clear" w:color="auto" w:fill="0079C1" w:themeFill="text2"/>
            <w:vAlign w:val="center"/>
          </w:tcPr>
          <w:p w14:paraId="77C1673B" w14:textId="77777777" w:rsidR="00346E1D" w:rsidRPr="00C8327F" w:rsidRDefault="00346E1D" w:rsidP="00F51FE8">
            <w:pPr>
              <w:pStyle w:val="TableHeading1Centred"/>
              <w:rPr>
                <w:sz w:val="20"/>
              </w:rPr>
            </w:pPr>
            <w:r w:rsidRPr="00C8327F">
              <w:rPr>
                <w:sz w:val="20"/>
              </w:rPr>
              <w:t>Did not continue</w:t>
            </w:r>
          </w:p>
        </w:tc>
        <w:tc>
          <w:tcPr>
            <w:tcW w:w="1594" w:type="dxa"/>
            <w:gridSpan w:val="2"/>
            <w:vMerge w:val="restart"/>
            <w:shd w:val="clear" w:color="auto" w:fill="0079C1" w:themeFill="text2"/>
            <w:vAlign w:val="center"/>
          </w:tcPr>
          <w:p w14:paraId="51A23A3E" w14:textId="77777777" w:rsidR="00346E1D" w:rsidRPr="00C8327F" w:rsidRDefault="00346E1D" w:rsidP="00F51FE8">
            <w:pPr>
              <w:pStyle w:val="TableHeading1Centred"/>
              <w:rPr>
                <w:sz w:val="20"/>
              </w:rPr>
            </w:pPr>
            <w:r w:rsidRPr="00C8327F">
              <w:rPr>
                <w:sz w:val="20"/>
              </w:rPr>
              <w:t>Total</w:t>
            </w:r>
          </w:p>
        </w:tc>
      </w:tr>
      <w:tr w:rsidR="00346E1D" w:rsidRPr="00C8327F" w14:paraId="37665894" w14:textId="77777777" w:rsidTr="00F25A33">
        <w:trPr>
          <w:tblHeader/>
        </w:trPr>
        <w:tc>
          <w:tcPr>
            <w:tcW w:w="1269" w:type="dxa"/>
            <w:vMerge/>
            <w:shd w:val="clear" w:color="auto" w:fill="0079C1" w:themeFill="text2"/>
            <w:vAlign w:val="center"/>
          </w:tcPr>
          <w:p w14:paraId="613EC1F8" w14:textId="77777777" w:rsidR="00346E1D" w:rsidRPr="00C8327F" w:rsidRDefault="00346E1D" w:rsidP="00347C0D">
            <w:pPr>
              <w:pStyle w:val="TableHeading1Centred"/>
              <w:jc w:val="left"/>
              <w:rPr>
                <w:sz w:val="20"/>
              </w:rPr>
            </w:pPr>
          </w:p>
        </w:tc>
        <w:tc>
          <w:tcPr>
            <w:tcW w:w="1630" w:type="dxa"/>
            <w:gridSpan w:val="3"/>
            <w:shd w:val="clear" w:color="auto" w:fill="0079C1" w:themeFill="text2"/>
          </w:tcPr>
          <w:p w14:paraId="3FA433F7" w14:textId="77777777" w:rsidR="00346E1D" w:rsidRPr="00C8327F" w:rsidRDefault="00346E1D" w:rsidP="00F51FE8">
            <w:pPr>
              <w:pStyle w:val="TableHeading1Centred"/>
              <w:rPr>
                <w:sz w:val="20"/>
              </w:rPr>
            </w:pPr>
            <w:r w:rsidRPr="00C8327F">
              <w:rPr>
                <w:sz w:val="20"/>
              </w:rPr>
              <w:t>First time</w:t>
            </w:r>
          </w:p>
        </w:tc>
        <w:tc>
          <w:tcPr>
            <w:tcW w:w="1630" w:type="dxa"/>
            <w:gridSpan w:val="2"/>
            <w:shd w:val="clear" w:color="auto" w:fill="0079C1" w:themeFill="text2"/>
          </w:tcPr>
          <w:p w14:paraId="196A61A6" w14:textId="77777777" w:rsidR="00346E1D" w:rsidRPr="00C8327F" w:rsidRDefault="00346E1D" w:rsidP="00F51FE8">
            <w:pPr>
              <w:pStyle w:val="TableHeading1Centred"/>
              <w:rPr>
                <w:sz w:val="20"/>
              </w:rPr>
            </w:pPr>
            <w:r w:rsidRPr="00C8327F">
              <w:rPr>
                <w:sz w:val="20"/>
              </w:rPr>
              <w:t>Repeat</w:t>
            </w:r>
          </w:p>
        </w:tc>
        <w:tc>
          <w:tcPr>
            <w:tcW w:w="1701" w:type="dxa"/>
            <w:gridSpan w:val="2"/>
            <w:vMerge/>
            <w:shd w:val="clear" w:color="auto" w:fill="0079C1" w:themeFill="text2"/>
          </w:tcPr>
          <w:p w14:paraId="2130EBC2" w14:textId="77777777" w:rsidR="00346E1D" w:rsidRPr="00C8327F" w:rsidRDefault="00346E1D" w:rsidP="00F51FE8">
            <w:pPr>
              <w:pStyle w:val="TableHeading1Centred"/>
              <w:rPr>
                <w:sz w:val="20"/>
              </w:rPr>
            </w:pPr>
          </w:p>
        </w:tc>
        <w:tc>
          <w:tcPr>
            <w:tcW w:w="1560" w:type="dxa"/>
            <w:gridSpan w:val="2"/>
            <w:vMerge/>
            <w:shd w:val="clear" w:color="auto" w:fill="0079C1" w:themeFill="text2"/>
          </w:tcPr>
          <w:p w14:paraId="6CD12BC5" w14:textId="77777777" w:rsidR="00346E1D" w:rsidRPr="00C8327F" w:rsidRDefault="00346E1D" w:rsidP="00F51FE8">
            <w:pPr>
              <w:pStyle w:val="TableHeading1Centred"/>
              <w:rPr>
                <w:sz w:val="20"/>
              </w:rPr>
            </w:pPr>
          </w:p>
        </w:tc>
        <w:tc>
          <w:tcPr>
            <w:tcW w:w="1594" w:type="dxa"/>
            <w:gridSpan w:val="2"/>
            <w:vMerge/>
            <w:shd w:val="clear" w:color="auto" w:fill="0079C1" w:themeFill="text2"/>
          </w:tcPr>
          <w:p w14:paraId="2F890A8C" w14:textId="77777777" w:rsidR="00346E1D" w:rsidRPr="00C8327F" w:rsidRDefault="00346E1D" w:rsidP="00F51FE8">
            <w:pPr>
              <w:pStyle w:val="TableHeading1Centred"/>
              <w:rPr>
                <w:sz w:val="20"/>
              </w:rPr>
            </w:pPr>
          </w:p>
        </w:tc>
      </w:tr>
      <w:tr w:rsidR="00346E1D" w:rsidRPr="00C8327F" w14:paraId="4121D579" w14:textId="77777777" w:rsidTr="00F25A33">
        <w:trPr>
          <w:tblHeader/>
        </w:trPr>
        <w:tc>
          <w:tcPr>
            <w:tcW w:w="1269" w:type="dxa"/>
            <w:vMerge/>
            <w:vAlign w:val="center"/>
          </w:tcPr>
          <w:p w14:paraId="6C60F6B0" w14:textId="77777777" w:rsidR="00B43607" w:rsidRPr="00C8327F" w:rsidRDefault="00B43607" w:rsidP="00347C0D">
            <w:pPr>
              <w:pStyle w:val="TableHeading1Centred"/>
              <w:jc w:val="left"/>
              <w:rPr>
                <w:rFonts w:cs="Arial"/>
                <w:color w:val="333333"/>
                <w:sz w:val="20"/>
              </w:rPr>
            </w:pPr>
          </w:p>
        </w:tc>
        <w:tc>
          <w:tcPr>
            <w:tcW w:w="709" w:type="dxa"/>
            <w:shd w:val="clear" w:color="auto" w:fill="0079C1" w:themeFill="text2"/>
          </w:tcPr>
          <w:p w14:paraId="5EE49E5E" w14:textId="77777777" w:rsidR="00B43607" w:rsidRPr="00C8327F" w:rsidRDefault="00B43607" w:rsidP="00F51FE8">
            <w:pPr>
              <w:pStyle w:val="TableHeading1Centred"/>
              <w:rPr>
                <w:sz w:val="20"/>
              </w:rPr>
            </w:pPr>
            <w:r w:rsidRPr="00C8327F">
              <w:rPr>
                <w:sz w:val="20"/>
              </w:rPr>
              <w:t>n</w:t>
            </w:r>
          </w:p>
        </w:tc>
        <w:tc>
          <w:tcPr>
            <w:tcW w:w="914" w:type="dxa"/>
            <w:shd w:val="clear" w:color="auto" w:fill="0079C1" w:themeFill="text2"/>
          </w:tcPr>
          <w:p w14:paraId="039C73AA" w14:textId="77777777" w:rsidR="00B43607" w:rsidRPr="00C8327F" w:rsidRDefault="00B43607" w:rsidP="00F51FE8">
            <w:pPr>
              <w:pStyle w:val="TableHeading1Centred"/>
              <w:rPr>
                <w:sz w:val="20"/>
              </w:rPr>
            </w:pPr>
            <w:r w:rsidRPr="00C8327F">
              <w:rPr>
                <w:sz w:val="20"/>
              </w:rPr>
              <w:t>%</w:t>
            </w:r>
          </w:p>
        </w:tc>
        <w:tc>
          <w:tcPr>
            <w:tcW w:w="645" w:type="dxa"/>
            <w:gridSpan w:val="2"/>
            <w:shd w:val="clear" w:color="auto" w:fill="0079C1" w:themeFill="text2"/>
          </w:tcPr>
          <w:p w14:paraId="240DE95F" w14:textId="77777777" w:rsidR="00B43607" w:rsidRPr="00C8327F" w:rsidRDefault="00B43607" w:rsidP="00F51FE8">
            <w:pPr>
              <w:pStyle w:val="TableHeading1Centred"/>
              <w:rPr>
                <w:sz w:val="20"/>
              </w:rPr>
            </w:pPr>
            <w:r w:rsidRPr="00C8327F">
              <w:rPr>
                <w:sz w:val="20"/>
              </w:rPr>
              <w:t>n</w:t>
            </w:r>
          </w:p>
        </w:tc>
        <w:tc>
          <w:tcPr>
            <w:tcW w:w="992" w:type="dxa"/>
            <w:shd w:val="clear" w:color="auto" w:fill="0079C1" w:themeFill="text2"/>
          </w:tcPr>
          <w:p w14:paraId="44BEA639" w14:textId="77777777" w:rsidR="00B43607" w:rsidRPr="00C8327F" w:rsidRDefault="00B43607" w:rsidP="00F51FE8">
            <w:pPr>
              <w:pStyle w:val="TableHeading1Centred"/>
              <w:rPr>
                <w:sz w:val="20"/>
              </w:rPr>
            </w:pPr>
            <w:r w:rsidRPr="00C8327F">
              <w:rPr>
                <w:sz w:val="20"/>
              </w:rPr>
              <w:t>%</w:t>
            </w:r>
          </w:p>
        </w:tc>
        <w:tc>
          <w:tcPr>
            <w:tcW w:w="709" w:type="dxa"/>
            <w:shd w:val="clear" w:color="auto" w:fill="0079C1" w:themeFill="text2"/>
          </w:tcPr>
          <w:p w14:paraId="60FBA1D6" w14:textId="77777777" w:rsidR="00B43607" w:rsidRPr="00C8327F" w:rsidRDefault="00B43607" w:rsidP="00F51FE8">
            <w:pPr>
              <w:pStyle w:val="TableHeading1Centred"/>
              <w:rPr>
                <w:sz w:val="20"/>
              </w:rPr>
            </w:pPr>
            <w:r w:rsidRPr="00C8327F">
              <w:rPr>
                <w:sz w:val="20"/>
              </w:rPr>
              <w:t>n</w:t>
            </w:r>
          </w:p>
        </w:tc>
        <w:tc>
          <w:tcPr>
            <w:tcW w:w="992" w:type="dxa"/>
            <w:shd w:val="clear" w:color="auto" w:fill="0079C1" w:themeFill="text2"/>
          </w:tcPr>
          <w:p w14:paraId="307C735F" w14:textId="77777777" w:rsidR="00B43607" w:rsidRPr="00C8327F" w:rsidRDefault="00B43607" w:rsidP="00F51FE8">
            <w:pPr>
              <w:pStyle w:val="TableHeading1Centred"/>
              <w:rPr>
                <w:sz w:val="20"/>
              </w:rPr>
            </w:pPr>
            <w:r w:rsidRPr="00C8327F">
              <w:rPr>
                <w:sz w:val="20"/>
              </w:rPr>
              <w:t>%</w:t>
            </w:r>
          </w:p>
        </w:tc>
        <w:tc>
          <w:tcPr>
            <w:tcW w:w="567" w:type="dxa"/>
            <w:shd w:val="clear" w:color="auto" w:fill="0079C1" w:themeFill="text2"/>
          </w:tcPr>
          <w:p w14:paraId="3162DB2E" w14:textId="77777777" w:rsidR="00B43607" w:rsidRPr="00C8327F" w:rsidRDefault="00B43607" w:rsidP="00F51FE8">
            <w:pPr>
              <w:pStyle w:val="TableHeading1Centred"/>
              <w:rPr>
                <w:sz w:val="20"/>
              </w:rPr>
            </w:pPr>
            <w:r w:rsidRPr="00C8327F">
              <w:rPr>
                <w:sz w:val="20"/>
              </w:rPr>
              <w:t>n</w:t>
            </w:r>
          </w:p>
        </w:tc>
        <w:tc>
          <w:tcPr>
            <w:tcW w:w="993" w:type="dxa"/>
            <w:shd w:val="clear" w:color="auto" w:fill="0079C1" w:themeFill="text2"/>
          </w:tcPr>
          <w:p w14:paraId="387F3B1E" w14:textId="77777777" w:rsidR="00B43607" w:rsidRPr="00C8327F" w:rsidRDefault="00B43607" w:rsidP="00F51FE8">
            <w:pPr>
              <w:pStyle w:val="TableHeading1Centred"/>
              <w:rPr>
                <w:sz w:val="20"/>
              </w:rPr>
            </w:pPr>
            <w:r w:rsidRPr="00C8327F">
              <w:rPr>
                <w:sz w:val="20"/>
              </w:rPr>
              <w:t>%</w:t>
            </w:r>
          </w:p>
        </w:tc>
        <w:tc>
          <w:tcPr>
            <w:tcW w:w="708" w:type="dxa"/>
            <w:shd w:val="clear" w:color="auto" w:fill="0079C1" w:themeFill="text2"/>
          </w:tcPr>
          <w:p w14:paraId="040BCBB6" w14:textId="77777777" w:rsidR="00B43607" w:rsidRPr="00C8327F" w:rsidRDefault="00B43607" w:rsidP="00F51FE8">
            <w:pPr>
              <w:pStyle w:val="TableHeading1Centred"/>
              <w:rPr>
                <w:sz w:val="20"/>
              </w:rPr>
            </w:pPr>
            <w:r w:rsidRPr="00C8327F">
              <w:rPr>
                <w:sz w:val="20"/>
              </w:rPr>
              <w:t>n</w:t>
            </w:r>
          </w:p>
        </w:tc>
        <w:tc>
          <w:tcPr>
            <w:tcW w:w="886" w:type="dxa"/>
            <w:shd w:val="clear" w:color="auto" w:fill="0079C1" w:themeFill="text2"/>
          </w:tcPr>
          <w:p w14:paraId="5392C87A" w14:textId="77777777" w:rsidR="00B43607" w:rsidRPr="00C8327F" w:rsidRDefault="00B43607" w:rsidP="00F51FE8">
            <w:pPr>
              <w:pStyle w:val="TableHeading1Centred"/>
              <w:rPr>
                <w:sz w:val="20"/>
              </w:rPr>
            </w:pPr>
            <w:r w:rsidRPr="00C8327F">
              <w:rPr>
                <w:sz w:val="20"/>
              </w:rPr>
              <w:t>%</w:t>
            </w:r>
          </w:p>
        </w:tc>
      </w:tr>
      <w:tr w:rsidR="0045462C" w:rsidRPr="00C8327F" w14:paraId="458ED888" w14:textId="77777777" w:rsidTr="00C8327F">
        <w:trPr>
          <w:trHeight w:val="249"/>
        </w:trPr>
        <w:tc>
          <w:tcPr>
            <w:tcW w:w="1269" w:type="dxa"/>
            <w:tcBorders>
              <w:right w:val="single" w:sz="4" w:space="0" w:color="0079C1"/>
            </w:tcBorders>
            <w:shd w:val="clear" w:color="auto" w:fill="auto"/>
            <w:vAlign w:val="center"/>
          </w:tcPr>
          <w:p w14:paraId="4A07650A" w14:textId="77777777" w:rsidR="0045462C" w:rsidRPr="00C8327F" w:rsidRDefault="0045462C" w:rsidP="0045462C">
            <w:pPr>
              <w:pStyle w:val="TableText"/>
              <w:rPr>
                <w:sz w:val="20"/>
                <w:szCs w:val="20"/>
              </w:rPr>
            </w:pPr>
            <w:r w:rsidRPr="00C8327F">
              <w:rPr>
                <w:sz w:val="20"/>
                <w:szCs w:val="20"/>
              </w:rPr>
              <w:t xml:space="preserve">Yes </w:t>
            </w:r>
          </w:p>
        </w:tc>
        <w:tc>
          <w:tcPr>
            <w:tcW w:w="709" w:type="dxa"/>
            <w:tcBorders>
              <w:left w:val="single" w:sz="4" w:space="0" w:color="0079C1"/>
            </w:tcBorders>
            <w:shd w:val="clear" w:color="auto" w:fill="auto"/>
          </w:tcPr>
          <w:p w14:paraId="18BC018F" w14:textId="75E339AD" w:rsidR="0045462C" w:rsidRPr="00C8327F" w:rsidRDefault="0045462C" w:rsidP="0045462C">
            <w:pPr>
              <w:pStyle w:val="TableTextCentred"/>
              <w:rPr>
                <w:sz w:val="20"/>
                <w:szCs w:val="20"/>
              </w:rPr>
            </w:pPr>
            <w:r w:rsidRPr="00C8327F">
              <w:rPr>
                <w:sz w:val="20"/>
                <w:szCs w:val="20"/>
              </w:rPr>
              <w:t>47</w:t>
            </w:r>
          </w:p>
        </w:tc>
        <w:tc>
          <w:tcPr>
            <w:tcW w:w="914" w:type="dxa"/>
            <w:tcBorders>
              <w:right w:val="single" w:sz="4" w:space="0" w:color="0079C1"/>
            </w:tcBorders>
            <w:shd w:val="clear" w:color="auto" w:fill="auto"/>
          </w:tcPr>
          <w:p w14:paraId="7F948504" w14:textId="15EC2956" w:rsidR="0045462C" w:rsidRPr="00C8327F" w:rsidRDefault="0045462C" w:rsidP="0045462C">
            <w:pPr>
              <w:pStyle w:val="TableTextCentred"/>
              <w:rPr>
                <w:sz w:val="20"/>
                <w:szCs w:val="20"/>
              </w:rPr>
            </w:pPr>
            <w:r w:rsidRPr="00C8327F">
              <w:rPr>
                <w:sz w:val="20"/>
                <w:szCs w:val="20"/>
              </w:rPr>
              <w:t>43.5%</w:t>
            </w:r>
          </w:p>
        </w:tc>
        <w:tc>
          <w:tcPr>
            <w:tcW w:w="645" w:type="dxa"/>
            <w:gridSpan w:val="2"/>
            <w:tcBorders>
              <w:left w:val="single" w:sz="4" w:space="0" w:color="0079C1"/>
            </w:tcBorders>
            <w:shd w:val="clear" w:color="auto" w:fill="auto"/>
          </w:tcPr>
          <w:p w14:paraId="7FBFE1E3" w14:textId="6885A6B6" w:rsidR="0045462C" w:rsidRPr="00C8327F" w:rsidRDefault="0045462C" w:rsidP="0045462C">
            <w:pPr>
              <w:pStyle w:val="TableTextCentred"/>
              <w:rPr>
                <w:sz w:val="20"/>
                <w:szCs w:val="20"/>
              </w:rPr>
            </w:pPr>
            <w:r w:rsidRPr="00C8327F">
              <w:rPr>
                <w:sz w:val="20"/>
                <w:szCs w:val="20"/>
              </w:rPr>
              <w:t>3</w:t>
            </w:r>
          </w:p>
        </w:tc>
        <w:tc>
          <w:tcPr>
            <w:tcW w:w="992" w:type="dxa"/>
            <w:tcBorders>
              <w:right w:val="single" w:sz="4" w:space="0" w:color="0079C1"/>
            </w:tcBorders>
            <w:shd w:val="clear" w:color="auto" w:fill="auto"/>
          </w:tcPr>
          <w:p w14:paraId="7F49AFFB" w14:textId="05E46A46" w:rsidR="0045462C" w:rsidRPr="00C8327F" w:rsidRDefault="0045462C" w:rsidP="0045462C">
            <w:pPr>
              <w:pStyle w:val="TableTextCentred"/>
              <w:rPr>
                <w:sz w:val="20"/>
                <w:szCs w:val="20"/>
              </w:rPr>
            </w:pPr>
            <w:r w:rsidRPr="00C8327F">
              <w:rPr>
                <w:sz w:val="20"/>
                <w:szCs w:val="20"/>
              </w:rPr>
              <w:t>15.8%</w:t>
            </w:r>
          </w:p>
        </w:tc>
        <w:tc>
          <w:tcPr>
            <w:tcW w:w="709" w:type="dxa"/>
            <w:tcBorders>
              <w:left w:val="single" w:sz="4" w:space="0" w:color="0079C1"/>
            </w:tcBorders>
            <w:shd w:val="clear" w:color="auto" w:fill="auto"/>
          </w:tcPr>
          <w:p w14:paraId="48F12D63" w14:textId="39B77E16" w:rsidR="0045462C" w:rsidRPr="00C8327F" w:rsidRDefault="0045462C" w:rsidP="0045462C">
            <w:pPr>
              <w:pStyle w:val="TableTextCentred"/>
              <w:rPr>
                <w:sz w:val="20"/>
                <w:szCs w:val="20"/>
              </w:rPr>
            </w:pPr>
            <w:r w:rsidRPr="00C8327F">
              <w:rPr>
                <w:sz w:val="20"/>
                <w:szCs w:val="20"/>
              </w:rPr>
              <w:t>7</w:t>
            </w:r>
          </w:p>
        </w:tc>
        <w:tc>
          <w:tcPr>
            <w:tcW w:w="992" w:type="dxa"/>
            <w:tcBorders>
              <w:right w:val="single" w:sz="4" w:space="0" w:color="0079C1"/>
            </w:tcBorders>
            <w:shd w:val="clear" w:color="auto" w:fill="auto"/>
          </w:tcPr>
          <w:p w14:paraId="67671CE2" w14:textId="20B9FAE4" w:rsidR="0045462C" w:rsidRPr="00C8327F" w:rsidRDefault="0045462C" w:rsidP="0045462C">
            <w:pPr>
              <w:pStyle w:val="TableTextCentred"/>
              <w:rPr>
                <w:sz w:val="20"/>
                <w:szCs w:val="20"/>
              </w:rPr>
            </w:pPr>
            <w:r w:rsidRPr="00C8327F">
              <w:rPr>
                <w:sz w:val="20"/>
                <w:szCs w:val="20"/>
              </w:rPr>
              <w:t>9.6%</w:t>
            </w:r>
          </w:p>
        </w:tc>
        <w:tc>
          <w:tcPr>
            <w:tcW w:w="567" w:type="dxa"/>
            <w:tcBorders>
              <w:left w:val="single" w:sz="4" w:space="0" w:color="0079C1"/>
            </w:tcBorders>
            <w:shd w:val="clear" w:color="auto" w:fill="auto"/>
          </w:tcPr>
          <w:p w14:paraId="79CBF5D8" w14:textId="75CA1095" w:rsidR="0045462C" w:rsidRPr="00C8327F" w:rsidRDefault="0045462C" w:rsidP="0045462C">
            <w:pPr>
              <w:pStyle w:val="TableTextCentred"/>
              <w:rPr>
                <w:sz w:val="20"/>
                <w:szCs w:val="20"/>
              </w:rPr>
            </w:pPr>
            <w:r w:rsidRPr="00C8327F">
              <w:rPr>
                <w:sz w:val="20"/>
                <w:szCs w:val="20"/>
              </w:rPr>
              <w:t>8</w:t>
            </w:r>
          </w:p>
        </w:tc>
        <w:tc>
          <w:tcPr>
            <w:tcW w:w="993" w:type="dxa"/>
            <w:tcBorders>
              <w:right w:val="single" w:sz="4" w:space="0" w:color="0079C1"/>
            </w:tcBorders>
            <w:shd w:val="clear" w:color="auto" w:fill="auto"/>
          </w:tcPr>
          <w:p w14:paraId="20A36751" w14:textId="4DC10F5A" w:rsidR="0045462C" w:rsidRPr="00C8327F" w:rsidRDefault="0045462C" w:rsidP="0045462C">
            <w:pPr>
              <w:pStyle w:val="TableTextCentred"/>
              <w:rPr>
                <w:sz w:val="20"/>
                <w:szCs w:val="20"/>
              </w:rPr>
            </w:pPr>
            <w:r w:rsidRPr="00C8327F">
              <w:rPr>
                <w:sz w:val="20"/>
                <w:szCs w:val="20"/>
              </w:rPr>
              <w:t>40.0%</w:t>
            </w:r>
          </w:p>
        </w:tc>
        <w:tc>
          <w:tcPr>
            <w:tcW w:w="708" w:type="dxa"/>
            <w:tcBorders>
              <w:left w:val="single" w:sz="4" w:space="0" w:color="0079C1"/>
            </w:tcBorders>
            <w:shd w:val="clear" w:color="auto" w:fill="auto"/>
          </w:tcPr>
          <w:p w14:paraId="37BF4E0A" w14:textId="25B35530" w:rsidR="0045462C" w:rsidRPr="00C8327F" w:rsidRDefault="0045462C" w:rsidP="0045462C">
            <w:pPr>
              <w:pStyle w:val="TableTextCentred"/>
              <w:rPr>
                <w:b/>
                <w:bCs/>
                <w:sz w:val="20"/>
                <w:szCs w:val="20"/>
              </w:rPr>
            </w:pPr>
            <w:r w:rsidRPr="00C8327F">
              <w:rPr>
                <w:b/>
                <w:sz w:val="20"/>
                <w:szCs w:val="20"/>
              </w:rPr>
              <w:t>65</w:t>
            </w:r>
          </w:p>
        </w:tc>
        <w:tc>
          <w:tcPr>
            <w:tcW w:w="886" w:type="dxa"/>
            <w:shd w:val="clear" w:color="auto" w:fill="auto"/>
          </w:tcPr>
          <w:p w14:paraId="4121B7A4" w14:textId="53F53AF6" w:rsidR="0045462C" w:rsidRPr="00C8327F" w:rsidRDefault="0045462C" w:rsidP="0045462C">
            <w:pPr>
              <w:pStyle w:val="TableTextCentred"/>
              <w:rPr>
                <w:b/>
                <w:bCs/>
                <w:sz w:val="20"/>
                <w:szCs w:val="20"/>
              </w:rPr>
            </w:pPr>
            <w:r w:rsidRPr="00C8327F">
              <w:rPr>
                <w:b/>
                <w:sz w:val="20"/>
                <w:szCs w:val="20"/>
              </w:rPr>
              <w:t>29.5%</w:t>
            </w:r>
          </w:p>
        </w:tc>
      </w:tr>
      <w:tr w:rsidR="0045462C" w:rsidRPr="00C8327F" w14:paraId="434C84B2" w14:textId="77777777" w:rsidTr="00C8327F">
        <w:tc>
          <w:tcPr>
            <w:tcW w:w="1269" w:type="dxa"/>
            <w:tcBorders>
              <w:right w:val="single" w:sz="4" w:space="0" w:color="0079C1"/>
            </w:tcBorders>
            <w:shd w:val="clear" w:color="auto" w:fill="auto"/>
            <w:vAlign w:val="center"/>
          </w:tcPr>
          <w:p w14:paraId="1415BDF7" w14:textId="77777777" w:rsidR="0045462C" w:rsidRPr="00C8327F" w:rsidRDefault="0045462C" w:rsidP="0045462C">
            <w:pPr>
              <w:pStyle w:val="TableText"/>
              <w:rPr>
                <w:sz w:val="20"/>
                <w:szCs w:val="20"/>
              </w:rPr>
            </w:pPr>
            <w:r w:rsidRPr="00C8327F">
              <w:rPr>
                <w:sz w:val="20"/>
                <w:szCs w:val="20"/>
              </w:rPr>
              <w:t>No</w:t>
            </w:r>
          </w:p>
        </w:tc>
        <w:tc>
          <w:tcPr>
            <w:tcW w:w="709" w:type="dxa"/>
            <w:tcBorders>
              <w:left w:val="single" w:sz="4" w:space="0" w:color="0079C1"/>
            </w:tcBorders>
            <w:shd w:val="clear" w:color="auto" w:fill="auto"/>
          </w:tcPr>
          <w:p w14:paraId="21255711" w14:textId="1B57402B" w:rsidR="0045462C" w:rsidRPr="00C8327F" w:rsidRDefault="0045462C" w:rsidP="0045462C">
            <w:pPr>
              <w:pStyle w:val="TableTextCentred"/>
              <w:rPr>
                <w:sz w:val="20"/>
                <w:szCs w:val="20"/>
              </w:rPr>
            </w:pPr>
            <w:r w:rsidRPr="00C8327F">
              <w:rPr>
                <w:sz w:val="20"/>
                <w:szCs w:val="20"/>
              </w:rPr>
              <w:t>33</w:t>
            </w:r>
          </w:p>
        </w:tc>
        <w:tc>
          <w:tcPr>
            <w:tcW w:w="914" w:type="dxa"/>
            <w:tcBorders>
              <w:right w:val="single" w:sz="4" w:space="0" w:color="0079C1"/>
            </w:tcBorders>
            <w:shd w:val="clear" w:color="auto" w:fill="auto"/>
          </w:tcPr>
          <w:p w14:paraId="3089F2B4" w14:textId="6D6374CD" w:rsidR="0045462C" w:rsidRPr="00C8327F" w:rsidRDefault="0045462C" w:rsidP="0045462C">
            <w:pPr>
              <w:pStyle w:val="TableTextCentred"/>
              <w:rPr>
                <w:sz w:val="20"/>
                <w:szCs w:val="20"/>
              </w:rPr>
            </w:pPr>
            <w:r w:rsidRPr="00C8327F">
              <w:rPr>
                <w:sz w:val="20"/>
                <w:szCs w:val="20"/>
              </w:rPr>
              <w:t>30.6%</w:t>
            </w:r>
          </w:p>
        </w:tc>
        <w:tc>
          <w:tcPr>
            <w:tcW w:w="645" w:type="dxa"/>
            <w:gridSpan w:val="2"/>
            <w:tcBorders>
              <w:left w:val="single" w:sz="4" w:space="0" w:color="0079C1"/>
            </w:tcBorders>
            <w:shd w:val="clear" w:color="auto" w:fill="auto"/>
          </w:tcPr>
          <w:p w14:paraId="3730C0D4" w14:textId="5271B1D6" w:rsidR="0045462C" w:rsidRPr="00C8327F" w:rsidRDefault="0045462C" w:rsidP="0045462C">
            <w:pPr>
              <w:pStyle w:val="TableTextCentred"/>
              <w:rPr>
                <w:sz w:val="20"/>
                <w:szCs w:val="20"/>
              </w:rPr>
            </w:pPr>
            <w:r w:rsidRPr="00C8327F">
              <w:rPr>
                <w:sz w:val="20"/>
                <w:szCs w:val="20"/>
              </w:rPr>
              <w:t>5</w:t>
            </w:r>
          </w:p>
        </w:tc>
        <w:tc>
          <w:tcPr>
            <w:tcW w:w="992" w:type="dxa"/>
            <w:tcBorders>
              <w:right w:val="single" w:sz="4" w:space="0" w:color="0079C1"/>
            </w:tcBorders>
            <w:shd w:val="clear" w:color="auto" w:fill="auto"/>
          </w:tcPr>
          <w:p w14:paraId="64624BE5" w14:textId="60589183" w:rsidR="0045462C" w:rsidRPr="00C8327F" w:rsidRDefault="0045462C" w:rsidP="0045462C">
            <w:pPr>
              <w:pStyle w:val="TableTextCentred"/>
              <w:rPr>
                <w:sz w:val="20"/>
                <w:szCs w:val="20"/>
              </w:rPr>
            </w:pPr>
            <w:r w:rsidRPr="00C8327F">
              <w:rPr>
                <w:sz w:val="20"/>
                <w:szCs w:val="20"/>
              </w:rPr>
              <w:t>26.3%</w:t>
            </w:r>
          </w:p>
        </w:tc>
        <w:tc>
          <w:tcPr>
            <w:tcW w:w="709" w:type="dxa"/>
            <w:tcBorders>
              <w:left w:val="single" w:sz="4" w:space="0" w:color="0079C1"/>
            </w:tcBorders>
            <w:shd w:val="clear" w:color="auto" w:fill="auto"/>
          </w:tcPr>
          <w:p w14:paraId="2A0689F4" w14:textId="044661A6" w:rsidR="0045462C" w:rsidRPr="00C8327F" w:rsidRDefault="0045462C" w:rsidP="0045462C">
            <w:pPr>
              <w:pStyle w:val="TableTextCentred"/>
              <w:rPr>
                <w:sz w:val="20"/>
                <w:szCs w:val="20"/>
              </w:rPr>
            </w:pPr>
            <w:r w:rsidRPr="00C8327F">
              <w:rPr>
                <w:sz w:val="20"/>
                <w:szCs w:val="20"/>
              </w:rPr>
              <w:t>19</w:t>
            </w:r>
          </w:p>
        </w:tc>
        <w:tc>
          <w:tcPr>
            <w:tcW w:w="992" w:type="dxa"/>
            <w:tcBorders>
              <w:right w:val="single" w:sz="4" w:space="0" w:color="0079C1"/>
            </w:tcBorders>
            <w:shd w:val="clear" w:color="auto" w:fill="auto"/>
          </w:tcPr>
          <w:p w14:paraId="57E70F7C" w14:textId="3A62E743" w:rsidR="0045462C" w:rsidRPr="00C8327F" w:rsidRDefault="0045462C" w:rsidP="0045462C">
            <w:pPr>
              <w:pStyle w:val="TableTextCentred"/>
              <w:rPr>
                <w:sz w:val="20"/>
                <w:szCs w:val="20"/>
              </w:rPr>
            </w:pPr>
            <w:r w:rsidRPr="00C8327F">
              <w:rPr>
                <w:sz w:val="20"/>
                <w:szCs w:val="20"/>
              </w:rPr>
              <w:t>26.0%</w:t>
            </w:r>
          </w:p>
        </w:tc>
        <w:tc>
          <w:tcPr>
            <w:tcW w:w="567" w:type="dxa"/>
            <w:tcBorders>
              <w:left w:val="single" w:sz="4" w:space="0" w:color="0079C1"/>
            </w:tcBorders>
            <w:shd w:val="clear" w:color="auto" w:fill="auto"/>
          </w:tcPr>
          <w:p w14:paraId="5649EA94" w14:textId="0BE23B3C" w:rsidR="0045462C" w:rsidRPr="00C8327F" w:rsidRDefault="0045462C" w:rsidP="0045462C">
            <w:pPr>
              <w:pStyle w:val="TableTextCentred"/>
              <w:rPr>
                <w:sz w:val="20"/>
                <w:szCs w:val="20"/>
              </w:rPr>
            </w:pPr>
            <w:r w:rsidRPr="00C8327F">
              <w:rPr>
                <w:sz w:val="20"/>
                <w:szCs w:val="20"/>
              </w:rPr>
              <w:t>7</w:t>
            </w:r>
          </w:p>
        </w:tc>
        <w:tc>
          <w:tcPr>
            <w:tcW w:w="993" w:type="dxa"/>
            <w:tcBorders>
              <w:right w:val="single" w:sz="4" w:space="0" w:color="0079C1"/>
            </w:tcBorders>
            <w:shd w:val="clear" w:color="auto" w:fill="auto"/>
          </w:tcPr>
          <w:p w14:paraId="6CB90422" w14:textId="0859FB85" w:rsidR="0045462C" w:rsidRPr="00C8327F" w:rsidRDefault="0045462C" w:rsidP="0045462C">
            <w:pPr>
              <w:pStyle w:val="TableTextCentred"/>
              <w:rPr>
                <w:sz w:val="20"/>
                <w:szCs w:val="20"/>
              </w:rPr>
            </w:pPr>
            <w:r w:rsidRPr="00C8327F">
              <w:rPr>
                <w:sz w:val="20"/>
                <w:szCs w:val="20"/>
              </w:rPr>
              <w:t>35.0%</w:t>
            </w:r>
          </w:p>
        </w:tc>
        <w:tc>
          <w:tcPr>
            <w:tcW w:w="708" w:type="dxa"/>
            <w:tcBorders>
              <w:left w:val="single" w:sz="4" w:space="0" w:color="0079C1"/>
            </w:tcBorders>
            <w:shd w:val="clear" w:color="auto" w:fill="auto"/>
          </w:tcPr>
          <w:p w14:paraId="10E07A6D" w14:textId="119B8502" w:rsidR="0045462C" w:rsidRPr="00C8327F" w:rsidRDefault="0045462C" w:rsidP="0045462C">
            <w:pPr>
              <w:pStyle w:val="TableTextCentred"/>
              <w:rPr>
                <w:b/>
                <w:bCs/>
                <w:sz w:val="20"/>
                <w:szCs w:val="20"/>
              </w:rPr>
            </w:pPr>
            <w:r w:rsidRPr="00C8327F">
              <w:rPr>
                <w:b/>
                <w:sz w:val="20"/>
                <w:szCs w:val="20"/>
              </w:rPr>
              <w:t>64</w:t>
            </w:r>
          </w:p>
        </w:tc>
        <w:tc>
          <w:tcPr>
            <w:tcW w:w="886" w:type="dxa"/>
            <w:shd w:val="clear" w:color="auto" w:fill="auto"/>
          </w:tcPr>
          <w:p w14:paraId="0EC554A2" w14:textId="3B1D14F2" w:rsidR="0045462C" w:rsidRPr="00C8327F" w:rsidRDefault="0045462C" w:rsidP="0045462C">
            <w:pPr>
              <w:pStyle w:val="TableTextCentred"/>
              <w:rPr>
                <w:b/>
                <w:bCs/>
                <w:sz w:val="20"/>
                <w:szCs w:val="20"/>
              </w:rPr>
            </w:pPr>
            <w:r w:rsidRPr="00C8327F">
              <w:rPr>
                <w:b/>
                <w:sz w:val="20"/>
                <w:szCs w:val="20"/>
              </w:rPr>
              <w:t>29.1%</w:t>
            </w:r>
          </w:p>
        </w:tc>
      </w:tr>
      <w:tr w:rsidR="0045462C" w:rsidRPr="00C8327F" w14:paraId="79714DB0" w14:textId="77777777" w:rsidTr="00C8327F">
        <w:tc>
          <w:tcPr>
            <w:tcW w:w="1269" w:type="dxa"/>
            <w:tcBorders>
              <w:bottom w:val="single" w:sz="4" w:space="0" w:color="0079C1" w:themeColor="text2"/>
              <w:right w:val="single" w:sz="4" w:space="0" w:color="0079C1"/>
            </w:tcBorders>
            <w:shd w:val="clear" w:color="auto" w:fill="auto"/>
            <w:vAlign w:val="center"/>
          </w:tcPr>
          <w:p w14:paraId="698B8331" w14:textId="77777777" w:rsidR="0045462C" w:rsidRPr="00C8327F" w:rsidRDefault="0045462C" w:rsidP="0045462C">
            <w:pPr>
              <w:pStyle w:val="TableText"/>
              <w:rPr>
                <w:sz w:val="20"/>
                <w:szCs w:val="20"/>
              </w:rPr>
            </w:pPr>
            <w:r w:rsidRPr="00C8327F">
              <w:rPr>
                <w:sz w:val="20"/>
                <w:szCs w:val="20"/>
              </w:rPr>
              <w:t>Not stated</w:t>
            </w:r>
          </w:p>
        </w:tc>
        <w:tc>
          <w:tcPr>
            <w:tcW w:w="709" w:type="dxa"/>
            <w:tcBorders>
              <w:left w:val="single" w:sz="4" w:space="0" w:color="0079C1"/>
              <w:bottom w:val="single" w:sz="4" w:space="0" w:color="0079C1" w:themeColor="text2"/>
            </w:tcBorders>
            <w:shd w:val="clear" w:color="auto" w:fill="auto"/>
          </w:tcPr>
          <w:p w14:paraId="2834E989" w14:textId="10B1DFC7" w:rsidR="0045462C" w:rsidRPr="00C8327F" w:rsidRDefault="0045462C" w:rsidP="0045462C">
            <w:pPr>
              <w:pStyle w:val="TableTextCentred"/>
              <w:rPr>
                <w:sz w:val="20"/>
                <w:szCs w:val="20"/>
              </w:rPr>
            </w:pPr>
            <w:r w:rsidRPr="00C8327F">
              <w:rPr>
                <w:sz w:val="20"/>
                <w:szCs w:val="20"/>
              </w:rPr>
              <w:t>28</w:t>
            </w:r>
          </w:p>
        </w:tc>
        <w:tc>
          <w:tcPr>
            <w:tcW w:w="914" w:type="dxa"/>
            <w:tcBorders>
              <w:bottom w:val="single" w:sz="4" w:space="0" w:color="0079C1" w:themeColor="text2"/>
              <w:right w:val="single" w:sz="4" w:space="0" w:color="0079C1"/>
            </w:tcBorders>
            <w:shd w:val="clear" w:color="auto" w:fill="auto"/>
          </w:tcPr>
          <w:p w14:paraId="10EFF47B" w14:textId="15FC5262" w:rsidR="0045462C" w:rsidRPr="00C8327F" w:rsidRDefault="0045462C" w:rsidP="0045462C">
            <w:pPr>
              <w:pStyle w:val="TableTextCentred"/>
              <w:rPr>
                <w:sz w:val="20"/>
                <w:szCs w:val="20"/>
              </w:rPr>
            </w:pPr>
            <w:r w:rsidRPr="00C8327F">
              <w:rPr>
                <w:sz w:val="20"/>
                <w:szCs w:val="20"/>
              </w:rPr>
              <w:t>25.9%</w:t>
            </w:r>
          </w:p>
        </w:tc>
        <w:tc>
          <w:tcPr>
            <w:tcW w:w="645" w:type="dxa"/>
            <w:gridSpan w:val="2"/>
            <w:tcBorders>
              <w:left w:val="single" w:sz="4" w:space="0" w:color="0079C1"/>
              <w:bottom w:val="single" w:sz="4" w:space="0" w:color="0079C1" w:themeColor="text2"/>
            </w:tcBorders>
            <w:shd w:val="clear" w:color="auto" w:fill="auto"/>
          </w:tcPr>
          <w:p w14:paraId="6082BFA4" w14:textId="3DB47170" w:rsidR="0045462C" w:rsidRPr="00C8327F" w:rsidRDefault="0045462C" w:rsidP="0045462C">
            <w:pPr>
              <w:pStyle w:val="TableTextCentred"/>
              <w:rPr>
                <w:sz w:val="20"/>
                <w:szCs w:val="20"/>
              </w:rPr>
            </w:pPr>
            <w:r w:rsidRPr="00C8327F">
              <w:rPr>
                <w:sz w:val="20"/>
                <w:szCs w:val="20"/>
              </w:rPr>
              <w:t>11</w:t>
            </w:r>
          </w:p>
        </w:tc>
        <w:tc>
          <w:tcPr>
            <w:tcW w:w="992" w:type="dxa"/>
            <w:tcBorders>
              <w:bottom w:val="single" w:sz="4" w:space="0" w:color="0079C1" w:themeColor="text2"/>
              <w:right w:val="single" w:sz="4" w:space="0" w:color="0079C1"/>
            </w:tcBorders>
            <w:shd w:val="clear" w:color="auto" w:fill="auto"/>
          </w:tcPr>
          <w:p w14:paraId="12FECFD2" w14:textId="554C913B" w:rsidR="0045462C" w:rsidRPr="00C8327F" w:rsidRDefault="0045462C" w:rsidP="0045462C">
            <w:pPr>
              <w:pStyle w:val="TableTextCentred"/>
              <w:rPr>
                <w:sz w:val="20"/>
                <w:szCs w:val="20"/>
              </w:rPr>
            </w:pPr>
            <w:r w:rsidRPr="00C8327F">
              <w:rPr>
                <w:sz w:val="20"/>
                <w:szCs w:val="20"/>
              </w:rPr>
              <w:t>57.9%</w:t>
            </w:r>
          </w:p>
        </w:tc>
        <w:tc>
          <w:tcPr>
            <w:tcW w:w="709" w:type="dxa"/>
            <w:tcBorders>
              <w:left w:val="single" w:sz="4" w:space="0" w:color="0079C1"/>
              <w:bottom w:val="single" w:sz="4" w:space="0" w:color="0079C1" w:themeColor="text2"/>
            </w:tcBorders>
            <w:shd w:val="clear" w:color="auto" w:fill="auto"/>
          </w:tcPr>
          <w:p w14:paraId="54776B94" w14:textId="592A37F2" w:rsidR="0045462C" w:rsidRPr="00C8327F" w:rsidRDefault="0045462C" w:rsidP="0045462C">
            <w:pPr>
              <w:pStyle w:val="TableTextCentred"/>
              <w:rPr>
                <w:sz w:val="20"/>
                <w:szCs w:val="20"/>
              </w:rPr>
            </w:pPr>
            <w:r w:rsidRPr="00C8327F">
              <w:rPr>
                <w:sz w:val="20"/>
                <w:szCs w:val="20"/>
              </w:rPr>
              <w:t>47</w:t>
            </w:r>
          </w:p>
        </w:tc>
        <w:tc>
          <w:tcPr>
            <w:tcW w:w="992" w:type="dxa"/>
            <w:tcBorders>
              <w:bottom w:val="single" w:sz="4" w:space="0" w:color="0079C1" w:themeColor="text2"/>
              <w:right w:val="single" w:sz="4" w:space="0" w:color="0079C1"/>
            </w:tcBorders>
            <w:shd w:val="clear" w:color="auto" w:fill="auto"/>
          </w:tcPr>
          <w:p w14:paraId="0466E0C4" w14:textId="7E14DE81" w:rsidR="0045462C" w:rsidRPr="00C8327F" w:rsidRDefault="0045462C" w:rsidP="0045462C">
            <w:pPr>
              <w:pStyle w:val="TableTextCentred"/>
              <w:rPr>
                <w:sz w:val="20"/>
                <w:szCs w:val="20"/>
              </w:rPr>
            </w:pPr>
            <w:r w:rsidRPr="00C8327F">
              <w:rPr>
                <w:sz w:val="20"/>
                <w:szCs w:val="20"/>
              </w:rPr>
              <w:t>64.4%</w:t>
            </w:r>
          </w:p>
        </w:tc>
        <w:tc>
          <w:tcPr>
            <w:tcW w:w="567" w:type="dxa"/>
            <w:tcBorders>
              <w:left w:val="single" w:sz="4" w:space="0" w:color="0079C1"/>
              <w:bottom w:val="single" w:sz="4" w:space="0" w:color="0079C1" w:themeColor="text2"/>
            </w:tcBorders>
            <w:shd w:val="clear" w:color="auto" w:fill="auto"/>
          </w:tcPr>
          <w:p w14:paraId="79C96411" w14:textId="48B4E3F1" w:rsidR="0045462C" w:rsidRPr="00C8327F" w:rsidRDefault="0045462C" w:rsidP="0045462C">
            <w:pPr>
              <w:pStyle w:val="TableTextCentred"/>
              <w:rPr>
                <w:sz w:val="20"/>
                <w:szCs w:val="20"/>
              </w:rPr>
            </w:pPr>
            <w:r w:rsidRPr="00C8327F">
              <w:rPr>
                <w:sz w:val="20"/>
                <w:szCs w:val="20"/>
              </w:rPr>
              <w:t>5</w:t>
            </w:r>
          </w:p>
        </w:tc>
        <w:tc>
          <w:tcPr>
            <w:tcW w:w="993" w:type="dxa"/>
            <w:tcBorders>
              <w:bottom w:val="single" w:sz="4" w:space="0" w:color="0079C1" w:themeColor="text2"/>
              <w:right w:val="single" w:sz="4" w:space="0" w:color="0079C1"/>
            </w:tcBorders>
            <w:shd w:val="clear" w:color="auto" w:fill="auto"/>
          </w:tcPr>
          <w:p w14:paraId="3E10C81A" w14:textId="40D91C32" w:rsidR="0045462C" w:rsidRPr="00C8327F" w:rsidRDefault="0045462C" w:rsidP="0045462C">
            <w:pPr>
              <w:pStyle w:val="TableTextCentred"/>
              <w:rPr>
                <w:sz w:val="20"/>
                <w:szCs w:val="20"/>
              </w:rPr>
            </w:pPr>
            <w:r w:rsidRPr="00C8327F">
              <w:rPr>
                <w:sz w:val="20"/>
                <w:szCs w:val="20"/>
              </w:rPr>
              <w:t>25.0%</w:t>
            </w:r>
          </w:p>
        </w:tc>
        <w:tc>
          <w:tcPr>
            <w:tcW w:w="708" w:type="dxa"/>
            <w:tcBorders>
              <w:left w:val="single" w:sz="4" w:space="0" w:color="0079C1"/>
              <w:bottom w:val="single" w:sz="4" w:space="0" w:color="0079C1" w:themeColor="text2"/>
            </w:tcBorders>
            <w:shd w:val="clear" w:color="auto" w:fill="auto"/>
          </w:tcPr>
          <w:p w14:paraId="24D964E3" w14:textId="0D567B0A" w:rsidR="0045462C" w:rsidRPr="00C8327F" w:rsidRDefault="0045462C" w:rsidP="0045462C">
            <w:pPr>
              <w:pStyle w:val="TableTextCentred"/>
              <w:rPr>
                <w:b/>
                <w:bCs/>
                <w:sz w:val="20"/>
                <w:szCs w:val="20"/>
              </w:rPr>
            </w:pPr>
            <w:r w:rsidRPr="00C8327F">
              <w:rPr>
                <w:b/>
                <w:sz w:val="20"/>
                <w:szCs w:val="20"/>
              </w:rPr>
              <w:t>91</w:t>
            </w:r>
          </w:p>
        </w:tc>
        <w:tc>
          <w:tcPr>
            <w:tcW w:w="886" w:type="dxa"/>
            <w:tcBorders>
              <w:bottom w:val="single" w:sz="4" w:space="0" w:color="0079C1" w:themeColor="text2"/>
            </w:tcBorders>
            <w:shd w:val="clear" w:color="auto" w:fill="auto"/>
          </w:tcPr>
          <w:p w14:paraId="43003154" w14:textId="2416401A" w:rsidR="0045462C" w:rsidRPr="00C8327F" w:rsidRDefault="0045462C" w:rsidP="0045462C">
            <w:pPr>
              <w:pStyle w:val="TableTextCentred"/>
              <w:rPr>
                <w:b/>
                <w:bCs/>
                <w:sz w:val="20"/>
                <w:szCs w:val="20"/>
              </w:rPr>
            </w:pPr>
            <w:r w:rsidRPr="00C8327F">
              <w:rPr>
                <w:b/>
                <w:sz w:val="20"/>
                <w:szCs w:val="20"/>
              </w:rPr>
              <w:t>41.4%</w:t>
            </w:r>
          </w:p>
        </w:tc>
      </w:tr>
      <w:tr w:rsidR="00346E1D" w:rsidRPr="00C8327F" w14:paraId="48020CB5" w14:textId="77777777" w:rsidTr="00C8327F">
        <w:tc>
          <w:tcPr>
            <w:tcW w:w="1269"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0ABE418A" w14:textId="568E65C6" w:rsidR="002D6679" w:rsidRPr="00C8327F" w:rsidRDefault="002D6679" w:rsidP="00347C0D">
            <w:pPr>
              <w:pStyle w:val="TableText"/>
              <w:rPr>
                <w:b/>
                <w:bCs/>
                <w:sz w:val="20"/>
                <w:szCs w:val="20"/>
              </w:rPr>
            </w:pPr>
            <w:r w:rsidRPr="00C8327F">
              <w:rPr>
                <w:b/>
                <w:bCs/>
                <w:sz w:val="20"/>
                <w:szCs w:val="20"/>
              </w:rPr>
              <w:t>Total</w:t>
            </w:r>
          </w:p>
        </w:tc>
        <w:tc>
          <w:tcPr>
            <w:tcW w:w="709"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3FE5147D" w14:textId="77777777" w:rsidR="002D6679" w:rsidRPr="00C8327F" w:rsidRDefault="002D6679" w:rsidP="00347C0D">
            <w:pPr>
              <w:pStyle w:val="TableTextCentred"/>
              <w:rPr>
                <w:b/>
                <w:bCs/>
                <w:sz w:val="20"/>
                <w:szCs w:val="20"/>
              </w:rPr>
            </w:pPr>
            <w:r w:rsidRPr="00C8327F">
              <w:rPr>
                <w:b/>
                <w:bCs/>
                <w:sz w:val="20"/>
                <w:szCs w:val="20"/>
              </w:rPr>
              <w:t>108</w:t>
            </w:r>
          </w:p>
        </w:tc>
        <w:tc>
          <w:tcPr>
            <w:tcW w:w="914"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524FD294" w14:textId="77777777" w:rsidR="002D6679" w:rsidRPr="00C8327F" w:rsidRDefault="002D6679" w:rsidP="00347C0D">
            <w:pPr>
              <w:pStyle w:val="TableTextCentred"/>
              <w:rPr>
                <w:b/>
                <w:bCs/>
                <w:sz w:val="20"/>
                <w:szCs w:val="20"/>
              </w:rPr>
            </w:pPr>
            <w:r w:rsidRPr="00C8327F">
              <w:rPr>
                <w:b/>
                <w:bCs/>
                <w:sz w:val="20"/>
                <w:szCs w:val="20"/>
              </w:rPr>
              <w:t>100.0%</w:t>
            </w:r>
          </w:p>
        </w:tc>
        <w:tc>
          <w:tcPr>
            <w:tcW w:w="645" w:type="dxa"/>
            <w:gridSpan w:val="2"/>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5B4E696E" w14:textId="77777777" w:rsidR="002D6679" w:rsidRPr="00C8327F" w:rsidRDefault="002D6679" w:rsidP="00347C0D">
            <w:pPr>
              <w:pStyle w:val="TableTextCentred"/>
              <w:rPr>
                <w:b/>
                <w:bCs/>
                <w:sz w:val="20"/>
                <w:szCs w:val="20"/>
              </w:rPr>
            </w:pPr>
            <w:r w:rsidRPr="00C8327F">
              <w:rPr>
                <w:b/>
                <w:bCs/>
                <w:sz w:val="20"/>
                <w:szCs w:val="20"/>
              </w:rPr>
              <w:t>19</w:t>
            </w:r>
          </w:p>
        </w:tc>
        <w:tc>
          <w:tcPr>
            <w:tcW w:w="992"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6A2F8FDA" w14:textId="77777777" w:rsidR="002D6679" w:rsidRPr="00C8327F" w:rsidRDefault="002D6679" w:rsidP="00347C0D">
            <w:pPr>
              <w:pStyle w:val="TableTextCentred"/>
              <w:rPr>
                <w:b/>
                <w:bCs/>
                <w:sz w:val="20"/>
                <w:szCs w:val="20"/>
              </w:rPr>
            </w:pPr>
            <w:r w:rsidRPr="00C8327F">
              <w:rPr>
                <w:b/>
                <w:bCs/>
                <w:sz w:val="20"/>
                <w:szCs w:val="20"/>
              </w:rPr>
              <w:t>100.0%</w:t>
            </w:r>
          </w:p>
        </w:tc>
        <w:tc>
          <w:tcPr>
            <w:tcW w:w="709"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3DAE97CE" w14:textId="77777777" w:rsidR="002D6679" w:rsidRPr="00C8327F" w:rsidRDefault="002D6679" w:rsidP="00347C0D">
            <w:pPr>
              <w:pStyle w:val="TableTextCentred"/>
              <w:rPr>
                <w:b/>
                <w:bCs/>
                <w:sz w:val="20"/>
                <w:szCs w:val="20"/>
              </w:rPr>
            </w:pPr>
            <w:r w:rsidRPr="00C8327F">
              <w:rPr>
                <w:b/>
                <w:bCs/>
                <w:sz w:val="20"/>
                <w:szCs w:val="20"/>
              </w:rPr>
              <w:t>73</w:t>
            </w:r>
          </w:p>
        </w:tc>
        <w:tc>
          <w:tcPr>
            <w:tcW w:w="992"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6E028C1B" w14:textId="77777777" w:rsidR="002D6679" w:rsidRPr="00C8327F" w:rsidRDefault="002D6679" w:rsidP="00347C0D">
            <w:pPr>
              <w:pStyle w:val="TableTextCentred"/>
              <w:rPr>
                <w:b/>
                <w:bCs/>
                <w:sz w:val="20"/>
                <w:szCs w:val="20"/>
              </w:rPr>
            </w:pPr>
            <w:r w:rsidRPr="00C8327F">
              <w:rPr>
                <w:b/>
                <w:bCs/>
                <w:sz w:val="20"/>
                <w:szCs w:val="20"/>
              </w:rPr>
              <w:t>100.0%</w:t>
            </w:r>
          </w:p>
        </w:tc>
        <w:tc>
          <w:tcPr>
            <w:tcW w:w="567"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72C5D294" w14:textId="77777777" w:rsidR="002D6679" w:rsidRPr="00C8327F" w:rsidRDefault="002D6679" w:rsidP="00347C0D">
            <w:pPr>
              <w:pStyle w:val="TableTextCentred"/>
              <w:rPr>
                <w:b/>
                <w:bCs/>
                <w:sz w:val="20"/>
                <w:szCs w:val="20"/>
              </w:rPr>
            </w:pPr>
            <w:r w:rsidRPr="00C8327F">
              <w:rPr>
                <w:b/>
                <w:bCs/>
                <w:sz w:val="20"/>
                <w:szCs w:val="20"/>
              </w:rPr>
              <w:t>20</w:t>
            </w:r>
          </w:p>
        </w:tc>
        <w:tc>
          <w:tcPr>
            <w:tcW w:w="993"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2A2C71D3" w14:textId="77777777" w:rsidR="002D6679" w:rsidRPr="00C8327F" w:rsidRDefault="002D6679" w:rsidP="00347C0D">
            <w:pPr>
              <w:pStyle w:val="TableTextCentred"/>
              <w:rPr>
                <w:b/>
                <w:bCs/>
                <w:sz w:val="20"/>
                <w:szCs w:val="20"/>
              </w:rPr>
            </w:pPr>
            <w:r w:rsidRPr="00C8327F">
              <w:rPr>
                <w:b/>
                <w:bCs/>
                <w:sz w:val="20"/>
                <w:szCs w:val="20"/>
              </w:rPr>
              <w:t>100.0%</w:t>
            </w:r>
          </w:p>
        </w:tc>
        <w:tc>
          <w:tcPr>
            <w:tcW w:w="708"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06178173" w14:textId="77777777" w:rsidR="002D6679" w:rsidRPr="00C8327F" w:rsidRDefault="002D6679" w:rsidP="00347C0D">
            <w:pPr>
              <w:pStyle w:val="TableTextCentred"/>
              <w:rPr>
                <w:b/>
                <w:bCs/>
                <w:sz w:val="20"/>
                <w:szCs w:val="20"/>
              </w:rPr>
            </w:pPr>
            <w:r w:rsidRPr="00C8327F">
              <w:rPr>
                <w:b/>
                <w:bCs/>
                <w:sz w:val="20"/>
                <w:szCs w:val="20"/>
              </w:rPr>
              <w:t>220</w:t>
            </w:r>
          </w:p>
        </w:tc>
        <w:tc>
          <w:tcPr>
            <w:tcW w:w="886" w:type="dxa"/>
            <w:tcBorders>
              <w:top w:val="single" w:sz="4" w:space="0" w:color="0079C1" w:themeColor="text2"/>
              <w:bottom w:val="single" w:sz="4" w:space="0" w:color="0079C1" w:themeColor="text2"/>
            </w:tcBorders>
            <w:shd w:val="clear" w:color="auto" w:fill="E2F4FF" w:themeFill="accent1" w:themeFillTint="33"/>
            <w:vAlign w:val="center"/>
          </w:tcPr>
          <w:p w14:paraId="4ECDCB6E" w14:textId="77777777" w:rsidR="002D6679" w:rsidRPr="00C8327F" w:rsidRDefault="002D6679" w:rsidP="00347C0D">
            <w:pPr>
              <w:pStyle w:val="TableTextCentred"/>
              <w:rPr>
                <w:b/>
                <w:bCs/>
                <w:sz w:val="20"/>
                <w:szCs w:val="20"/>
              </w:rPr>
            </w:pPr>
            <w:r w:rsidRPr="00C8327F">
              <w:rPr>
                <w:b/>
                <w:bCs/>
                <w:sz w:val="20"/>
                <w:szCs w:val="20"/>
              </w:rPr>
              <w:t>100.0%</w:t>
            </w:r>
          </w:p>
        </w:tc>
      </w:tr>
    </w:tbl>
    <w:p w14:paraId="15D38474" w14:textId="232EB514" w:rsidR="00DE5BBB" w:rsidRPr="00CE0A2C" w:rsidRDefault="004736E9" w:rsidP="00DE5BBB">
      <w:pPr>
        <w:pStyle w:val="Paragraph"/>
        <w:rPr>
          <w:noProof/>
        </w:rPr>
      </w:pPr>
      <w:bookmarkStart w:id="124" w:name="_Hlk489962155"/>
      <w:r>
        <w:t>Those who had used the online contact form reported high levels of satisfa</w:t>
      </w:r>
      <w:r w:rsidR="002E6FE5">
        <w:t xml:space="preserve">ction with the timeliness </w:t>
      </w:r>
      <w:bookmarkStart w:id="125" w:name="_Hlk489958658"/>
      <w:r w:rsidR="002E6FE5">
        <w:t>(44/65</w:t>
      </w:r>
      <w:r>
        <w:t xml:space="preserve">, </w:t>
      </w:r>
      <w:r w:rsidR="00716CEC">
        <w:t>67.7</w:t>
      </w:r>
      <w:r>
        <w:t xml:space="preserve">%) </w:t>
      </w:r>
      <w:r w:rsidR="00DE5BBB">
        <w:t>and the usefulness</w:t>
      </w:r>
      <w:r w:rsidR="00787D75">
        <w:t xml:space="preserve"> (36/</w:t>
      </w:r>
      <w:r w:rsidR="00561FAD">
        <w:t>65, 55.4%</w:t>
      </w:r>
      <w:r w:rsidR="00787D75">
        <w:t>)</w:t>
      </w:r>
      <w:bookmarkEnd w:id="125"/>
      <w:r w:rsidR="00787D75">
        <w:t xml:space="preserve"> </w:t>
      </w:r>
      <w:r w:rsidR="00DE5BBB">
        <w:t xml:space="preserve">of </w:t>
      </w:r>
      <w:r w:rsidR="00DE5BBB" w:rsidRPr="00DE5BBB">
        <w:t>t</w:t>
      </w:r>
      <w:bookmarkStart w:id="126" w:name="_Hlk489958685"/>
      <w:r w:rsidR="00DE5BBB" w:rsidRPr="00DE5BBB">
        <w:t>he response they received</w:t>
      </w:r>
      <w:bookmarkEnd w:id="126"/>
      <w:r w:rsidR="00DE5BBB">
        <w:t xml:space="preserve"> </w:t>
      </w:r>
      <w:r>
        <w:t>(</w:t>
      </w:r>
      <w:r w:rsidRPr="00DE5BBB">
        <w:rPr>
          <w:rStyle w:val="Emphasis"/>
        </w:rPr>
        <w:fldChar w:fldCharType="begin"/>
      </w:r>
      <w:r w:rsidRPr="00DE5BBB">
        <w:rPr>
          <w:rStyle w:val="Emphasis"/>
        </w:rPr>
        <w:instrText xml:space="preserve"> REF _Ref463010543 \h </w:instrText>
      </w:r>
      <w:r w:rsidR="00DE5BBB">
        <w:rPr>
          <w:rStyle w:val="Emphasis"/>
        </w:rPr>
        <w:instrText xml:space="preserve"> \* MERGEFORMAT </w:instrText>
      </w:r>
      <w:r w:rsidRPr="00DE5BBB">
        <w:rPr>
          <w:rStyle w:val="Emphasis"/>
        </w:rPr>
      </w:r>
      <w:r w:rsidRPr="00DE5BBB">
        <w:rPr>
          <w:rStyle w:val="Emphasis"/>
        </w:rPr>
        <w:fldChar w:fldCharType="separate"/>
      </w:r>
      <w:r w:rsidR="00487073" w:rsidRPr="00487073">
        <w:rPr>
          <w:rStyle w:val="Emphasis"/>
        </w:rPr>
        <w:t>Table 5</w:t>
      </w:r>
      <w:r w:rsidR="00487073" w:rsidRPr="00487073">
        <w:rPr>
          <w:rStyle w:val="Emphasis"/>
        </w:rPr>
        <w:noBreakHyphen/>
        <w:t>14</w:t>
      </w:r>
      <w:r w:rsidRPr="00DE5BBB">
        <w:rPr>
          <w:rStyle w:val="Emphasis"/>
        </w:rPr>
        <w:fldChar w:fldCharType="end"/>
      </w:r>
      <w:r w:rsidR="00DE5BBB" w:rsidRPr="00DE5BBB">
        <w:rPr>
          <w:rStyle w:val="Emphasis"/>
        </w:rPr>
        <w:t xml:space="preserve"> </w:t>
      </w:r>
      <w:r w:rsidR="00DE5BBB">
        <w:t xml:space="preserve">and </w:t>
      </w:r>
      <w:r w:rsidR="00DE5BBB" w:rsidRPr="0096287B">
        <w:rPr>
          <w:rStyle w:val="Emphasis"/>
          <w:i w:val="0"/>
        </w:rPr>
        <w:fldChar w:fldCharType="begin"/>
      </w:r>
      <w:r w:rsidR="00DE5BBB" w:rsidRPr="0096287B">
        <w:rPr>
          <w:rStyle w:val="Emphasis"/>
          <w:i w:val="0"/>
        </w:rPr>
        <w:instrText xml:space="preserve"> REF _Ref463010553 \h  \* MERGEFORMAT </w:instrText>
      </w:r>
      <w:r w:rsidR="00DE5BBB" w:rsidRPr="0096287B">
        <w:rPr>
          <w:rStyle w:val="Emphasis"/>
          <w:i w:val="0"/>
        </w:rPr>
      </w:r>
      <w:r w:rsidR="00DE5BBB" w:rsidRPr="0096287B">
        <w:rPr>
          <w:rStyle w:val="Emphasis"/>
          <w:i w:val="0"/>
        </w:rPr>
        <w:fldChar w:fldCharType="separate"/>
      </w:r>
      <w:r w:rsidR="00487073" w:rsidRPr="00487073">
        <w:rPr>
          <w:i/>
          <w:noProof/>
        </w:rPr>
        <w:t>Table 5</w:t>
      </w:r>
      <w:r w:rsidR="00487073" w:rsidRPr="00487073">
        <w:rPr>
          <w:i/>
          <w:noProof/>
        </w:rPr>
        <w:noBreakHyphen/>
        <w:t>15</w:t>
      </w:r>
      <w:r w:rsidR="00DE5BBB" w:rsidRPr="0096287B">
        <w:rPr>
          <w:rStyle w:val="Emphasis"/>
          <w:i w:val="0"/>
        </w:rPr>
        <w:fldChar w:fldCharType="end"/>
      </w:r>
      <w:r w:rsidR="00DE5BBB" w:rsidRPr="0096287B">
        <w:rPr>
          <w:rStyle w:val="Emphasis"/>
          <w:i w:val="0"/>
        </w:rPr>
        <w:t xml:space="preserve"> </w:t>
      </w:r>
      <w:r w:rsidR="00DE5BBB">
        <w:t>respectively).</w:t>
      </w:r>
    </w:p>
    <w:p w14:paraId="1A6CDE2F" w14:textId="1058F084" w:rsidR="00BC50B2" w:rsidRDefault="005762AD" w:rsidP="00BC50B2">
      <w:pPr>
        <w:pStyle w:val="Caption"/>
      </w:pPr>
      <w:bookmarkStart w:id="127" w:name="_Ref463010543"/>
      <w:bookmarkStart w:id="128" w:name="_Toc490481664"/>
      <w:bookmarkEnd w:id="124"/>
      <w:r>
        <w:lastRenderedPageBreak/>
        <w:t>T</w:t>
      </w:r>
      <w:r w:rsidR="00BC50B2">
        <w:t xml:space="preserve">able </w:t>
      </w:r>
      <w:r w:rsidR="00644B63">
        <w:fldChar w:fldCharType="begin"/>
      </w:r>
      <w:r w:rsidR="00644B63">
        <w:instrText xml:space="preserve"> STYLEREF 1 \s </w:instrText>
      </w:r>
      <w:r w:rsidR="00644B63">
        <w:fldChar w:fldCharType="separate"/>
      </w:r>
      <w:r w:rsidR="00487073">
        <w:rPr>
          <w:noProof/>
        </w:rPr>
        <w:t>5</w:t>
      </w:r>
      <w:r w:rsidR="00644B63">
        <w:fldChar w:fldCharType="end"/>
      </w:r>
      <w:r w:rsidR="00644B63">
        <w:noBreakHyphen/>
      </w:r>
      <w:r w:rsidR="00644B63">
        <w:fldChar w:fldCharType="begin"/>
      </w:r>
      <w:r w:rsidR="00644B63">
        <w:instrText xml:space="preserve"> SEQ Table \* ARABIC \s 1 </w:instrText>
      </w:r>
      <w:r w:rsidR="00644B63">
        <w:fldChar w:fldCharType="separate"/>
      </w:r>
      <w:r w:rsidR="00487073">
        <w:rPr>
          <w:noProof/>
        </w:rPr>
        <w:t>14</w:t>
      </w:r>
      <w:r w:rsidR="00644B63">
        <w:fldChar w:fldCharType="end"/>
      </w:r>
      <w:bookmarkEnd w:id="127"/>
      <w:r w:rsidR="00BC50B2">
        <w:t>:</w:t>
      </w:r>
      <w:r w:rsidR="00BC50B2">
        <w:tab/>
        <w:t>How satisfied were you with the timeliness of the response you received to the online contact form?</w:t>
      </w:r>
      <w:bookmarkEnd w:id="128"/>
    </w:p>
    <w:tbl>
      <w:tblPr>
        <w:tblStyle w:val="TableGrid"/>
        <w:tblW w:w="9207" w:type="dxa"/>
        <w:tblInd w:w="108"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Description w:val="Table 5 14: How satisfied were you with the timeliness of the response you received to the online contact form?"/>
      </w:tblPr>
      <w:tblGrid>
        <w:gridCol w:w="1406"/>
        <w:gridCol w:w="571"/>
        <w:gridCol w:w="993"/>
        <w:gridCol w:w="610"/>
        <w:gridCol w:w="949"/>
        <w:gridCol w:w="551"/>
        <w:gridCol w:w="1009"/>
        <w:gridCol w:w="551"/>
        <w:gridCol w:w="1008"/>
        <w:gridCol w:w="590"/>
        <w:gridCol w:w="969"/>
      </w:tblGrid>
      <w:tr w:rsidR="00B4470C" w:rsidRPr="00C8327F" w14:paraId="2A4AB406" w14:textId="77777777" w:rsidTr="008E7495">
        <w:trPr>
          <w:tblHeader/>
        </w:trPr>
        <w:tc>
          <w:tcPr>
            <w:tcW w:w="1406" w:type="dxa"/>
            <w:vMerge w:val="restart"/>
            <w:shd w:val="clear" w:color="auto" w:fill="0070C0"/>
            <w:vAlign w:val="center"/>
          </w:tcPr>
          <w:p w14:paraId="5D9475C8" w14:textId="77777777" w:rsidR="00BC50B2" w:rsidRPr="00C8327F" w:rsidRDefault="00BC50B2" w:rsidP="00B4470C">
            <w:pPr>
              <w:pStyle w:val="TableHeading1"/>
              <w:rPr>
                <w:sz w:val="20"/>
              </w:rPr>
            </w:pPr>
            <w:r w:rsidRPr="00C8327F">
              <w:rPr>
                <w:sz w:val="20"/>
              </w:rPr>
              <w:t>Timeliness of response</w:t>
            </w:r>
          </w:p>
        </w:tc>
        <w:tc>
          <w:tcPr>
            <w:tcW w:w="3123" w:type="dxa"/>
            <w:gridSpan w:val="4"/>
            <w:shd w:val="clear" w:color="auto" w:fill="0070C0"/>
            <w:vAlign w:val="center"/>
          </w:tcPr>
          <w:p w14:paraId="23776927" w14:textId="77777777" w:rsidR="00BC50B2" w:rsidRPr="00C8327F" w:rsidRDefault="00BC50B2" w:rsidP="00B4470C">
            <w:pPr>
              <w:pStyle w:val="TableHeading1Centred"/>
              <w:rPr>
                <w:sz w:val="20"/>
              </w:rPr>
            </w:pPr>
            <w:r w:rsidRPr="00C8327F">
              <w:rPr>
                <w:sz w:val="20"/>
              </w:rPr>
              <w:t>Wanting to adopt</w:t>
            </w:r>
          </w:p>
        </w:tc>
        <w:tc>
          <w:tcPr>
            <w:tcW w:w="1560" w:type="dxa"/>
            <w:gridSpan w:val="2"/>
            <w:vMerge w:val="restart"/>
            <w:shd w:val="clear" w:color="auto" w:fill="0070C0"/>
            <w:vAlign w:val="center"/>
          </w:tcPr>
          <w:p w14:paraId="3709BB6F" w14:textId="77777777" w:rsidR="00BC50B2" w:rsidRPr="00C8327F" w:rsidRDefault="00BC50B2" w:rsidP="00B4470C">
            <w:pPr>
              <w:pStyle w:val="TableHeading1Centred"/>
              <w:rPr>
                <w:sz w:val="20"/>
              </w:rPr>
            </w:pPr>
            <w:r w:rsidRPr="00C8327F">
              <w:rPr>
                <w:sz w:val="20"/>
              </w:rPr>
              <w:t>Post adoption</w:t>
            </w:r>
          </w:p>
        </w:tc>
        <w:tc>
          <w:tcPr>
            <w:tcW w:w="1559" w:type="dxa"/>
            <w:gridSpan w:val="2"/>
            <w:vMerge w:val="restart"/>
            <w:shd w:val="clear" w:color="auto" w:fill="0070C0"/>
            <w:vAlign w:val="center"/>
          </w:tcPr>
          <w:p w14:paraId="0B6868FE" w14:textId="77777777" w:rsidR="00BC50B2" w:rsidRPr="00C8327F" w:rsidRDefault="00BC50B2" w:rsidP="00B4470C">
            <w:pPr>
              <w:pStyle w:val="TableHeading1Centred"/>
              <w:rPr>
                <w:sz w:val="20"/>
              </w:rPr>
            </w:pPr>
            <w:r w:rsidRPr="00C8327F">
              <w:rPr>
                <w:sz w:val="20"/>
              </w:rPr>
              <w:t>Did not continue</w:t>
            </w:r>
          </w:p>
        </w:tc>
        <w:tc>
          <w:tcPr>
            <w:tcW w:w="1559" w:type="dxa"/>
            <w:gridSpan w:val="2"/>
            <w:vMerge w:val="restart"/>
            <w:shd w:val="clear" w:color="auto" w:fill="0070C0"/>
            <w:vAlign w:val="center"/>
          </w:tcPr>
          <w:p w14:paraId="3F909FAE" w14:textId="77777777" w:rsidR="00BC50B2" w:rsidRPr="00C8327F" w:rsidRDefault="00BC50B2" w:rsidP="00B4470C">
            <w:pPr>
              <w:pStyle w:val="TableHeading1Centred"/>
              <w:rPr>
                <w:sz w:val="20"/>
              </w:rPr>
            </w:pPr>
            <w:r w:rsidRPr="00C8327F">
              <w:rPr>
                <w:sz w:val="20"/>
              </w:rPr>
              <w:t>Total</w:t>
            </w:r>
          </w:p>
        </w:tc>
      </w:tr>
      <w:tr w:rsidR="00B4470C" w:rsidRPr="00C8327F" w14:paraId="04236E67" w14:textId="77777777" w:rsidTr="008E7495">
        <w:trPr>
          <w:tblHeader/>
        </w:trPr>
        <w:tc>
          <w:tcPr>
            <w:tcW w:w="1406" w:type="dxa"/>
            <w:vMerge/>
            <w:shd w:val="clear" w:color="auto" w:fill="0079C1" w:themeFill="text2"/>
            <w:vAlign w:val="center"/>
          </w:tcPr>
          <w:p w14:paraId="0EE90D8B" w14:textId="77777777" w:rsidR="00BC50B2" w:rsidRPr="00C8327F" w:rsidRDefault="00BC50B2" w:rsidP="00B4470C">
            <w:pPr>
              <w:pStyle w:val="TableHeading1Centred"/>
              <w:jc w:val="left"/>
              <w:rPr>
                <w:sz w:val="20"/>
              </w:rPr>
            </w:pPr>
          </w:p>
        </w:tc>
        <w:tc>
          <w:tcPr>
            <w:tcW w:w="1564" w:type="dxa"/>
            <w:gridSpan w:val="2"/>
            <w:shd w:val="clear" w:color="auto" w:fill="0070C0"/>
            <w:vAlign w:val="center"/>
          </w:tcPr>
          <w:p w14:paraId="1DB94C4A" w14:textId="77777777" w:rsidR="00BC50B2" w:rsidRPr="00C8327F" w:rsidRDefault="00BC50B2" w:rsidP="00B4470C">
            <w:pPr>
              <w:pStyle w:val="TableHeading1Centred"/>
              <w:rPr>
                <w:sz w:val="20"/>
              </w:rPr>
            </w:pPr>
            <w:r w:rsidRPr="00C8327F">
              <w:rPr>
                <w:sz w:val="20"/>
              </w:rPr>
              <w:t>First time</w:t>
            </w:r>
          </w:p>
        </w:tc>
        <w:tc>
          <w:tcPr>
            <w:tcW w:w="1559" w:type="dxa"/>
            <w:gridSpan w:val="2"/>
            <w:shd w:val="clear" w:color="auto" w:fill="0070C0"/>
            <w:vAlign w:val="center"/>
          </w:tcPr>
          <w:p w14:paraId="68B06E99" w14:textId="77777777" w:rsidR="00BC50B2" w:rsidRPr="00C8327F" w:rsidRDefault="00BC50B2" w:rsidP="00B4470C">
            <w:pPr>
              <w:pStyle w:val="TableHeading1Centred"/>
              <w:rPr>
                <w:sz w:val="20"/>
              </w:rPr>
            </w:pPr>
            <w:r w:rsidRPr="00C8327F">
              <w:rPr>
                <w:sz w:val="20"/>
              </w:rPr>
              <w:t>Repeat</w:t>
            </w:r>
          </w:p>
        </w:tc>
        <w:tc>
          <w:tcPr>
            <w:tcW w:w="1560" w:type="dxa"/>
            <w:gridSpan w:val="2"/>
            <w:vMerge/>
            <w:shd w:val="clear" w:color="auto" w:fill="0070C0"/>
            <w:vAlign w:val="center"/>
          </w:tcPr>
          <w:p w14:paraId="538FDADE" w14:textId="77777777" w:rsidR="00BC50B2" w:rsidRPr="00C8327F" w:rsidRDefault="00BC50B2" w:rsidP="00B4470C">
            <w:pPr>
              <w:pStyle w:val="TableHeading1Centred"/>
              <w:rPr>
                <w:sz w:val="20"/>
              </w:rPr>
            </w:pPr>
          </w:p>
        </w:tc>
        <w:tc>
          <w:tcPr>
            <w:tcW w:w="1559" w:type="dxa"/>
            <w:gridSpan w:val="2"/>
            <w:vMerge/>
            <w:shd w:val="clear" w:color="auto" w:fill="0070C0"/>
            <w:vAlign w:val="center"/>
          </w:tcPr>
          <w:p w14:paraId="50CC5715" w14:textId="77777777" w:rsidR="00BC50B2" w:rsidRPr="00C8327F" w:rsidRDefault="00BC50B2" w:rsidP="00B4470C">
            <w:pPr>
              <w:pStyle w:val="TableHeading1Centred"/>
              <w:rPr>
                <w:sz w:val="20"/>
              </w:rPr>
            </w:pPr>
          </w:p>
        </w:tc>
        <w:tc>
          <w:tcPr>
            <w:tcW w:w="1559" w:type="dxa"/>
            <w:gridSpan w:val="2"/>
            <w:vMerge/>
            <w:shd w:val="clear" w:color="auto" w:fill="0070C0"/>
            <w:vAlign w:val="center"/>
          </w:tcPr>
          <w:p w14:paraId="4A3591B3" w14:textId="77777777" w:rsidR="00BC50B2" w:rsidRPr="00C8327F" w:rsidRDefault="00BC50B2" w:rsidP="00B4470C">
            <w:pPr>
              <w:pStyle w:val="TableHeading1Centred"/>
              <w:rPr>
                <w:sz w:val="20"/>
              </w:rPr>
            </w:pPr>
          </w:p>
        </w:tc>
      </w:tr>
      <w:tr w:rsidR="00B4470C" w:rsidRPr="00C8327F" w14:paraId="464290A2" w14:textId="77777777" w:rsidTr="008E7495">
        <w:trPr>
          <w:tblHeader/>
        </w:trPr>
        <w:tc>
          <w:tcPr>
            <w:tcW w:w="1406" w:type="dxa"/>
            <w:vMerge/>
            <w:vAlign w:val="center"/>
          </w:tcPr>
          <w:p w14:paraId="5E4F07E2" w14:textId="77777777" w:rsidR="00BC50B2" w:rsidRPr="00C8327F" w:rsidRDefault="00BC50B2" w:rsidP="00B4470C">
            <w:pPr>
              <w:pStyle w:val="TableHeading1Centred"/>
              <w:jc w:val="left"/>
              <w:rPr>
                <w:sz w:val="20"/>
              </w:rPr>
            </w:pPr>
          </w:p>
        </w:tc>
        <w:tc>
          <w:tcPr>
            <w:tcW w:w="571" w:type="dxa"/>
            <w:shd w:val="clear" w:color="auto" w:fill="0070C0"/>
            <w:vAlign w:val="center"/>
          </w:tcPr>
          <w:p w14:paraId="18EE5839" w14:textId="77777777" w:rsidR="00BC50B2" w:rsidRPr="00C8327F" w:rsidRDefault="00BC50B2" w:rsidP="00B4470C">
            <w:pPr>
              <w:pStyle w:val="TableHeading1Centred"/>
              <w:rPr>
                <w:sz w:val="20"/>
              </w:rPr>
            </w:pPr>
            <w:r w:rsidRPr="00C8327F">
              <w:rPr>
                <w:sz w:val="20"/>
              </w:rPr>
              <w:t>n</w:t>
            </w:r>
          </w:p>
        </w:tc>
        <w:tc>
          <w:tcPr>
            <w:tcW w:w="993" w:type="dxa"/>
            <w:shd w:val="clear" w:color="auto" w:fill="0070C0"/>
            <w:vAlign w:val="center"/>
          </w:tcPr>
          <w:p w14:paraId="0ABB447F" w14:textId="77777777" w:rsidR="00BC50B2" w:rsidRPr="00C8327F" w:rsidRDefault="00BC50B2" w:rsidP="00B4470C">
            <w:pPr>
              <w:pStyle w:val="TableHeading1Centred"/>
              <w:rPr>
                <w:sz w:val="20"/>
              </w:rPr>
            </w:pPr>
            <w:r w:rsidRPr="00C8327F">
              <w:rPr>
                <w:sz w:val="20"/>
              </w:rPr>
              <w:t>%</w:t>
            </w:r>
          </w:p>
        </w:tc>
        <w:tc>
          <w:tcPr>
            <w:tcW w:w="610" w:type="dxa"/>
            <w:shd w:val="clear" w:color="auto" w:fill="0070C0"/>
            <w:vAlign w:val="center"/>
          </w:tcPr>
          <w:p w14:paraId="4D3F820B" w14:textId="77777777" w:rsidR="00BC50B2" w:rsidRPr="00C8327F" w:rsidRDefault="00BC50B2" w:rsidP="00B4470C">
            <w:pPr>
              <w:pStyle w:val="TableHeading1Centred"/>
              <w:rPr>
                <w:sz w:val="20"/>
              </w:rPr>
            </w:pPr>
            <w:r w:rsidRPr="00C8327F">
              <w:rPr>
                <w:sz w:val="20"/>
              </w:rPr>
              <w:t>n</w:t>
            </w:r>
          </w:p>
        </w:tc>
        <w:tc>
          <w:tcPr>
            <w:tcW w:w="949" w:type="dxa"/>
            <w:shd w:val="clear" w:color="auto" w:fill="0070C0"/>
            <w:vAlign w:val="center"/>
          </w:tcPr>
          <w:p w14:paraId="186CCBE5" w14:textId="77777777" w:rsidR="00BC50B2" w:rsidRPr="00C8327F" w:rsidRDefault="00BC50B2" w:rsidP="00B4470C">
            <w:pPr>
              <w:pStyle w:val="TableHeading1Centred"/>
              <w:rPr>
                <w:sz w:val="20"/>
              </w:rPr>
            </w:pPr>
            <w:r w:rsidRPr="00C8327F">
              <w:rPr>
                <w:sz w:val="20"/>
              </w:rPr>
              <w:t>%</w:t>
            </w:r>
          </w:p>
        </w:tc>
        <w:tc>
          <w:tcPr>
            <w:tcW w:w="551" w:type="dxa"/>
            <w:shd w:val="clear" w:color="auto" w:fill="0070C0"/>
            <w:vAlign w:val="center"/>
          </w:tcPr>
          <w:p w14:paraId="20D6D940" w14:textId="77777777" w:rsidR="00BC50B2" w:rsidRPr="00C8327F" w:rsidRDefault="00BC50B2" w:rsidP="00B4470C">
            <w:pPr>
              <w:pStyle w:val="TableHeading1Centred"/>
              <w:rPr>
                <w:sz w:val="20"/>
              </w:rPr>
            </w:pPr>
            <w:r w:rsidRPr="00C8327F">
              <w:rPr>
                <w:sz w:val="20"/>
              </w:rPr>
              <w:t>n</w:t>
            </w:r>
          </w:p>
        </w:tc>
        <w:tc>
          <w:tcPr>
            <w:tcW w:w="1009" w:type="dxa"/>
            <w:shd w:val="clear" w:color="auto" w:fill="0070C0"/>
            <w:vAlign w:val="center"/>
          </w:tcPr>
          <w:p w14:paraId="6D59238B" w14:textId="77777777" w:rsidR="00BC50B2" w:rsidRPr="00C8327F" w:rsidRDefault="00BC50B2" w:rsidP="00B4470C">
            <w:pPr>
              <w:pStyle w:val="TableHeading1Centred"/>
              <w:rPr>
                <w:sz w:val="20"/>
              </w:rPr>
            </w:pPr>
            <w:r w:rsidRPr="00C8327F">
              <w:rPr>
                <w:sz w:val="20"/>
              </w:rPr>
              <w:t>%</w:t>
            </w:r>
          </w:p>
        </w:tc>
        <w:tc>
          <w:tcPr>
            <w:tcW w:w="551" w:type="dxa"/>
            <w:shd w:val="clear" w:color="auto" w:fill="0070C0"/>
            <w:vAlign w:val="center"/>
          </w:tcPr>
          <w:p w14:paraId="0FB58DA6" w14:textId="77777777" w:rsidR="00BC50B2" w:rsidRPr="00C8327F" w:rsidRDefault="00BC50B2" w:rsidP="00B4470C">
            <w:pPr>
              <w:pStyle w:val="TableHeading1Centred"/>
              <w:rPr>
                <w:sz w:val="20"/>
              </w:rPr>
            </w:pPr>
            <w:r w:rsidRPr="00C8327F">
              <w:rPr>
                <w:sz w:val="20"/>
              </w:rPr>
              <w:t>n</w:t>
            </w:r>
          </w:p>
        </w:tc>
        <w:tc>
          <w:tcPr>
            <w:tcW w:w="1008" w:type="dxa"/>
            <w:shd w:val="clear" w:color="auto" w:fill="0070C0"/>
            <w:vAlign w:val="center"/>
          </w:tcPr>
          <w:p w14:paraId="4307E069" w14:textId="77777777" w:rsidR="00BC50B2" w:rsidRPr="00C8327F" w:rsidRDefault="00BC50B2" w:rsidP="00B4470C">
            <w:pPr>
              <w:pStyle w:val="TableHeading1Centred"/>
              <w:rPr>
                <w:sz w:val="20"/>
              </w:rPr>
            </w:pPr>
            <w:r w:rsidRPr="00C8327F">
              <w:rPr>
                <w:sz w:val="20"/>
              </w:rPr>
              <w:t>%</w:t>
            </w:r>
          </w:p>
        </w:tc>
        <w:tc>
          <w:tcPr>
            <w:tcW w:w="590" w:type="dxa"/>
            <w:shd w:val="clear" w:color="auto" w:fill="0070C0"/>
            <w:vAlign w:val="center"/>
          </w:tcPr>
          <w:p w14:paraId="20390472" w14:textId="77777777" w:rsidR="00BC50B2" w:rsidRPr="00C8327F" w:rsidRDefault="00BC50B2" w:rsidP="00B4470C">
            <w:pPr>
              <w:pStyle w:val="TableHeading1Centred"/>
              <w:rPr>
                <w:sz w:val="20"/>
              </w:rPr>
            </w:pPr>
            <w:r w:rsidRPr="00C8327F">
              <w:rPr>
                <w:sz w:val="20"/>
              </w:rPr>
              <w:t>n</w:t>
            </w:r>
          </w:p>
        </w:tc>
        <w:tc>
          <w:tcPr>
            <w:tcW w:w="969" w:type="dxa"/>
            <w:shd w:val="clear" w:color="auto" w:fill="0070C0"/>
            <w:vAlign w:val="center"/>
          </w:tcPr>
          <w:p w14:paraId="466C5D42" w14:textId="77777777" w:rsidR="00BC50B2" w:rsidRPr="00C8327F" w:rsidRDefault="00BC50B2" w:rsidP="00B4470C">
            <w:pPr>
              <w:pStyle w:val="TableHeading1Centred"/>
              <w:rPr>
                <w:sz w:val="20"/>
              </w:rPr>
            </w:pPr>
            <w:r w:rsidRPr="00C8327F">
              <w:rPr>
                <w:sz w:val="20"/>
              </w:rPr>
              <w:t>%</w:t>
            </w:r>
          </w:p>
        </w:tc>
      </w:tr>
      <w:tr w:rsidR="0045462C" w:rsidRPr="00C8327F" w14:paraId="74FE49F8" w14:textId="77777777" w:rsidTr="00C8327F">
        <w:trPr>
          <w:trHeight w:val="249"/>
        </w:trPr>
        <w:tc>
          <w:tcPr>
            <w:tcW w:w="1406" w:type="dxa"/>
            <w:tcBorders>
              <w:right w:val="single" w:sz="4" w:space="0" w:color="0079C1"/>
            </w:tcBorders>
            <w:shd w:val="clear" w:color="auto" w:fill="auto"/>
            <w:vAlign w:val="center"/>
          </w:tcPr>
          <w:p w14:paraId="02B360A9" w14:textId="77777777" w:rsidR="0045462C" w:rsidRPr="00C8327F" w:rsidRDefault="0045462C" w:rsidP="0045462C">
            <w:pPr>
              <w:pStyle w:val="TableText"/>
              <w:rPr>
                <w:sz w:val="20"/>
                <w:szCs w:val="20"/>
              </w:rPr>
            </w:pPr>
            <w:r w:rsidRPr="00C8327F">
              <w:rPr>
                <w:sz w:val="20"/>
                <w:szCs w:val="20"/>
              </w:rPr>
              <w:t>Very satisfied</w:t>
            </w:r>
          </w:p>
        </w:tc>
        <w:tc>
          <w:tcPr>
            <w:tcW w:w="571" w:type="dxa"/>
            <w:tcBorders>
              <w:left w:val="single" w:sz="4" w:space="0" w:color="0079C1"/>
            </w:tcBorders>
            <w:shd w:val="clear" w:color="auto" w:fill="auto"/>
            <w:vAlign w:val="center"/>
          </w:tcPr>
          <w:p w14:paraId="368FE3A6" w14:textId="57533BFE" w:rsidR="0045462C" w:rsidRPr="00C8327F" w:rsidRDefault="0045462C" w:rsidP="001A0564">
            <w:pPr>
              <w:pStyle w:val="TableTextCentred"/>
              <w:rPr>
                <w:sz w:val="20"/>
                <w:szCs w:val="20"/>
              </w:rPr>
            </w:pPr>
            <w:r w:rsidRPr="00C8327F">
              <w:rPr>
                <w:sz w:val="20"/>
                <w:szCs w:val="20"/>
              </w:rPr>
              <w:t>15</w:t>
            </w:r>
          </w:p>
        </w:tc>
        <w:tc>
          <w:tcPr>
            <w:tcW w:w="993" w:type="dxa"/>
            <w:tcBorders>
              <w:right w:val="single" w:sz="4" w:space="0" w:color="0079C1"/>
            </w:tcBorders>
            <w:shd w:val="clear" w:color="auto" w:fill="auto"/>
            <w:vAlign w:val="center"/>
          </w:tcPr>
          <w:p w14:paraId="491D303F" w14:textId="15878471" w:rsidR="0045462C" w:rsidRPr="00C8327F" w:rsidRDefault="0045462C" w:rsidP="001A0564">
            <w:pPr>
              <w:pStyle w:val="TableTextCentred"/>
              <w:rPr>
                <w:sz w:val="20"/>
                <w:szCs w:val="20"/>
              </w:rPr>
            </w:pPr>
            <w:r w:rsidRPr="00C8327F">
              <w:rPr>
                <w:sz w:val="20"/>
                <w:szCs w:val="20"/>
              </w:rPr>
              <w:t>13.9%</w:t>
            </w:r>
          </w:p>
        </w:tc>
        <w:tc>
          <w:tcPr>
            <w:tcW w:w="610" w:type="dxa"/>
            <w:tcBorders>
              <w:left w:val="single" w:sz="4" w:space="0" w:color="0079C1"/>
            </w:tcBorders>
            <w:shd w:val="clear" w:color="auto" w:fill="auto"/>
            <w:vAlign w:val="center"/>
          </w:tcPr>
          <w:p w14:paraId="7FD0C2AA" w14:textId="495E7B24" w:rsidR="0045462C" w:rsidRPr="00C8327F" w:rsidRDefault="0045462C" w:rsidP="001A0564">
            <w:pPr>
              <w:pStyle w:val="TableTextCentred"/>
              <w:rPr>
                <w:sz w:val="20"/>
                <w:szCs w:val="20"/>
              </w:rPr>
            </w:pPr>
            <w:r w:rsidRPr="00C8327F">
              <w:rPr>
                <w:sz w:val="20"/>
                <w:szCs w:val="20"/>
              </w:rPr>
              <w:t>1</w:t>
            </w:r>
          </w:p>
        </w:tc>
        <w:tc>
          <w:tcPr>
            <w:tcW w:w="949" w:type="dxa"/>
            <w:tcBorders>
              <w:right w:val="single" w:sz="4" w:space="0" w:color="0079C1"/>
            </w:tcBorders>
            <w:shd w:val="clear" w:color="auto" w:fill="auto"/>
            <w:vAlign w:val="center"/>
          </w:tcPr>
          <w:p w14:paraId="06C8F58A" w14:textId="44E2DA7C" w:rsidR="0045462C" w:rsidRPr="00C8327F" w:rsidRDefault="0045462C" w:rsidP="001A0564">
            <w:pPr>
              <w:pStyle w:val="TableTextCentred"/>
              <w:rPr>
                <w:sz w:val="20"/>
                <w:szCs w:val="20"/>
              </w:rPr>
            </w:pPr>
            <w:r w:rsidRPr="00C8327F">
              <w:rPr>
                <w:sz w:val="20"/>
                <w:szCs w:val="20"/>
              </w:rPr>
              <w:t>5.3%</w:t>
            </w:r>
          </w:p>
        </w:tc>
        <w:tc>
          <w:tcPr>
            <w:tcW w:w="551" w:type="dxa"/>
            <w:tcBorders>
              <w:left w:val="single" w:sz="4" w:space="0" w:color="0079C1"/>
            </w:tcBorders>
            <w:shd w:val="clear" w:color="auto" w:fill="auto"/>
            <w:vAlign w:val="center"/>
          </w:tcPr>
          <w:p w14:paraId="66805352" w14:textId="58A942DE" w:rsidR="0045462C" w:rsidRPr="00C8327F" w:rsidRDefault="0045462C" w:rsidP="001A0564">
            <w:pPr>
              <w:pStyle w:val="TableTextCentred"/>
              <w:rPr>
                <w:sz w:val="20"/>
                <w:szCs w:val="20"/>
              </w:rPr>
            </w:pPr>
            <w:r w:rsidRPr="00C8327F">
              <w:rPr>
                <w:sz w:val="20"/>
                <w:szCs w:val="20"/>
              </w:rPr>
              <w:t>1</w:t>
            </w:r>
          </w:p>
        </w:tc>
        <w:tc>
          <w:tcPr>
            <w:tcW w:w="1009" w:type="dxa"/>
            <w:tcBorders>
              <w:right w:val="single" w:sz="4" w:space="0" w:color="0079C1"/>
            </w:tcBorders>
            <w:shd w:val="clear" w:color="auto" w:fill="auto"/>
            <w:vAlign w:val="center"/>
          </w:tcPr>
          <w:p w14:paraId="640966B9" w14:textId="23D9663F" w:rsidR="0045462C" w:rsidRPr="00C8327F" w:rsidRDefault="0045462C" w:rsidP="001A0564">
            <w:pPr>
              <w:pStyle w:val="TableTextCentred"/>
              <w:rPr>
                <w:sz w:val="20"/>
                <w:szCs w:val="20"/>
              </w:rPr>
            </w:pPr>
            <w:r w:rsidRPr="00C8327F">
              <w:rPr>
                <w:sz w:val="20"/>
                <w:szCs w:val="20"/>
              </w:rPr>
              <w:t>1.4%</w:t>
            </w:r>
          </w:p>
        </w:tc>
        <w:tc>
          <w:tcPr>
            <w:tcW w:w="551" w:type="dxa"/>
            <w:tcBorders>
              <w:left w:val="single" w:sz="4" w:space="0" w:color="0079C1"/>
            </w:tcBorders>
            <w:shd w:val="clear" w:color="auto" w:fill="auto"/>
            <w:vAlign w:val="center"/>
          </w:tcPr>
          <w:p w14:paraId="57B6C3A9" w14:textId="00FD6C17" w:rsidR="0045462C" w:rsidRPr="00C8327F" w:rsidRDefault="0045462C" w:rsidP="001A0564">
            <w:pPr>
              <w:pStyle w:val="TableTextCentred"/>
              <w:rPr>
                <w:sz w:val="20"/>
                <w:szCs w:val="20"/>
              </w:rPr>
            </w:pPr>
            <w:r w:rsidRPr="00C8327F">
              <w:rPr>
                <w:sz w:val="20"/>
                <w:szCs w:val="20"/>
              </w:rPr>
              <w:t>-</w:t>
            </w:r>
          </w:p>
        </w:tc>
        <w:tc>
          <w:tcPr>
            <w:tcW w:w="1008" w:type="dxa"/>
            <w:tcBorders>
              <w:right w:val="single" w:sz="4" w:space="0" w:color="0079C1"/>
            </w:tcBorders>
            <w:shd w:val="clear" w:color="auto" w:fill="auto"/>
            <w:vAlign w:val="center"/>
          </w:tcPr>
          <w:p w14:paraId="197D1F49" w14:textId="4B4362C6" w:rsidR="0045462C" w:rsidRPr="00C8327F" w:rsidRDefault="0045462C" w:rsidP="001A0564">
            <w:pPr>
              <w:pStyle w:val="TableTextCentred"/>
              <w:rPr>
                <w:sz w:val="20"/>
                <w:szCs w:val="20"/>
              </w:rPr>
            </w:pPr>
            <w:r w:rsidRPr="00C8327F">
              <w:rPr>
                <w:sz w:val="20"/>
                <w:szCs w:val="20"/>
              </w:rPr>
              <w:t>-</w:t>
            </w:r>
          </w:p>
        </w:tc>
        <w:tc>
          <w:tcPr>
            <w:tcW w:w="590" w:type="dxa"/>
            <w:tcBorders>
              <w:left w:val="single" w:sz="4" w:space="0" w:color="0079C1"/>
            </w:tcBorders>
            <w:shd w:val="clear" w:color="auto" w:fill="auto"/>
            <w:vAlign w:val="center"/>
          </w:tcPr>
          <w:p w14:paraId="7025F4C8" w14:textId="3E562D72" w:rsidR="0045462C" w:rsidRPr="00C8327F" w:rsidRDefault="0045462C" w:rsidP="001A0564">
            <w:pPr>
              <w:pStyle w:val="TableTextCentred"/>
              <w:rPr>
                <w:b/>
                <w:sz w:val="20"/>
                <w:szCs w:val="20"/>
              </w:rPr>
            </w:pPr>
            <w:r w:rsidRPr="00C8327F">
              <w:rPr>
                <w:b/>
                <w:sz w:val="20"/>
                <w:szCs w:val="20"/>
              </w:rPr>
              <w:t>17</w:t>
            </w:r>
          </w:p>
        </w:tc>
        <w:tc>
          <w:tcPr>
            <w:tcW w:w="969" w:type="dxa"/>
            <w:shd w:val="clear" w:color="auto" w:fill="auto"/>
            <w:vAlign w:val="center"/>
          </w:tcPr>
          <w:p w14:paraId="7B2C7E82" w14:textId="08A94A6E" w:rsidR="0045462C" w:rsidRPr="00C8327F" w:rsidRDefault="0045462C" w:rsidP="001A0564">
            <w:pPr>
              <w:pStyle w:val="TableTextCentred"/>
              <w:rPr>
                <w:rStyle w:val="Strong"/>
                <w:b w:val="0"/>
                <w:sz w:val="20"/>
                <w:szCs w:val="20"/>
              </w:rPr>
            </w:pPr>
            <w:r w:rsidRPr="00C8327F">
              <w:rPr>
                <w:b/>
                <w:sz w:val="20"/>
                <w:szCs w:val="20"/>
              </w:rPr>
              <w:t>7.7%</w:t>
            </w:r>
          </w:p>
        </w:tc>
      </w:tr>
      <w:tr w:rsidR="0045462C" w:rsidRPr="00C8327F" w14:paraId="08B54E28" w14:textId="77777777" w:rsidTr="00C8327F">
        <w:tc>
          <w:tcPr>
            <w:tcW w:w="1406" w:type="dxa"/>
            <w:tcBorders>
              <w:right w:val="single" w:sz="4" w:space="0" w:color="0079C1"/>
            </w:tcBorders>
            <w:shd w:val="clear" w:color="auto" w:fill="auto"/>
            <w:vAlign w:val="center"/>
          </w:tcPr>
          <w:p w14:paraId="5A689BF7" w14:textId="77777777" w:rsidR="0045462C" w:rsidRPr="00C8327F" w:rsidRDefault="0045462C" w:rsidP="0045462C">
            <w:pPr>
              <w:pStyle w:val="TableText"/>
              <w:rPr>
                <w:sz w:val="20"/>
                <w:szCs w:val="20"/>
              </w:rPr>
            </w:pPr>
            <w:r w:rsidRPr="00C8327F">
              <w:rPr>
                <w:sz w:val="20"/>
                <w:szCs w:val="20"/>
              </w:rPr>
              <w:t>Satisfied</w:t>
            </w:r>
          </w:p>
        </w:tc>
        <w:tc>
          <w:tcPr>
            <w:tcW w:w="571" w:type="dxa"/>
            <w:tcBorders>
              <w:left w:val="single" w:sz="4" w:space="0" w:color="0079C1"/>
            </w:tcBorders>
            <w:shd w:val="clear" w:color="auto" w:fill="auto"/>
            <w:vAlign w:val="center"/>
          </w:tcPr>
          <w:p w14:paraId="7A3429B8" w14:textId="47980EDC" w:rsidR="0045462C" w:rsidRPr="00C8327F" w:rsidRDefault="0045462C" w:rsidP="001A0564">
            <w:pPr>
              <w:pStyle w:val="TableTextCentred"/>
              <w:rPr>
                <w:sz w:val="20"/>
                <w:szCs w:val="20"/>
              </w:rPr>
            </w:pPr>
            <w:r w:rsidRPr="00C8327F">
              <w:rPr>
                <w:sz w:val="20"/>
                <w:szCs w:val="20"/>
              </w:rPr>
              <w:t>17</w:t>
            </w:r>
          </w:p>
        </w:tc>
        <w:tc>
          <w:tcPr>
            <w:tcW w:w="993" w:type="dxa"/>
            <w:tcBorders>
              <w:right w:val="single" w:sz="4" w:space="0" w:color="0079C1"/>
            </w:tcBorders>
            <w:shd w:val="clear" w:color="auto" w:fill="auto"/>
            <w:vAlign w:val="center"/>
          </w:tcPr>
          <w:p w14:paraId="3E3173A0" w14:textId="33CFE707" w:rsidR="0045462C" w:rsidRPr="00C8327F" w:rsidRDefault="0045462C" w:rsidP="001A0564">
            <w:pPr>
              <w:pStyle w:val="TableTextCentred"/>
              <w:rPr>
                <w:sz w:val="20"/>
                <w:szCs w:val="20"/>
              </w:rPr>
            </w:pPr>
            <w:r w:rsidRPr="00C8327F">
              <w:rPr>
                <w:sz w:val="20"/>
                <w:szCs w:val="20"/>
              </w:rPr>
              <w:t>15.7%</w:t>
            </w:r>
          </w:p>
        </w:tc>
        <w:tc>
          <w:tcPr>
            <w:tcW w:w="610" w:type="dxa"/>
            <w:tcBorders>
              <w:left w:val="single" w:sz="4" w:space="0" w:color="0079C1"/>
            </w:tcBorders>
            <w:shd w:val="clear" w:color="auto" w:fill="auto"/>
            <w:vAlign w:val="center"/>
          </w:tcPr>
          <w:p w14:paraId="0A2D9DAA" w14:textId="03D4311F" w:rsidR="0045462C" w:rsidRPr="00C8327F" w:rsidRDefault="0045462C" w:rsidP="001A0564">
            <w:pPr>
              <w:pStyle w:val="TableTextCentred"/>
              <w:rPr>
                <w:sz w:val="20"/>
                <w:szCs w:val="20"/>
              </w:rPr>
            </w:pPr>
            <w:r w:rsidRPr="00C8327F">
              <w:rPr>
                <w:sz w:val="20"/>
                <w:szCs w:val="20"/>
              </w:rPr>
              <w:t>1</w:t>
            </w:r>
          </w:p>
        </w:tc>
        <w:tc>
          <w:tcPr>
            <w:tcW w:w="949" w:type="dxa"/>
            <w:tcBorders>
              <w:right w:val="single" w:sz="4" w:space="0" w:color="0079C1"/>
            </w:tcBorders>
            <w:shd w:val="clear" w:color="auto" w:fill="auto"/>
            <w:vAlign w:val="center"/>
          </w:tcPr>
          <w:p w14:paraId="130642C0" w14:textId="3E52FE0E" w:rsidR="0045462C" w:rsidRPr="00C8327F" w:rsidRDefault="0045462C" w:rsidP="001A0564">
            <w:pPr>
              <w:pStyle w:val="TableTextCentred"/>
              <w:rPr>
                <w:sz w:val="20"/>
                <w:szCs w:val="20"/>
              </w:rPr>
            </w:pPr>
            <w:r w:rsidRPr="00C8327F">
              <w:rPr>
                <w:sz w:val="20"/>
                <w:szCs w:val="20"/>
              </w:rPr>
              <w:t>5.3%</w:t>
            </w:r>
          </w:p>
        </w:tc>
        <w:tc>
          <w:tcPr>
            <w:tcW w:w="551" w:type="dxa"/>
            <w:tcBorders>
              <w:left w:val="single" w:sz="4" w:space="0" w:color="0079C1"/>
            </w:tcBorders>
            <w:shd w:val="clear" w:color="auto" w:fill="auto"/>
            <w:vAlign w:val="center"/>
          </w:tcPr>
          <w:p w14:paraId="723B77DE" w14:textId="5C3FC488" w:rsidR="0045462C" w:rsidRPr="00C8327F" w:rsidRDefault="0045462C" w:rsidP="001A0564">
            <w:pPr>
              <w:pStyle w:val="TableTextCentred"/>
              <w:rPr>
                <w:sz w:val="20"/>
                <w:szCs w:val="20"/>
              </w:rPr>
            </w:pPr>
            <w:r w:rsidRPr="00C8327F">
              <w:rPr>
                <w:sz w:val="20"/>
                <w:szCs w:val="20"/>
              </w:rPr>
              <w:t>2</w:t>
            </w:r>
          </w:p>
        </w:tc>
        <w:tc>
          <w:tcPr>
            <w:tcW w:w="1009" w:type="dxa"/>
            <w:tcBorders>
              <w:right w:val="single" w:sz="4" w:space="0" w:color="0079C1"/>
            </w:tcBorders>
            <w:shd w:val="clear" w:color="auto" w:fill="auto"/>
            <w:vAlign w:val="center"/>
          </w:tcPr>
          <w:p w14:paraId="6E7281B9" w14:textId="22145C8B" w:rsidR="0045462C" w:rsidRPr="00C8327F" w:rsidRDefault="0045462C" w:rsidP="001A0564">
            <w:pPr>
              <w:pStyle w:val="TableTextCentred"/>
              <w:rPr>
                <w:sz w:val="20"/>
                <w:szCs w:val="20"/>
              </w:rPr>
            </w:pPr>
            <w:r w:rsidRPr="00C8327F">
              <w:rPr>
                <w:sz w:val="20"/>
                <w:szCs w:val="20"/>
              </w:rPr>
              <w:t>2.7%</w:t>
            </w:r>
          </w:p>
        </w:tc>
        <w:tc>
          <w:tcPr>
            <w:tcW w:w="551" w:type="dxa"/>
            <w:tcBorders>
              <w:left w:val="single" w:sz="4" w:space="0" w:color="0079C1"/>
            </w:tcBorders>
            <w:shd w:val="clear" w:color="auto" w:fill="auto"/>
            <w:vAlign w:val="center"/>
          </w:tcPr>
          <w:p w14:paraId="39E77CA2" w14:textId="62DBB4E1" w:rsidR="0045462C" w:rsidRPr="00C8327F" w:rsidRDefault="0045462C" w:rsidP="001A0564">
            <w:pPr>
              <w:pStyle w:val="TableTextCentred"/>
              <w:rPr>
                <w:sz w:val="20"/>
                <w:szCs w:val="20"/>
              </w:rPr>
            </w:pPr>
            <w:r w:rsidRPr="00C8327F">
              <w:rPr>
                <w:sz w:val="20"/>
                <w:szCs w:val="20"/>
              </w:rPr>
              <w:t>7</w:t>
            </w:r>
          </w:p>
        </w:tc>
        <w:tc>
          <w:tcPr>
            <w:tcW w:w="1008" w:type="dxa"/>
            <w:tcBorders>
              <w:right w:val="single" w:sz="4" w:space="0" w:color="0079C1"/>
            </w:tcBorders>
            <w:shd w:val="clear" w:color="auto" w:fill="auto"/>
            <w:vAlign w:val="center"/>
          </w:tcPr>
          <w:p w14:paraId="00A53862" w14:textId="065C3063" w:rsidR="0045462C" w:rsidRPr="00C8327F" w:rsidRDefault="0045462C" w:rsidP="001A0564">
            <w:pPr>
              <w:pStyle w:val="TableTextCentred"/>
              <w:rPr>
                <w:sz w:val="20"/>
                <w:szCs w:val="20"/>
              </w:rPr>
            </w:pPr>
            <w:r w:rsidRPr="00C8327F">
              <w:rPr>
                <w:sz w:val="20"/>
                <w:szCs w:val="20"/>
              </w:rPr>
              <w:t>3.5%</w:t>
            </w:r>
          </w:p>
        </w:tc>
        <w:tc>
          <w:tcPr>
            <w:tcW w:w="590" w:type="dxa"/>
            <w:tcBorders>
              <w:left w:val="single" w:sz="4" w:space="0" w:color="0079C1"/>
            </w:tcBorders>
            <w:shd w:val="clear" w:color="auto" w:fill="auto"/>
            <w:vAlign w:val="center"/>
          </w:tcPr>
          <w:p w14:paraId="5D70BFCC" w14:textId="6A0F4128" w:rsidR="0045462C" w:rsidRPr="00C8327F" w:rsidRDefault="0045462C" w:rsidP="001A0564">
            <w:pPr>
              <w:pStyle w:val="TableTextCentred"/>
              <w:rPr>
                <w:b/>
                <w:sz w:val="20"/>
                <w:szCs w:val="20"/>
              </w:rPr>
            </w:pPr>
            <w:r w:rsidRPr="00C8327F">
              <w:rPr>
                <w:b/>
                <w:sz w:val="20"/>
                <w:szCs w:val="20"/>
              </w:rPr>
              <w:t>27</w:t>
            </w:r>
          </w:p>
        </w:tc>
        <w:tc>
          <w:tcPr>
            <w:tcW w:w="969" w:type="dxa"/>
            <w:shd w:val="clear" w:color="auto" w:fill="auto"/>
            <w:vAlign w:val="center"/>
          </w:tcPr>
          <w:p w14:paraId="497AD7CA" w14:textId="4A33330C" w:rsidR="0045462C" w:rsidRPr="00C8327F" w:rsidRDefault="0045462C" w:rsidP="001A0564">
            <w:pPr>
              <w:pStyle w:val="TableTextCentred"/>
              <w:rPr>
                <w:rStyle w:val="Strong"/>
                <w:b w:val="0"/>
                <w:sz w:val="20"/>
                <w:szCs w:val="20"/>
              </w:rPr>
            </w:pPr>
            <w:r w:rsidRPr="00C8327F">
              <w:rPr>
                <w:b/>
                <w:sz w:val="20"/>
                <w:szCs w:val="20"/>
              </w:rPr>
              <w:t>12.3%</w:t>
            </w:r>
          </w:p>
        </w:tc>
      </w:tr>
      <w:tr w:rsidR="0045462C" w:rsidRPr="00C8327F" w14:paraId="5BEB1774" w14:textId="77777777" w:rsidTr="00C8327F">
        <w:tc>
          <w:tcPr>
            <w:tcW w:w="1406" w:type="dxa"/>
            <w:tcBorders>
              <w:right w:val="single" w:sz="4" w:space="0" w:color="0079C1"/>
            </w:tcBorders>
            <w:shd w:val="clear" w:color="auto" w:fill="E2F4FF" w:themeFill="accent1" w:themeFillTint="33"/>
            <w:vAlign w:val="center"/>
          </w:tcPr>
          <w:p w14:paraId="2E840BFB" w14:textId="39886689" w:rsidR="0045462C" w:rsidRPr="00C8327F" w:rsidRDefault="0045462C" w:rsidP="0045462C">
            <w:pPr>
              <w:pStyle w:val="TableText"/>
              <w:rPr>
                <w:rStyle w:val="Strong"/>
                <w:sz w:val="20"/>
                <w:szCs w:val="20"/>
              </w:rPr>
            </w:pPr>
            <w:r w:rsidRPr="00C8327F">
              <w:rPr>
                <w:rStyle w:val="Strong"/>
                <w:sz w:val="20"/>
                <w:szCs w:val="20"/>
              </w:rPr>
              <w:t>Subtotal</w:t>
            </w:r>
          </w:p>
        </w:tc>
        <w:tc>
          <w:tcPr>
            <w:tcW w:w="571" w:type="dxa"/>
            <w:tcBorders>
              <w:left w:val="single" w:sz="4" w:space="0" w:color="0079C1"/>
            </w:tcBorders>
            <w:shd w:val="clear" w:color="auto" w:fill="E2F4FF" w:themeFill="accent1" w:themeFillTint="33"/>
            <w:vAlign w:val="center"/>
          </w:tcPr>
          <w:p w14:paraId="1ACC5F8C" w14:textId="381B6CBE" w:rsidR="0045462C" w:rsidRPr="00C8327F" w:rsidRDefault="0045462C" w:rsidP="001A0564">
            <w:pPr>
              <w:pStyle w:val="TableTextCentred"/>
              <w:rPr>
                <w:rStyle w:val="Strong"/>
                <w:sz w:val="20"/>
                <w:szCs w:val="20"/>
              </w:rPr>
            </w:pPr>
            <w:r w:rsidRPr="00C8327F">
              <w:rPr>
                <w:sz w:val="20"/>
                <w:szCs w:val="20"/>
              </w:rPr>
              <w:t>32</w:t>
            </w:r>
          </w:p>
        </w:tc>
        <w:tc>
          <w:tcPr>
            <w:tcW w:w="993" w:type="dxa"/>
            <w:tcBorders>
              <w:right w:val="single" w:sz="4" w:space="0" w:color="0079C1"/>
            </w:tcBorders>
            <w:shd w:val="clear" w:color="auto" w:fill="E2F4FF" w:themeFill="accent1" w:themeFillTint="33"/>
            <w:vAlign w:val="center"/>
          </w:tcPr>
          <w:p w14:paraId="2D7A3CA7" w14:textId="77777777" w:rsidR="0045462C" w:rsidRPr="00C8327F" w:rsidRDefault="0045462C" w:rsidP="001A0564">
            <w:pPr>
              <w:pStyle w:val="TableTextCentred"/>
              <w:rPr>
                <w:rStyle w:val="Strong"/>
                <w:sz w:val="20"/>
                <w:szCs w:val="20"/>
              </w:rPr>
            </w:pPr>
          </w:p>
        </w:tc>
        <w:tc>
          <w:tcPr>
            <w:tcW w:w="610" w:type="dxa"/>
            <w:tcBorders>
              <w:left w:val="single" w:sz="4" w:space="0" w:color="0079C1"/>
            </w:tcBorders>
            <w:shd w:val="clear" w:color="auto" w:fill="E2F4FF" w:themeFill="accent1" w:themeFillTint="33"/>
            <w:vAlign w:val="center"/>
          </w:tcPr>
          <w:p w14:paraId="45758E63" w14:textId="7B52E972" w:rsidR="0045462C" w:rsidRPr="00C8327F" w:rsidRDefault="0045462C" w:rsidP="001A0564">
            <w:pPr>
              <w:pStyle w:val="TableTextCentred"/>
              <w:rPr>
                <w:rStyle w:val="Strong"/>
                <w:sz w:val="20"/>
                <w:szCs w:val="20"/>
              </w:rPr>
            </w:pPr>
            <w:r w:rsidRPr="00C8327F">
              <w:rPr>
                <w:sz w:val="20"/>
                <w:szCs w:val="20"/>
              </w:rPr>
              <w:t>2</w:t>
            </w:r>
          </w:p>
        </w:tc>
        <w:tc>
          <w:tcPr>
            <w:tcW w:w="949" w:type="dxa"/>
            <w:tcBorders>
              <w:right w:val="single" w:sz="4" w:space="0" w:color="0079C1"/>
            </w:tcBorders>
            <w:shd w:val="clear" w:color="auto" w:fill="E2F4FF" w:themeFill="accent1" w:themeFillTint="33"/>
            <w:vAlign w:val="center"/>
          </w:tcPr>
          <w:p w14:paraId="49E43CE3" w14:textId="77777777" w:rsidR="0045462C" w:rsidRPr="00C8327F" w:rsidRDefault="0045462C" w:rsidP="001A0564">
            <w:pPr>
              <w:pStyle w:val="TableTextCentred"/>
              <w:rPr>
                <w:rStyle w:val="Strong"/>
                <w:sz w:val="20"/>
                <w:szCs w:val="20"/>
              </w:rPr>
            </w:pPr>
          </w:p>
        </w:tc>
        <w:tc>
          <w:tcPr>
            <w:tcW w:w="551" w:type="dxa"/>
            <w:tcBorders>
              <w:left w:val="single" w:sz="4" w:space="0" w:color="0079C1"/>
            </w:tcBorders>
            <w:shd w:val="clear" w:color="auto" w:fill="E2F4FF" w:themeFill="accent1" w:themeFillTint="33"/>
            <w:vAlign w:val="center"/>
          </w:tcPr>
          <w:p w14:paraId="5400B0E6" w14:textId="4CAA3897" w:rsidR="0045462C" w:rsidRPr="00C8327F" w:rsidRDefault="0045462C" w:rsidP="001A0564">
            <w:pPr>
              <w:pStyle w:val="TableTextCentred"/>
              <w:rPr>
                <w:rStyle w:val="Strong"/>
                <w:sz w:val="20"/>
                <w:szCs w:val="20"/>
              </w:rPr>
            </w:pPr>
            <w:r w:rsidRPr="00C8327F">
              <w:rPr>
                <w:sz w:val="20"/>
                <w:szCs w:val="20"/>
              </w:rPr>
              <w:t>3</w:t>
            </w:r>
          </w:p>
        </w:tc>
        <w:tc>
          <w:tcPr>
            <w:tcW w:w="1009" w:type="dxa"/>
            <w:tcBorders>
              <w:right w:val="single" w:sz="4" w:space="0" w:color="0079C1"/>
            </w:tcBorders>
            <w:shd w:val="clear" w:color="auto" w:fill="E2F4FF" w:themeFill="accent1" w:themeFillTint="33"/>
            <w:vAlign w:val="center"/>
          </w:tcPr>
          <w:p w14:paraId="398F38A1" w14:textId="77777777" w:rsidR="0045462C" w:rsidRPr="00C8327F" w:rsidRDefault="0045462C" w:rsidP="001A0564">
            <w:pPr>
              <w:pStyle w:val="TableTextCentred"/>
              <w:rPr>
                <w:rStyle w:val="Strong"/>
                <w:sz w:val="20"/>
                <w:szCs w:val="20"/>
              </w:rPr>
            </w:pPr>
          </w:p>
        </w:tc>
        <w:tc>
          <w:tcPr>
            <w:tcW w:w="551" w:type="dxa"/>
            <w:tcBorders>
              <w:left w:val="single" w:sz="4" w:space="0" w:color="0079C1"/>
            </w:tcBorders>
            <w:shd w:val="clear" w:color="auto" w:fill="E2F4FF" w:themeFill="accent1" w:themeFillTint="33"/>
            <w:vAlign w:val="center"/>
          </w:tcPr>
          <w:p w14:paraId="467C407F" w14:textId="62DF48E8" w:rsidR="0045462C" w:rsidRPr="00C8327F" w:rsidRDefault="0045462C" w:rsidP="001A0564">
            <w:pPr>
              <w:pStyle w:val="TableTextCentred"/>
              <w:rPr>
                <w:rStyle w:val="Strong"/>
                <w:sz w:val="20"/>
                <w:szCs w:val="20"/>
              </w:rPr>
            </w:pPr>
            <w:r w:rsidRPr="00C8327F">
              <w:rPr>
                <w:sz w:val="20"/>
                <w:szCs w:val="20"/>
              </w:rPr>
              <w:t>7</w:t>
            </w:r>
          </w:p>
        </w:tc>
        <w:tc>
          <w:tcPr>
            <w:tcW w:w="1008" w:type="dxa"/>
            <w:tcBorders>
              <w:right w:val="single" w:sz="4" w:space="0" w:color="0079C1"/>
            </w:tcBorders>
            <w:shd w:val="clear" w:color="auto" w:fill="E2F4FF" w:themeFill="accent1" w:themeFillTint="33"/>
            <w:vAlign w:val="center"/>
          </w:tcPr>
          <w:p w14:paraId="27C310F8" w14:textId="77777777" w:rsidR="0045462C" w:rsidRPr="00C8327F" w:rsidRDefault="0045462C" w:rsidP="001A0564">
            <w:pPr>
              <w:pStyle w:val="TableTextCentred"/>
              <w:rPr>
                <w:rStyle w:val="Strong"/>
                <w:sz w:val="20"/>
                <w:szCs w:val="20"/>
              </w:rPr>
            </w:pPr>
          </w:p>
        </w:tc>
        <w:tc>
          <w:tcPr>
            <w:tcW w:w="590" w:type="dxa"/>
            <w:tcBorders>
              <w:left w:val="single" w:sz="4" w:space="0" w:color="0079C1"/>
            </w:tcBorders>
            <w:shd w:val="clear" w:color="auto" w:fill="E2F4FF" w:themeFill="accent1" w:themeFillTint="33"/>
            <w:vAlign w:val="center"/>
          </w:tcPr>
          <w:p w14:paraId="016EC2DA" w14:textId="435F8A59" w:rsidR="0045462C" w:rsidRPr="00C8327F" w:rsidRDefault="0045462C" w:rsidP="001A0564">
            <w:pPr>
              <w:pStyle w:val="TableTextCentred"/>
              <w:rPr>
                <w:rStyle w:val="Strong"/>
                <w:b w:val="0"/>
                <w:sz w:val="20"/>
                <w:szCs w:val="20"/>
              </w:rPr>
            </w:pPr>
            <w:r w:rsidRPr="00C8327F">
              <w:rPr>
                <w:b/>
                <w:sz w:val="20"/>
                <w:szCs w:val="20"/>
              </w:rPr>
              <w:t>44</w:t>
            </w:r>
          </w:p>
        </w:tc>
        <w:tc>
          <w:tcPr>
            <w:tcW w:w="969" w:type="dxa"/>
            <w:shd w:val="clear" w:color="auto" w:fill="E2F4FF" w:themeFill="accent1" w:themeFillTint="33"/>
            <w:vAlign w:val="center"/>
          </w:tcPr>
          <w:p w14:paraId="1135E6FC" w14:textId="3D7C3E0F" w:rsidR="0045462C" w:rsidRPr="00C8327F" w:rsidRDefault="0045462C" w:rsidP="001A0564">
            <w:pPr>
              <w:pStyle w:val="TableTextCentred"/>
              <w:rPr>
                <w:rStyle w:val="Strong"/>
                <w:b w:val="0"/>
                <w:sz w:val="20"/>
                <w:szCs w:val="20"/>
              </w:rPr>
            </w:pPr>
            <w:r w:rsidRPr="00C8327F">
              <w:rPr>
                <w:b/>
                <w:sz w:val="20"/>
                <w:szCs w:val="20"/>
              </w:rPr>
              <w:t>20.0%</w:t>
            </w:r>
          </w:p>
        </w:tc>
      </w:tr>
      <w:tr w:rsidR="0045462C" w:rsidRPr="00C8327F" w14:paraId="09C6C99C" w14:textId="77777777" w:rsidTr="00C8327F">
        <w:tc>
          <w:tcPr>
            <w:tcW w:w="1406" w:type="dxa"/>
            <w:tcBorders>
              <w:right w:val="single" w:sz="4" w:space="0" w:color="0079C1"/>
            </w:tcBorders>
            <w:shd w:val="clear" w:color="auto" w:fill="auto"/>
            <w:vAlign w:val="center"/>
          </w:tcPr>
          <w:p w14:paraId="64EFB489" w14:textId="77777777" w:rsidR="0045462C" w:rsidRPr="00C8327F" w:rsidRDefault="0045462C" w:rsidP="0045462C">
            <w:pPr>
              <w:pStyle w:val="TableText"/>
              <w:rPr>
                <w:sz w:val="20"/>
                <w:szCs w:val="20"/>
              </w:rPr>
            </w:pPr>
            <w:r w:rsidRPr="00C8327F">
              <w:rPr>
                <w:sz w:val="20"/>
                <w:szCs w:val="20"/>
              </w:rPr>
              <w:t>Neutral</w:t>
            </w:r>
          </w:p>
        </w:tc>
        <w:tc>
          <w:tcPr>
            <w:tcW w:w="571" w:type="dxa"/>
            <w:tcBorders>
              <w:left w:val="single" w:sz="4" w:space="0" w:color="0079C1"/>
            </w:tcBorders>
            <w:shd w:val="clear" w:color="auto" w:fill="auto"/>
            <w:vAlign w:val="center"/>
          </w:tcPr>
          <w:p w14:paraId="5AEDE9DF" w14:textId="6FE48852" w:rsidR="0045462C" w:rsidRPr="00C8327F" w:rsidRDefault="0045462C" w:rsidP="001A0564">
            <w:pPr>
              <w:pStyle w:val="TableTextCentred"/>
              <w:rPr>
                <w:sz w:val="20"/>
                <w:szCs w:val="20"/>
              </w:rPr>
            </w:pPr>
            <w:r w:rsidRPr="00C8327F">
              <w:rPr>
                <w:sz w:val="20"/>
                <w:szCs w:val="20"/>
              </w:rPr>
              <w:t>5</w:t>
            </w:r>
          </w:p>
        </w:tc>
        <w:tc>
          <w:tcPr>
            <w:tcW w:w="993" w:type="dxa"/>
            <w:tcBorders>
              <w:right w:val="single" w:sz="4" w:space="0" w:color="0079C1"/>
            </w:tcBorders>
            <w:shd w:val="clear" w:color="auto" w:fill="auto"/>
            <w:vAlign w:val="center"/>
          </w:tcPr>
          <w:p w14:paraId="743204BF" w14:textId="3B0CFD44" w:rsidR="0045462C" w:rsidRPr="00C8327F" w:rsidRDefault="0045462C" w:rsidP="001A0564">
            <w:pPr>
              <w:pStyle w:val="TableTextCentred"/>
              <w:rPr>
                <w:sz w:val="20"/>
                <w:szCs w:val="20"/>
              </w:rPr>
            </w:pPr>
            <w:r w:rsidRPr="00C8327F">
              <w:rPr>
                <w:sz w:val="20"/>
                <w:szCs w:val="20"/>
              </w:rPr>
              <w:t>4.6%</w:t>
            </w:r>
          </w:p>
        </w:tc>
        <w:tc>
          <w:tcPr>
            <w:tcW w:w="610" w:type="dxa"/>
            <w:tcBorders>
              <w:left w:val="single" w:sz="4" w:space="0" w:color="0079C1"/>
            </w:tcBorders>
            <w:shd w:val="clear" w:color="auto" w:fill="auto"/>
            <w:vAlign w:val="center"/>
          </w:tcPr>
          <w:p w14:paraId="3DED1371" w14:textId="134020F5" w:rsidR="0045462C" w:rsidRPr="00C8327F" w:rsidRDefault="0045462C" w:rsidP="001A0564">
            <w:pPr>
              <w:pStyle w:val="TableTextCentred"/>
              <w:rPr>
                <w:sz w:val="20"/>
                <w:szCs w:val="20"/>
              </w:rPr>
            </w:pPr>
            <w:r w:rsidRPr="00C8327F">
              <w:rPr>
                <w:sz w:val="20"/>
                <w:szCs w:val="20"/>
              </w:rPr>
              <w:t>-</w:t>
            </w:r>
          </w:p>
        </w:tc>
        <w:tc>
          <w:tcPr>
            <w:tcW w:w="949" w:type="dxa"/>
            <w:tcBorders>
              <w:right w:val="single" w:sz="4" w:space="0" w:color="0079C1"/>
            </w:tcBorders>
            <w:shd w:val="clear" w:color="auto" w:fill="auto"/>
            <w:vAlign w:val="center"/>
          </w:tcPr>
          <w:p w14:paraId="4B0F99DC" w14:textId="293A862A" w:rsidR="0045462C" w:rsidRPr="00C8327F" w:rsidRDefault="0045462C" w:rsidP="001A0564">
            <w:pPr>
              <w:pStyle w:val="TableTextCentred"/>
              <w:rPr>
                <w:sz w:val="20"/>
                <w:szCs w:val="20"/>
              </w:rPr>
            </w:pPr>
            <w:r w:rsidRPr="00C8327F">
              <w:rPr>
                <w:sz w:val="20"/>
                <w:szCs w:val="20"/>
              </w:rPr>
              <w:t>-</w:t>
            </w:r>
          </w:p>
        </w:tc>
        <w:tc>
          <w:tcPr>
            <w:tcW w:w="551" w:type="dxa"/>
            <w:tcBorders>
              <w:left w:val="single" w:sz="4" w:space="0" w:color="0079C1"/>
            </w:tcBorders>
            <w:shd w:val="clear" w:color="auto" w:fill="auto"/>
            <w:vAlign w:val="center"/>
          </w:tcPr>
          <w:p w14:paraId="308E7586" w14:textId="53EBD434" w:rsidR="0045462C" w:rsidRPr="00C8327F" w:rsidRDefault="0045462C" w:rsidP="001A0564">
            <w:pPr>
              <w:pStyle w:val="TableTextCentred"/>
              <w:rPr>
                <w:sz w:val="20"/>
                <w:szCs w:val="20"/>
              </w:rPr>
            </w:pPr>
            <w:r w:rsidRPr="00C8327F">
              <w:rPr>
                <w:sz w:val="20"/>
                <w:szCs w:val="20"/>
              </w:rPr>
              <w:t>2</w:t>
            </w:r>
          </w:p>
        </w:tc>
        <w:tc>
          <w:tcPr>
            <w:tcW w:w="1009" w:type="dxa"/>
            <w:tcBorders>
              <w:right w:val="single" w:sz="4" w:space="0" w:color="0079C1"/>
            </w:tcBorders>
            <w:shd w:val="clear" w:color="auto" w:fill="auto"/>
            <w:vAlign w:val="center"/>
          </w:tcPr>
          <w:p w14:paraId="643F5F08" w14:textId="313FF67B" w:rsidR="0045462C" w:rsidRPr="00C8327F" w:rsidRDefault="0045462C" w:rsidP="001A0564">
            <w:pPr>
              <w:pStyle w:val="TableTextCentred"/>
              <w:rPr>
                <w:sz w:val="20"/>
                <w:szCs w:val="20"/>
              </w:rPr>
            </w:pPr>
            <w:r w:rsidRPr="00C8327F">
              <w:rPr>
                <w:sz w:val="20"/>
                <w:szCs w:val="20"/>
              </w:rPr>
              <w:t>2.7%</w:t>
            </w:r>
          </w:p>
        </w:tc>
        <w:tc>
          <w:tcPr>
            <w:tcW w:w="551" w:type="dxa"/>
            <w:tcBorders>
              <w:left w:val="single" w:sz="4" w:space="0" w:color="0079C1"/>
            </w:tcBorders>
            <w:shd w:val="clear" w:color="auto" w:fill="auto"/>
            <w:vAlign w:val="center"/>
          </w:tcPr>
          <w:p w14:paraId="6E2DAF70" w14:textId="07073FBC" w:rsidR="0045462C" w:rsidRPr="00C8327F" w:rsidRDefault="0045462C" w:rsidP="001A0564">
            <w:pPr>
              <w:pStyle w:val="TableTextCentred"/>
              <w:rPr>
                <w:sz w:val="20"/>
                <w:szCs w:val="20"/>
              </w:rPr>
            </w:pPr>
            <w:r w:rsidRPr="00C8327F">
              <w:rPr>
                <w:sz w:val="20"/>
                <w:szCs w:val="20"/>
              </w:rPr>
              <w:t>1</w:t>
            </w:r>
          </w:p>
        </w:tc>
        <w:tc>
          <w:tcPr>
            <w:tcW w:w="1008" w:type="dxa"/>
            <w:tcBorders>
              <w:right w:val="single" w:sz="4" w:space="0" w:color="0079C1"/>
            </w:tcBorders>
            <w:shd w:val="clear" w:color="auto" w:fill="auto"/>
            <w:vAlign w:val="center"/>
          </w:tcPr>
          <w:p w14:paraId="69B04D5A" w14:textId="6BE05A1D" w:rsidR="0045462C" w:rsidRPr="00C8327F" w:rsidRDefault="0045462C" w:rsidP="001A0564">
            <w:pPr>
              <w:pStyle w:val="TableTextCentred"/>
              <w:rPr>
                <w:sz w:val="20"/>
                <w:szCs w:val="20"/>
              </w:rPr>
            </w:pPr>
            <w:r w:rsidRPr="00C8327F">
              <w:rPr>
                <w:sz w:val="20"/>
                <w:szCs w:val="20"/>
              </w:rPr>
              <w:t>5.0%</w:t>
            </w:r>
          </w:p>
        </w:tc>
        <w:tc>
          <w:tcPr>
            <w:tcW w:w="590" w:type="dxa"/>
            <w:tcBorders>
              <w:left w:val="single" w:sz="4" w:space="0" w:color="0079C1"/>
            </w:tcBorders>
            <w:shd w:val="clear" w:color="auto" w:fill="auto"/>
            <w:vAlign w:val="center"/>
          </w:tcPr>
          <w:p w14:paraId="2B9464AA" w14:textId="7C3927C5" w:rsidR="0045462C" w:rsidRPr="00C8327F" w:rsidRDefault="0045462C" w:rsidP="001A0564">
            <w:pPr>
              <w:pStyle w:val="TableTextCentred"/>
              <w:rPr>
                <w:b/>
                <w:sz w:val="20"/>
                <w:szCs w:val="20"/>
              </w:rPr>
            </w:pPr>
            <w:r w:rsidRPr="00C8327F">
              <w:rPr>
                <w:b/>
                <w:sz w:val="20"/>
                <w:szCs w:val="20"/>
              </w:rPr>
              <w:t>8</w:t>
            </w:r>
          </w:p>
        </w:tc>
        <w:tc>
          <w:tcPr>
            <w:tcW w:w="969" w:type="dxa"/>
            <w:shd w:val="clear" w:color="auto" w:fill="auto"/>
            <w:vAlign w:val="center"/>
          </w:tcPr>
          <w:p w14:paraId="76E6A7F8" w14:textId="1C5BAEDF" w:rsidR="0045462C" w:rsidRPr="00C8327F" w:rsidRDefault="0045462C" w:rsidP="001A0564">
            <w:pPr>
              <w:pStyle w:val="TableTextCentred"/>
              <w:rPr>
                <w:rStyle w:val="Strong"/>
                <w:b w:val="0"/>
                <w:sz w:val="20"/>
                <w:szCs w:val="20"/>
              </w:rPr>
            </w:pPr>
            <w:r w:rsidRPr="00C8327F">
              <w:rPr>
                <w:b/>
                <w:sz w:val="20"/>
                <w:szCs w:val="20"/>
              </w:rPr>
              <w:t>3.6%</w:t>
            </w:r>
          </w:p>
        </w:tc>
      </w:tr>
      <w:tr w:rsidR="0045462C" w:rsidRPr="00C8327F" w14:paraId="75169972" w14:textId="77777777" w:rsidTr="00C8327F">
        <w:tc>
          <w:tcPr>
            <w:tcW w:w="1406" w:type="dxa"/>
            <w:tcBorders>
              <w:right w:val="single" w:sz="4" w:space="0" w:color="0079C1"/>
            </w:tcBorders>
            <w:shd w:val="clear" w:color="auto" w:fill="auto"/>
            <w:vAlign w:val="center"/>
          </w:tcPr>
          <w:p w14:paraId="2A312A88" w14:textId="77777777" w:rsidR="0045462C" w:rsidRPr="00C8327F" w:rsidRDefault="0045462C" w:rsidP="0045462C">
            <w:pPr>
              <w:pStyle w:val="TableText"/>
              <w:rPr>
                <w:sz w:val="20"/>
                <w:szCs w:val="20"/>
              </w:rPr>
            </w:pPr>
            <w:r w:rsidRPr="00C8327F">
              <w:rPr>
                <w:sz w:val="20"/>
                <w:szCs w:val="20"/>
              </w:rPr>
              <w:t>Dissatisfied</w:t>
            </w:r>
          </w:p>
        </w:tc>
        <w:tc>
          <w:tcPr>
            <w:tcW w:w="571" w:type="dxa"/>
            <w:tcBorders>
              <w:left w:val="single" w:sz="4" w:space="0" w:color="0079C1"/>
            </w:tcBorders>
            <w:shd w:val="clear" w:color="auto" w:fill="auto"/>
            <w:vAlign w:val="center"/>
          </w:tcPr>
          <w:p w14:paraId="3B397A79" w14:textId="1AA61B7D" w:rsidR="0045462C" w:rsidRPr="00C8327F" w:rsidRDefault="0045462C" w:rsidP="001A0564">
            <w:pPr>
              <w:pStyle w:val="TableTextCentred"/>
              <w:rPr>
                <w:sz w:val="20"/>
                <w:szCs w:val="20"/>
              </w:rPr>
            </w:pPr>
            <w:r w:rsidRPr="00C8327F">
              <w:rPr>
                <w:sz w:val="20"/>
                <w:szCs w:val="20"/>
              </w:rPr>
              <w:t>5</w:t>
            </w:r>
          </w:p>
        </w:tc>
        <w:tc>
          <w:tcPr>
            <w:tcW w:w="993" w:type="dxa"/>
            <w:tcBorders>
              <w:right w:val="single" w:sz="4" w:space="0" w:color="0079C1"/>
            </w:tcBorders>
            <w:shd w:val="clear" w:color="auto" w:fill="auto"/>
            <w:vAlign w:val="center"/>
          </w:tcPr>
          <w:p w14:paraId="271C5058" w14:textId="538FDBE7" w:rsidR="0045462C" w:rsidRPr="00C8327F" w:rsidRDefault="0045462C" w:rsidP="001A0564">
            <w:pPr>
              <w:pStyle w:val="TableTextCentred"/>
              <w:rPr>
                <w:sz w:val="20"/>
                <w:szCs w:val="20"/>
              </w:rPr>
            </w:pPr>
            <w:r w:rsidRPr="00C8327F">
              <w:rPr>
                <w:sz w:val="20"/>
                <w:szCs w:val="20"/>
              </w:rPr>
              <w:t>4.6%</w:t>
            </w:r>
          </w:p>
        </w:tc>
        <w:tc>
          <w:tcPr>
            <w:tcW w:w="610" w:type="dxa"/>
            <w:tcBorders>
              <w:left w:val="single" w:sz="4" w:space="0" w:color="0079C1"/>
            </w:tcBorders>
            <w:shd w:val="clear" w:color="auto" w:fill="auto"/>
            <w:vAlign w:val="center"/>
          </w:tcPr>
          <w:p w14:paraId="04431863" w14:textId="3E747DF9" w:rsidR="0045462C" w:rsidRPr="00C8327F" w:rsidRDefault="0045462C" w:rsidP="001A0564">
            <w:pPr>
              <w:pStyle w:val="TableTextCentred"/>
              <w:rPr>
                <w:sz w:val="20"/>
                <w:szCs w:val="20"/>
              </w:rPr>
            </w:pPr>
            <w:r w:rsidRPr="00C8327F">
              <w:rPr>
                <w:sz w:val="20"/>
                <w:szCs w:val="20"/>
              </w:rPr>
              <w:t>-</w:t>
            </w:r>
          </w:p>
        </w:tc>
        <w:tc>
          <w:tcPr>
            <w:tcW w:w="949" w:type="dxa"/>
            <w:tcBorders>
              <w:right w:val="single" w:sz="4" w:space="0" w:color="0079C1"/>
            </w:tcBorders>
            <w:shd w:val="clear" w:color="auto" w:fill="auto"/>
            <w:vAlign w:val="center"/>
          </w:tcPr>
          <w:p w14:paraId="1D0B4E55" w14:textId="3C9FCD05" w:rsidR="0045462C" w:rsidRPr="00C8327F" w:rsidRDefault="0045462C" w:rsidP="001A0564">
            <w:pPr>
              <w:pStyle w:val="TableTextCentred"/>
              <w:rPr>
                <w:sz w:val="20"/>
                <w:szCs w:val="20"/>
              </w:rPr>
            </w:pPr>
            <w:r w:rsidRPr="00C8327F">
              <w:rPr>
                <w:sz w:val="20"/>
                <w:szCs w:val="20"/>
              </w:rPr>
              <w:t>-</w:t>
            </w:r>
          </w:p>
        </w:tc>
        <w:tc>
          <w:tcPr>
            <w:tcW w:w="551" w:type="dxa"/>
            <w:tcBorders>
              <w:left w:val="single" w:sz="4" w:space="0" w:color="0079C1"/>
            </w:tcBorders>
            <w:shd w:val="clear" w:color="auto" w:fill="auto"/>
            <w:vAlign w:val="center"/>
          </w:tcPr>
          <w:p w14:paraId="55C8C77A" w14:textId="7C697402" w:rsidR="0045462C" w:rsidRPr="00C8327F" w:rsidRDefault="0045462C" w:rsidP="001A0564">
            <w:pPr>
              <w:pStyle w:val="TableTextCentred"/>
              <w:rPr>
                <w:sz w:val="20"/>
                <w:szCs w:val="20"/>
              </w:rPr>
            </w:pPr>
            <w:r w:rsidRPr="00C8327F">
              <w:rPr>
                <w:sz w:val="20"/>
                <w:szCs w:val="20"/>
              </w:rPr>
              <w:t>1</w:t>
            </w:r>
          </w:p>
        </w:tc>
        <w:tc>
          <w:tcPr>
            <w:tcW w:w="1009" w:type="dxa"/>
            <w:tcBorders>
              <w:right w:val="single" w:sz="4" w:space="0" w:color="0079C1"/>
            </w:tcBorders>
            <w:shd w:val="clear" w:color="auto" w:fill="auto"/>
            <w:vAlign w:val="center"/>
          </w:tcPr>
          <w:p w14:paraId="129980CB" w14:textId="7C97F965" w:rsidR="0045462C" w:rsidRPr="00C8327F" w:rsidRDefault="0045462C" w:rsidP="001A0564">
            <w:pPr>
              <w:pStyle w:val="TableTextCentred"/>
              <w:rPr>
                <w:sz w:val="20"/>
                <w:szCs w:val="20"/>
              </w:rPr>
            </w:pPr>
            <w:r w:rsidRPr="00C8327F">
              <w:rPr>
                <w:sz w:val="20"/>
                <w:szCs w:val="20"/>
              </w:rPr>
              <w:t>1.4%</w:t>
            </w:r>
          </w:p>
        </w:tc>
        <w:tc>
          <w:tcPr>
            <w:tcW w:w="551" w:type="dxa"/>
            <w:tcBorders>
              <w:left w:val="single" w:sz="4" w:space="0" w:color="0079C1"/>
            </w:tcBorders>
            <w:shd w:val="clear" w:color="auto" w:fill="auto"/>
            <w:vAlign w:val="center"/>
          </w:tcPr>
          <w:p w14:paraId="25EEADAF" w14:textId="6F58B566" w:rsidR="0045462C" w:rsidRPr="00C8327F" w:rsidRDefault="0045462C" w:rsidP="001A0564">
            <w:pPr>
              <w:pStyle w:val="TableTextCentred"/>
              <w:rPr>
                <w:sz w:val="20"/>
                <w:szCs w:val="20"/>
              </w:rPr>
            </w:pPr>
            <w:r w:rsidRPr="00C8327F">
              <w:rPr>
                <w:sz w:val="20"/>
                <w:szCs w:val="20"/>
              </w:rPr>
              <w:t>-</w:t>
            </w:r>
          </w:p>
        </w:tc>
        <w:tc>
          <w:tcPr>
            <w:tcW w:w="1008" w:type="dxa"/>
            <w:tcBorders>
              <w:right w:val="single" w:sz="4" w:space="0" w:color="0079C1"/>
            </w:tcBorders>
            <w:shd w:val="clear" w:color="auto" w:fill="auto"/>
            <w:vAlign w:val="center"/>
          </w:tcPr>
          <w:p w14:paraId="5089E66B" w14:textId="1CF3124B" w:rsidR="0045462C" w:rsidRPr="00C8327F" w:rsidRDefault="0045462C" w:rsidP="001A0564">
            <w:pPr>
              <w:pStyle w:val="TableTextCentred"/>
              <w:rPr>
                <w:sz w:val="20"/>
                <w:szCs w:val="20"/>
              </w:rPr>
            </w:pPr>
            <w:r w:rsidRPr="00C8327F">
              <w:rPr>
                <w:sz w:val="20"/>
                <w:szCs w:val="20"/>
              </w:rPr>
              <w:t>-</w:t>
            </w:r>
          </w:p>
        </w:tc>
        <w:tc>
          <w:tcPr>
            <w:tcW w:w="590" w:type="dxa"/>
            <w:tcBorders>
              <w:left w:val="single" w:sz="4" w:space="0" w:color="0079C1"/>
            </w:tcBorders>
            <w:shd w:val="clear" w:color="auto" w:fill="auto"/>
            <w:vAlign w:val="center"/>
          </w:tcPr>
          <w:p w14:paraId="55597A86" w14:textId="2166914C" w:rsidR="0045462C" w:rsidRPr="00C8327F" w:rsidRDefault="0045462C" w:rsidP="001A0564">
            <w:pPr>
              <w:pStyle w:val="TableTextCentred"/>
              <w:rPr>
                <w:b/>
                <w:sz w:val="20"/>
                <w:szCs w:val="20"/>
              </w:rPr>
            </w:pPr>
            <w:r w:rsidRPr="00C8327F">
              <w:rPr>
                <w:b/>
                <w:sz w:val="20"/>
                <w:szCs w:val="20"/>
              </w:rPr>
              <w:t>6</w:t>
            </w:r>
          </w:p>
        </w:tc>
        <w:tc>
          <w:tcPr>
            <w:tcW w:w="969" w:type="dxa"/>
            <w:shd w:val="clear" w:color="auto" w:fill="auto"/>
            <w:vAlign w:val="center"/>
          </w:tcPr>
          <w:p w14:paraId="64BE56D8" w14:textId="2C55BD8C" w:rsidR="0045462C" w:rsidRPr="00C8327F" w:rsidRDefault="0045462C" w:rsidP="001A0564">
            <w:pPr>
              <w:pStyle w:val="TableTextCentred"/>
              <w:rPr>
                <w:rStyle w:val="Strong"/>
                <w:b w:val="0"/>
                <w:sz w:val="20"/>
                <w:szCs w:val="20"/>
              </w:rPr>
            </w:pPr>
            <w:r w:rsidRPr="00C8327F">
              <w:rPr>
                <w:b/>
                <w:sz w:val="20"/>
                <w:szCs w:val="20"/>
              </w:rPr>
              <w:t>2.7%</w:t>
            </w:r>
          </w:p>
        </w:tc>
      </w:tr>
      <w:tr w:rsidR="0045462C" w:rsidRPr="00C8327F" w14:paraId="7F68ABDB" w14:textId="77777777" w:rsidTr="00C8327F">
        <w:tc>
          <w:tcPr>
            <w:tcW w:w="1406" w:type="dxa"/>
            <w:tcBorders>
              <w:right w:val="single" w:sz="4" w:space="0" w:color="0079C1"/>
            </w:tcBorders>
            <w:shd w:val="clear" w:color="auto" w:fill="auto"/>
            <w:vAlign w:val="center"/>
          </w:tcPr>
          <w:p w14:paraId="7F09A9B7" w14:textId="5ABDAC50" w:rsidR="0045462C" w:rsidRPr="00C8327F" w:rsidRDefault="0045462C" w:rsidP="0045462C">
            <w:pPr>
              <w:pStyle w:val="TableText"/>
              <w:rPr>
                <w:sz w:val="20"/>
                <w:szCs w:val="20"/>
              </w:rPr>
            </w:pPr>
            <w:r w:rsidRPr="00C8327F">
              <w:rPr>
                <w:sz w:val="20"/>
                <w:szCs w:val="20"/>
              </w:rPr>
              <w:t>Very dissatisfied</w:t>
            </w:r>
          </w:p>
        </w:tc>
        <w:tc>
          <w:tcPr>
            <w:tcW w:w="571" w:type="dxa"/>
            <w:tcBorders>
              <w:left w:val="single" w:sz="4" w:space="0" w:color="0079C1"/>
            </w:tcBorders>
            <w:shd w:val="clear" w:color="auto" w:fill="auto"/>
            <w:vAlign w:val="center"/>
          </w:tcPr>
          <w:p w14:paraId="30C0C2B3" w14:textId="00D7B030" w:rsidR="0045462C" w:rsidRPr="00C8327F" w:rsidRDefault="0045462C" w:rsidP="001A0564">
            <w:pPr>
              <w:pStyle w:val="TableTextCentred"/>
              <w:rPr>
                <w:sz w:val="20"/>
                <w:szCs w:val="20"/>
              </w:rPr>
            </w:pPr>
            <w:r w:rsidRPr="00C8327F">
              <w:rPr>
                <w:sz w:val="20"/>
                <w:szCs w:val="20"/>
              </w:rPr>
              <w:t>4</w:t>
            </w:r>
          </w:p>
        </w:tc>
        <w:tc>
          <w:tcPr>
            <w:tcW w:w="993" w:type="dxa"/>
            <w:tcBorders>
              <w:right w:val="single" w:sz="4" w:space="0" w:color="0079C1"/>
            </w:tcBorders>
            <w:shd w:val="clear" w:color="auto" w:fill="auto"/>
            <w:vAlign w:val="center"/>
          </w:tcPr>
          <w:p w14:paraId="6DFA122F" w14:textId="54AD48DF" w:rsidR="0045462C" w:rsidRPr="00C8327F" w:rsidRDefault="0045462C" w:rsidP="001A0564">
            <w:pPr>
              <w:pStyle w:val="TableTextCentred"/>
              <w:rPr>
                <w:sz w:val="20"/>
                <w:szCs w:val="20"/>
              </w:rPr>
            </w:pPr>
            <w:r w:rsidRPr="00C8327F">
              <w:rPr>
                <w:sz w:val="20"/>
                <w:szCs w:val="20"/>
              </w:rPr>
              <w:t>3.7%</w:t>
            </w:r>
          </w:p>
        </w:tc>
        <w:tc>
          <w:tcPr>
            <w:tcW w:w="610" w:type="dxa"/>
            <w:tcBorders>
              <w:left w:val="single" w:sz="4" w:space="0" w:color="0079C1"/>
            </w:tcBorders>
            <w:shd w:val="clear" w:color="auto" w:fill="auto"/>
            <w:vAlign w:val="center"/>
          </w:tcPr>
          <w:p w14:paraId="2D988804" w14:textId="79F68820" w:rsidR="0045462C" w:rsidRPr="00C8327F" w:rsidRDefault="0045462C" w:rsidP="001A0564">
            <w:pPr>
              <w:pStyle w:val="TableTextCentred"/>
              <w:rPr>
                <w:sz w:val="20"/>
                <w:szCs w:val="20"/>
              </w:rPr>
            </w:pPr>
            <w:r w:rsidRPr="00C8327F">
              <w:rPr>
                <w:sz w:val="20"/>
                <w:szCs w:val="20"/>
              </w:rPr>
              <w:t>1</w:t>
            </w:r>
          </w:p>
        </w:tc>
        <w:tc>
          <w:tcPr>
            <w:tcW w:w="949" w:type="dxa"/>
            <w:tcBorders>
              <w:right w:val="single" w:sz="4" w:space="0" w:color="0079C1"/>
            </w:tcBorders>
            <w:shd w:val="clear" w:color="auto" w:fill="auto"/>
            <w:vAlign w:val="center"/>
          </w:tcPr>
          <w:p w14:paraId="4FA6CD5B" w14:textId="4FCFB401" w:rsidR="0045462C" w:rsidRPr="00C8327F" w:rsidRDefault="0045462C" w:rsidP="001A0564">
            <w:pPr>
              <w:pStyle w:val="TableTextCentred"/>
              <w:rPr>
                <w:sz w:val="20"/>
                <w:szCs w:val="20"/>
              </w:rPr>
            </w:pPr>
            <w:r w:rsidRPr="00C8327F">
              <w:rPr>
                <w:sz w:val="20"/>
                <w:szCs w:val="20"/>
              </w:rPr>
              <w:t>5.3%</w:t>
            </w:r>
          </w:p>
        </w:tc>
        <w:tc>
          <w:tcPr>
            <w:tcW w:w="551" w:type="dxa"/>
            <w:tcBorders>
              <w:left w:val="single" w:sz="4" w:space="0" w:color="0079C1"/>
            </w:tcBorders>
            <w:shd w:val="clear" w:color="auto" w:fill="auto"/>
            <w:vAlign w:val="center"/>
          </w:tcPr>
          <w:p w14:paraId="4D20F5F9" w14:textId="2E7D7CC3" w:rsidR="0045462C" w:rsidRPr="00C8327F" w:rsidRDefault="0045462C" w:rsidP="001A0564">
            <w:pPr>
              <w:pStyle w:val="TableTextCentred"/>
              <w:rPr>
                <w:sz w:val="20"/>
                <w:szCs w:val="20"/>
              </w:rPr>
            </w:pPr>
            <w:r w:rsidRPr="00C8327F">
              <w:rPr>
                <w:sz w:val="20"/>
                <w:szCs w:val="20"/>
              </w:rPr>
              <w:t>1</w:t>
            </w:r>
          </w:p>
        </w:tc>
        <w:tc>
          <w:tcPr>
            <w:tcW w:w="1009" w:type="dxa"/>
            <w:tcBorders>
              <w:right w:val="single" w:sz="4" w:space="0" w:color="0079C1"/>
            </w:tcBorders>
            <w:shd w:val="clear" w:color="auto" w:fill="auto"/>
            <w:vAlign w:val="center"/>
          </w:tcPr>
          <w:p w14:paraId="04892A1A" w14:textId="5C8D802A" w:rsidR="0045462C" w:rsidRPr="00C8327F" w:rsidRDefault="0045462C" w:rsidP="001A0564">
            <w:pPr>
              <w:pStyle w:val="TableTextCentred"/>
              <w:rPr>
                <w:sz w:val="20"/>
                <w:szCs w:val="20"/>
              </w:rPr>
            </w:pPr>
            <w:r w:rsidRPr="00C8327F">
              <w:rPr>
                <w:sz w:val="20"/>
                <w:szCs w:val="20"/>
              </w:rPr>
              <w:t>1.4%</w:t>
            </w:r>
          </w:p>
        </w:tc>
        <w:tc>
          <w:tcPr>
            <w:tcW w:w="551" w:type="dxa"/>
            <w:tcBorders>
              <w:left w:val="single" w:sz="4" w:space="0" w:color="0079C1"/>
            </w:tcBorders>
            <w:shd w:val="clear" w:color="auto" w:fill="auto"/>
            <w:vAlign w:val="center"/>
          </w:tcPr>
          <w:p w14:paraId="1D20D65A" w14:textId="6C86B175" w:rsidR="0045462C" w:rsidRPr="00C8327F" w:rsidRDefault="0045462C" w:rsidP="001A0564">
            <w:pPr>
              <w:pStyle w:val="TableTextCentred"/>
              <w:rPr>
                <w:sz w:val="20"/>
                <w:szCs w:val="20"/>
              </w:rPr>
            </w:pPr>
            <w:r w:rsidRPr="00C8327F">
              <w:rPr>
                <w:sz w:val="20"/>
                <w:szCs w:val="20"/>
              </w:rPr>
              <w:t>-</w:t>
            </w:r>
          </w:p>
        </w:tc>
        <w:tc>
          <w:tcPr>
            <w:tcW w:w="1008" w:type="dxa"/>
            <w:tcBorders>
              <w:right w:val="single" w:sz="4" w:space="0" w:color="0079C1"/>
            </w:tcBorders>
            <w:shd w:val="clear" w:color="auto" w:fill="auto"/>
            <w:vAlign w:val="center"/>
          </w:tcPr>
          <w:p w14:paraId="0FCC094C" w14:textId="2FB876B7" w:rsidR="0045462C" w:rsidRPr="00C8327F" w:rsidRDefault="0045462C" w:rsidP="001A0564">
            <w:pPr>
              <w:pStyle w:val="TableTextCentred"/>
              <w:rPr>
                <w:sz w:val="20"/>
                <w:szCs w:val="20"/>
              </w:rPr>
            </w:pPr>
            <w:r w:rsidRPr="00C8327F">
              <w:rPr>
                <w:sz w:val="20"/>
                <w:szCs w:val="20"/>
              </w:rPr>
              <w:t>-</w:t>
            </w:r>
          </w:p>
        </w:tc>
        <w:tc>
          <w:tcPr>
            <w:tcW w:w="590" w:type="dxa"/>
            <w:tcBorders>
              <w:left w:val="single" w:sz="4" w:space="0" w:color="0079C1"/>
            </w:tcBorders>
            <w:shd w:val="clear" w:color="auto" w:fill="auto"/>
            <w:vAlign w:val="center"/>
          </w:tcPr>
          <w:p w14:paraId="218D70D8" w14:textId="1FBE8141" w:rsidR="0045462C" w:rsidRPr="00C8327F" w:rsidRDefault="0045462C" w:rsidP="001A0564">
            <w:pPr>
              <w:pStyle w:val="TableTextCentred"/>
              <w:rPr>
                <w:b/>
                <w:sz w:val="20"/>
                <w:szCs w:val="20"/>
              </w:rPr>
            </w:pPr>
            <w:r w:rsidRPr="00C8327F">
              <w:rPr>
                <w:b/>
                <w:sz w:val="20"/>
                <w:szCs w:val="20"/>
              </w:rPr>
              <w:t>6</w:t>
            </w:r>
          </w:p>
        </w:tc>
        <w:tc>
          <w:tcPr>
            <w:tcW w:w="969" w:type="dxa"/>
            <w:shd w:val="clear" w:color="auto" w:fill="auto"/>
            <w:vAlign w:val="center"/>
          </w:tcPr>
          <w:p w14:paraId="4A2EC5D7" w14:textId="6D8ED3C9" w:rsidR="0045462C" w:rsidRPr="00C8327F" w:rsidRDefault="0045462C" w:rsidP="001A0564">
            <w:pPr>
              <w:pStyle w:val="TableTextCentred"/>
              <w:rPr>
                <w:rStyle w:val="Strong"/>
                <w:b w:val="0"/>
                <w:sz w:val="20"/>
                <w:szCs w:val="20"/>
              </w:rPr>
            </w:pPr>
            <w:r w:rsidRPr="00C8327F">
              <w:rPr>
                <w:b/>
                <w:sz w:val="20"/>
                <w:szCs w:val="20"/>
              </w:rPr>
              <w:t>2.7%</w:t>
            </w:r>
          </w:p>
        </w:tc>
      </w:tr>
      <w:tr w:rsidR="001A0564" w:rsidRPr="00C8327F" w14:paraId="36E8FD60" w14:textId="77777777" w:rsidTr="00C8327F">
        <w:tc>
          <w:tcPr>
            <w:tcW w:w="1406" w:type="dxa"/>
            <w:tcBorders>
              <w:bottom w:val="single" w:sz="4" w:space="0" w:color="0079C1" w:themeColor="text2"/>
              <w:right w:val="single" w:sz="4" w:space="0" w:color="0079C1"/>
            </w:tcBorders>
            <w:shd w:val="clear" w:color="auto" w:fill="auto"/>
            <w:vAlign w:val="center"/>
          </w:tcPr>
          <w:p w14:paraId="6D960032" w14:textId="11B760BA" w:rsidR="001A0564" w:rsidRPr="00C8327F" w:rsidRDefault="001A0564" w:rsidP="001A0564">
            <w:pPr>
              <w:pStyle w:val="TableText"/>
              <w:rPr>
                <w:sz w:val="20"/>
                <w:szCs w:val="20"/>
              </w:rPr>
            </w:pPr>
            <w:r w:rsidRPr="00C8327F">
              <w:rPr>
                <w:sz w:val="20"/>
                <w:szCs w:val="20"/>
              </w:rPr>
              <w:t>Not stated/</w:t>
            </w:r>
            <w:r w:rsidRPr="00C8327F">
              <w:rPr>
                <w:rFonts w:asciiTheme="minorHAnsi" w:hAnsiTheme="minorHAnsi"/>
                <w:sz w:val="20"/>
                <w:szCs w:val="20"/>
              </w:rPr>
              <w:t xml:space="preserve"> not applicable </w:t>
            </w:r>
          </w:p>
        </w:tc>
        <w:tc>
          <w:tcPr>
            <w:tcW w:w="571" w:type="dxa"/>
            <w:tcBorders>
              <w:left w:val="single" w:sz="4" w:space="0" w:color="0079C1"/>
              <w:bottom w:val="single" w:sz="4" w:space="0" w:color="0079C1" w:themeColor="text2"/>
            </w:tcBorders>
            <w:shd w:val="clear" w:color="auto" w:fill="auto"/>
            <w:vAlign w:val="center"/>
          </w:tcPr>
          <w:p w14:paraId="2E925FF2" w14:textId="281E2DF1" w:rsidR="001A0564" w:rsidRPr="00C8327F" w:rsidRDefault="001A0564" w:rsidP="001A0564">
            <w:pPr>
              <w:pStyle w:val="TableTextCentred"/>
              <w:rPr>
                <w:sz w:val="20"/>
                <w:szCs w:val="20"/>
              </w:rPr>
            </w:pPr>
            <w:r w:rsidRPr="00C8327F">
              <w:rPr>
                <w:sz w:val="20"/>
                <w:szCs w:val="20"/>
              </w:rPr>
              <w:t>62</w:t>
            </w:r>
          </w:p>
        </w:tc>
        <w:tc>
          <w:tcPr>
            <w:tcW w:w="993" w:type="dxa"/>
            <w:tcBorders>
              <w:bottom w:val="single" w:sz="4" w:space="0" w:color="0079C1" w:themeColor="text2"/>
              <w:right w:val="single" w:sz="4" w:space="0" w:color="0079C1"/>
            </w:tcBorders>
            <w:shd w:val="clear" w:color="auto" w:fill="auto"/>
            <w:vAlign w:val="center"/>
          </w:tcPr>
          <w:p w14:paraId="4077A267" w14:textId="16F066BE" w:rsidR="001A0564" w:rsidRPr="00C8327F" w:rsidRDefault="001A0564" w:rsidP="001A0564">
            <w:pPr>
              <w:pStyle w:val="TableTextCentred"/>
              <w:rPr>
                <w:sz w:val="20"/>
                <w:szCs w:val="20"/>
              </w:rPr>
            </w:pPr>
            <w:r w:rsidRPr="00C8327F">
              <w:rPr>
                <w:sz w:val="20"/>
                <w:szCs w:val="20"/>
              </w:rPr>
              <w:t>57.4</w:t>
            </w:r>
          </w:p>
        </w:tc>
        <w:tc>
          <w:tcPr>
            <w:tcW w:w="610" w:type="dxa"/>
            <w:tcBorders>
              <w:left w:val="single" w:sz="4" w:space="0" w:color="0079C1"/>
              <w:bottom w:val="single" w:sz="4" w:space="0" w:color="0079C1" w:themeColor="text2"/>
            </w:tcBorders>
            <w:shd w:val="clear" w:color="auto" w:fill="auto"/>
            <w:vAlign w:val="center"/>
          </w:tcPr>
          <w:p w14:paraId="489E1AF1" w14:textId="2CAB3DAF" w:rsidR="001A0564" w:rsidRPr="00C8327F" w:rsidRDefault="001A0564" w:rsidP="001A0564">
            <w:pPr>
              <w:pStyle w:val="TableTextCentred"/>
              <w:rPr>
                <w:sz w:val="20"/>
                <w:szCs w:val="20"/>
              </w:rPr>
            </w:pPr>
            <w:r w:rsidRPr="00C8327F">
              <w:rPr>
                <w:sz w:val="20"/>
                <w:szCs w:val="20"/>
              </w:rPr>
              <w:t>16</w:t>
            </w:r>
          </w:p>
        </w:tc>
        <w:tc>
          <w:tcPr>
            <w:tcW w:w="949" w:type="dxa"/>
            <w:tcBorders>
              <w:bottom w:val="single" w:sz="4" w:space="0" w:color="0079C1" w:themeColor="text2"/>
              <w:right w:val="single" w:sz="4" w:space="0" w:color="0079C1"/>
            </w:tcBorders>
            <w:shd w:val="clear" w:color="auto" w:fill="auto"/>
            <w:vAlign w:val="center"/>
          </w:tcPr>
          <w:p w14:paraId="747C5B00" w14:textId="44047E0E" w:rsidR="001A0564" w:rsidRPr="00C8327F" w:rsidRDefault="001A0564" w:rsidP="001A0564">
            <w:pPr>
              <w:pStyle w:val="TableTextCentred"/>
              <w:rPr>
                <w:sz w:val="20"/>
                <w:szCs w:val="20"/>
              </w:rPr>
            </w:pPr>
            <w:r w:rsidRPr="00C8327F">
              <w:rPr>
                <w:sz w:val="20"/>
                <w:szCs w:val="20"/>
              </w:rPr>
              <w:t>84.2%</w:t>
            </w:r>
          </w:p>
        </w:tc>
        <w:tc>
          <w:tcPr>
            <w:tcW w:w="551" w:type="dxa"/>
            <w:tcBorders>
              <w:left w:val="single" w:sz="4" w:space="0" w:color="0079C1"/>
              <w:bottom w:val="single" w:sz="4" w:space="0" w:color="0079C1" w:themeColor="text2"/>
            </w:tcBorders>
            <w:shd w:val="clear" w:color="auto" w:fill="auto"/>
            <w:vAlign w:val="center"/>
          </w:tcPr>
          <w:p w14:paraId="61BC0BD4" w14:textId="60F4DAD4" w:rsidR="001A0564" w:rsidRPr="00C8327F" w:rsidRDefault="001A0564" w:rsidP="001A0564">
            <w:pPr>
              <w:pStyle w:val="TableTextCentred"/>
              <w:rPr>
                <w:sz w:val="20"/>
                <w:szCs w:val="20"/>
              </w:rPr>
            </w:pPr>
            <w:r w:rsidRPr="00C8327F">
              <w:rPr>
                <w:sz w:val="20"/>
                <w:szCs w:val="20"/>
              </w:rPr>
              <w:t>66</w:t>
            </w:r>
          </w:p>
        </w:tc>
        <w:tc>
          <w:tcPr>
            <w:tcW w:w="1009" w:type="dxa"/>
            <w:tcBorders>
              <w:bottom w:val="single" w:sz="4" w:space="0" w:color="0079C1" w:themeColor="text2"/>
              <w:right w:val="single" w:sz="4" w:space="0" w:color="0079C1"/>
            </w:tcBorders>
            <w:shd w:val="clear" w:color="auto" w:fill="auto"/>
            <w:vAlign w:val="center"/>
          </w:tcPr>
          <w:p w14:paraId="061EB563" w14:textId="29DC3B9F" w:rsidR="001A0564" w:rsidRPr="00C8327F" w:rsidRDefault="001A0564" w:rsidP="001A0564">
            <w:pPr>
              <w:pStyle w:val="TableTextCentred"/>
              <w:rPr>
                <w:sz w:val="20"/>
                <w:szCs w:val="20"/>
              </w:rPr>
            </w:pPr>
            <w:r w:rsidRPr="00C8327F">
              <w:rPr>
                <w:sz w:val="20"/>
                <w:szCs w:val="20"/>
              </w:rPr>
              <w:t>90.4%</w:t>
            </w:r>
          </w:p>
        </w:tc>
        <w:tc>
          <w:tcPr>
            <w:tcW w:w="551" w:type="dxa"/>
            <w:tcBorders>
              <w:left w:val="single" w:sz="4" w:space="0" w:color="0079C1"/>
              <w:bottom w:val="single" w:sz="4" w:space="0" w:color="0079C1" w:themeColor="text2"/>
            </w:tcBorders>
            <w:shd w:val="clear" w:color="auto" w:fill="auto"/>
            <w:vAlign w:val="center"/>
          </w:tcPr>
          <w:p w14:paraId="6321439F" w14:textId="62731F11" w:rsidR="001A0564" w:rsidRPr="00C8327F" w:rsidRDefault="001A0564" w:rsidP="001A0564">
            <w:pPr>
              <w:pStyle w:val="TableTextCentred"/>
              <w:rPr>
                <w:sz w:val="20"/>
                <w:szCs w:val="20"/>
              </w:rPr>
            </w:pPr>
            <w:r w:rsidRPr="00C8327F">
              <w:rPr>
                <w:sz w:val="20"/>
                <w:szCs w:val="20"/>
              </w:rPr>
              <w:t>12</w:t>
            </w:r>
          </w:p>
        </w:tc>
        <w:tc>
          <w:tcPr>
            <w:tcW w:w="1008" w:type="dxa"/>
            <w:tcBorders>
              <w:bottom w:val="single" w:sz="4" w:space="0" w:color="0079C1" w:themeColor="text2"/>
              <w:right w:val="single" w:sz="4" w:space="0" w:color="0079C1"/>
            </w:tcBorders>
            <w:shd w:val="clear" w:color="auto" w:fill="auto"/>
            <w:vAlign w:val="center"/>
          </w:tcPr>
          <w:p w14:paraId="0E2C0E7F" w14:textId="24FB90FC" w:rsidR="001A0564" w:rsidRPr="00C8327F" w:rsidRDefault="001A0564" w:rsidP="001A0564">
            <w:pPr>
              <w:pStyle w:val="TableTextCentred"/>
              <w:rPr>
                <w:sz w:val="20"/>
                <w:szCs w:val="20"/>
              </w:rPr>
            </w:pPr>
            <w:r w:rsidRPr="00C8327F">
              <w:rPr>
                <w:sz w:val="20"/>
                <w:szCs w:val="20"/>
              </w:rPr>
              <w:t>60.0%</w:t>
            </w:r>
          </w:p>
        </w:tc>
        <w:tc>
          <w:tcPr>
            <w:tcW w:w="590" w:type="dxa"/>
            <w:tcBorders>
              <w:left w:val="single" w:sz="4" w:space="0" w:color="0079C1"/>
              <w:bottom w:val="single" w:sz="4" w:space="0" w:color="0079C1" w:themeColor="text2"/>
            </w:tcBorders>
            <w:shd w:val="clear" w:color="auto" w:fill="auto"/>
            <w:vAlign w:val="center"/>
          </w:tcPr>
          <w:p w14:paraId="4B34C88C" w14:textId="32788273" w:rsidR="001A0564" w:rsidRPr="00C8327F" w:rsidRDefault="001A0564" w:rsidP="001A0564">
            <w:pPr>
              <w:pStyle w:val="TableTextCentred"/>
              <w:rPr>
                <w:b/>
                <w:sz w:val="20"/>
                <w:szCs w:val="20"/>
              </w:rPr>
            </w:pPr>
            <w:r w:rsidRPr="00C8327F">
              <w:rPr>
                <w:b/>
                <w:sz w:val="20"/>
                <w:szCs w:val="20"/>
              </w:rPr>
              <w:t>156</w:t>
            </w:r>
          </w:p>
        </w:tc>
        <w:tc>
          <w:tcPr>
            <w:tcW w:w="969" w:type="dxa"/>
            <w:tcBorders>
              <w:bottom w:val="single" w:sz="4" w:space="0" w:color="0079C1" w:themeColor="text2"/>
            </w:tcBorders>
            <w:shd w:val="clear" w:color="auto" w:fill="auto"/>
            <w:vAlign w:val="center"/>
          </w:tcPr>
          <w:p w14:paraId="42FE755B" w14:textId="7FDCD3B1" w:rsidR="001A0564" w:rsidRPr="00C8327F" w:rsidRDefault="001A0564" w:rsidP="001A0564">
            <w:pPr>
              <w:pStyle w:val="TableTextCentred"/>
              <w:rPr>
                <w:rStyle w:val="Strong"/>
                <w:b w:val="0"/>
                <w:sz w:val="20"/>
                <w:szCs w:val="20"/>
              </w:rPr>
            </w:pPr>
            <w:r w:rsidRPr="00C8327F">
              <w:rPr>
                <w:b/>
                <w:sz w:val="20"/>
                <w:szCs w:val="20"/>
              </w:rPr>
              <w:t>70.9%</w:t>
            </w:r>
          </w:p>
        </w:tc>
      </w:tr>
      <w:tr w:rsidR="001A0564" w:rsidRPr="00C8327F" w14:paraId="2F637155" w14:textId="77777777" w:rsidTr="00C8327F">
        <w:tc>
          <w:tcPr>
            <w:tcW w:w="1406"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234D1322" w14:textId="40D257B5" w:rsidR="001A0564" w:rsidRPr="00C8327F" w:rsidRDefault="001A0564" w:rsidP="001A0564">
            <w:pPr>
              <w:pStyle w:val="TableText"/>
              <w:rPr>
                <w:b/>
                <w:sz w:val="20"/>
                <w:szCs w:val="20"/>
              </w:rPr>
            </w:pPr>
            <w:r w:rsidRPr="00C8327F">
              <w:rPr>
                <w:b/>
                <w:sz w:val="20"/>
                <w:szCs w:val="20"/>
              </w:rPr>
              <w:t>Total</w:t>
            </w:r>
          </w:p>
        </w:tc>
        <w:tc>
          <w:tcPr>
            <w:tcW w:w="571"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5EE3CF39" w14:textId="77777777" w:rsidR="001A0564" w:rsidRPr="00C8327F" w:rsidRDefault="001A0564" w:rsidP="001A0564">
            <w:pPr>
              <w:pStyle w:val="TableTextCentred"/>
              <w:rPr>
                <w:b/>
                <w:sz w:val="20"/>
                <w:szCs w:val="20"/>
              </w:rPr>
            </w:pPr>
            <w:r w:rsidRPr="00C8327F">
              <w:rPr>
                <w:b/>
                <w:sz w:val="20"/>
                <w:szCs w:val="20"/>
              </w:rPr>
              <w:t>108</w:t>
            </w:r>
          </w:p>
        </w:tc>
        <w:tc>
          <w:tcPr>
            <w:tcW w:w="993" w:type="dxa"/>
            <w:tcBorders>
              <w:top w:val="single" w:sz="4" w:space="0" w:color="0079C1" w:themeColor="text2"/>
              <w:bottom w:val="single" w:sz="4" w:space="0" w:color="0079C1" w:themeColor="text2"/>
              <w:right w:val="single" w:sz="4" w:space="0" w:color="0079C1"/>
            </w:tcBorders>
            <w:shd w:val="clear" w:color="auto" w:fill="E2F4FF" w:themeFill="accent1" w:themeFillTint="33"/>
          </w:tcPr>
          <w:p w14:paraId="6491AFAC" w14:textId="34300877" w:rsidR="001A0564" w:rsidRPr="00C8327F" w:rsidRDefault="001A0564" w:rsidP="001A0564">
            <w:pPr>
              <w:pStyle w:val="TableTextCentred"/>
              <w:rPr>
                <w:b/>
                <w:sz w:val="20"/>
                <w:szCs w:val="20"/>
              </w:rPr>
            </w:pPr>
            <w:r w:rsidRPr="00C8327F">
              <w:rPr>
                <w:rStyle w:val="Strong"/>
                <w:sz w:val="20"/>
                <w:szCs w:val="20"/>
              </w:rPr>
              <w:t>100.0%</w:t>
            </w:r>
          </w:p>
        </w:tc>
        <w:tc>
          <w:tcPr>
            <w:tcW w:w="610"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440D3DE3" w14:textId="77777777" w:rsidR="001A0564" w:rsidRPr="00C8327F" w:rsidRDefault="001A0564" w:rsidP="001A0564">
            <w:pPr>
              <w:pStyle w:val="TableTextCentred"/>
              <w:rPr>
                <w:b/>
                <w:sz w:val="20"/>
                <w:szCs w:val="20"/>
              </w:rPr>
            </w:pPr>
            <w:r w:rsidRPr="00C8327F">
              <w:rPr>
                <w:b/>
                <w:sz w:val="20"/>
                <w:szCs w:val="20"/>
              </w:rPr>
              <w:t>19</w:t>
            </w:r>
          </w:p>
        </w:tc>
        <w:tc>
          <w:tcPr>
            <w:tcW w:w="949" w:type="dxa"/>
            <w:tcBorders>
              <w:top w:val="single" w:sz="4" w:space="0" w:color="0079C1" w:themeColor="text2"/>
              <w:bottom w:val="single" w:sz="4" w:space="0" w:color="0079C1" w:themeColor="text2"/>
              <w:right w:val="single" w:sz="4" w:space="0" w:color="0079C1"/>
            </w:tcBorders>
            <w:shd w:val="clear" w:color="auto" w:fill="E2F4FF" w:themeFill="accent1" w:themeFillTint="33"/>
          </w:tcPr>
          <w:p w14:paraId="4B0C1697" w14:textId="638BB060" w:rsidR="001A0564" w:rsidRPr="00C8327F" w:rsidRDefault="001A0564" w:rsidP="001A0564">
            <w:pPr>
              <w:pStyle w:val="TableTextCentred"/>
              <w:rPr>
                <w:b/>
                <w:sz w:val="20"/>
                <w:szCs w:val="20"/>
              </w:rPr>
            </w:pPr>
            <w:r w:rsidRPr="00C8327F">
              <w:rPr>
                <w:rStyle w:val="Strong"/>
                <w:sz w:val="20"/>
                <w:szCs w:val="20"/>
              </w:rPr>
              <w:t>100.0%</w:t>
            </w:r>
          </w:p>
        </w:tc>
        <w:tc>
          <w:tcPr>
            <w:tcW w:w="551"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29CB72A1" w14:textId="77777777" w:rsidR="001A0564" w:rsidRPr="00C8327F" w:rsidRDefault="001A0564" w:rsidP="001A0564">
            <w:pPr>
              <w:pStyle w:val="TableTextCentred"/>
              <w:rPr>
                <w:b/>
                <w:sz w:val="20"/>
                <w:szCs w:val="20"/>
              </w:rPr>
            </w:pPr>
            <w:r w:rsidRPr="00C8327F">
              <w:rPr>
                <w:b/>
                <w:sz w:val="20"/>
                <w:szCs w:val="20"/>
              </w:rPr>
              <w:t>73</w:t>
            </w:r>
          </w:p>
        </w:tc>
        <w:tc>
          <w:tcPr>
            <w:tcW w:w="1009" w:type="dxa"/>
            <w:tcBorders>
              <w:top w:val="single" w:sz="4" w:space="0" w:color="0079C1" w:themeColor="text2"/>
              <w:bottom w:val="single" w:sz="4" w:space="0" w:color="0079C1" w:themeColor="text2"/>
              <w:right w:val="single" w:sz="4" w:space="0" w:color="0079C1"/>
            </w:tcBorders>
            <w:shd w:val="clear" w:color="auto" w:fill="E2F4FF" w:themeFill="accent1" w:themeFillTint="33"/>
          </w:tcPr>
          <w:p w14:paraId="7CF940CF" w14:textId="2500E8BE" w:rsidR="001A0564" w:rsidRPr="00C8327F" w:rsidRDefault="001A0564" w:rsidP="001A0564">
            <w:pPr>
              <w:pStyle w:val="TableTextCentred"/>
              <w:rPr>
                <w:b/>
                <w:sz w:val="20"/>
                <w:szCs w:val="20"/>
              </w:rPr>
            </w:pPr>
            <w:r w:rsidRPr="00C8327F">
              <w:rPr>
                <w:rStyle w:val="Strong"/>
                <w:sz w:val="20"/>
                <w:szCs w:val="20"/>
              </w:rPr>
              <w:t>100.0%</w:t>
            </w:r>
          </w:p>
        </w:tc>
        <w:tc>
          <w:tcPr>
            <w:tcW w:w="551"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0138397E" w14:textId="77777777" w:rsidR="001A0564" w:rsidRPr="00C8327F" w:rsidRDefault="001A0564" w:rsidP="001A0564">
            <w:pPr>
              <w:pStyle w:val="TableTextCentred"/>
              <w:rPr>
                <w:b/>
                <w:sz w:val="20"/>
                <w:szCs w:val="20"/>
              </w:rPr>
            </w:pPr>
            <w:r w:rsidRPr="00C8327F">
              <w:rPr>
                <w:b/>
                <w:sz w:val="20"/>
                <w:szCs w:val="20"/>
              </w:rPr>
              <w:t>20</w:t>
            </w:r>
          </w:p>
        </w:tc>
        <w:tc>
          <w:tcPr>
            <w:tcW w:w="1008" w:type="dxa"/>
            <w:tcBorders>
              <w:top w:val="single" w:sz="4" w:space="0" w:color="0079C1" w:themeColor="text2"/>
              <w:bottom w:val="single" w:sz="4" w:space="0" w:color="0079C1" w:themeColor="text2"/>
              <w:right w:val="single" w:sz="4" w:space="0" w:color="0079C1"/>
            </w:tcBorders>
            <w:shd w:val="clear" w:color="auto" w:fill="E2F4FF" w:themeFill="accent1" w:themeFillTint="33"/>
          </w:tcPr>
          <w:p w14:paraId="650246A7" w14:textId="2308CCCB" w:rsidR="001A0564" w:rsidRPr="00C8327F" w:rsidRDefault="001A0564" w:rsidP="001A0564">
            <w:pPr>
              <w:pStyle w:val="TableTextCentred"/>
              <w:rPr>
                <w:b/>
                <w:sz w:val="20"/>
                <w:szCs w:val="20"/>
              </w:rPr>
            </w:pPr>
            <w:r w:rsidRPr="00C8327F">
              <w:rPr>
                <w:rStyle w:val="Strong"/>
                <w:sz w:val="20"/>
                <w:szCs w:val="20"/>
              </w:rPr>
              <w:t>100.0%</w:t>
            </w:r>
          </w:p>
        </w:tc>
        <w:tc>
          <w:tcPr>
            <w:tcW w:w="590"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235D5122" w14:textId="77777777" w:rsidR="001A0564" w:rsidRPr="00C8327F" w:rsidRDefault="001A0564" w:rsidP="001A0564">
            <w:pPr>
              <w:pStyle w:val="TableTextCentred"/>
              <w:rPr>
                <w:b/>
                <w:sz w:val="20"/>
                <w:szCs w:val="20"/>
              </w:rPr>
            </w:pPr>
            <w:r w:rsidRPr="00C8327F">
              <w:rPr>
                <w:b/>
                <w:sz w:val="20"/>
                <w:szCs w:val="20"/>
              </w:rPr>
              <w:t>220</w:t>
            </w:r>
          </w:p>
        </w:tc>
        <w:tc>
          <w:tcPr>
            <w:tcW w:w="969" w:type="dxa"/>
            <w:tcBorders>
              <w:top w:val="single" w:sz="4" w:space="0" w:color="0079C1" w:themeColor="text2"/>
              <w:bottom w:val="single" w:sz="4" w:space="0" w:color="0079C1" w:themeColor="text2"/>
            </w:tcBorders>
            <w:shd w:val="clear" w:color="auto" w:fill="E2F4FF" w:themeFill="accent1" w:themeFillTint="33"/>
          </w:tcPr>
          <w:p w14:paraId="4DFE49D6" w14:textId="3F671FC2" w:rsidR="001A0564" w:rsidRPr="00C8327F" w:rsidRDefault="001A0564" w:rsidP="001A0564">
            <w:pPr>
              <w:pStyle w:val="TableTextCentred"/>
              <w:rPr>
                <w:rStyle w:val="Strong"/>
                <w:sz w:val="20"/>
                <w:szCs w:val="20"/>
              </w:rPr>
            </w:pPr>
            <w:r w:rsidRPr="00C8327F">
              <w:rPr>
                <w:rStyle w:val="Strong"/>
                <w:sz w:val="20"/>
                <w:szCs w:val="20"/>
              </w:rPr>
              <w:t>100.0%</w:t>
            </w:r>
          </w:p>
        </w:tc>
      </w:tr>
    </w:tbl>
    <w:p w14:paraId="2BF115C5" w14:textId="58EED221" w:rsidR="00BC50B2" w:rsidRDefault="00BC50B2" w:rsidP="00BC50B2">
      <w:pPr>
        <w:pStyle w:val="Caption"/>
      </w:pPr>
      <w:bookmarkStart w:id="129" w:name="_Ref463010553"/>
      <w:bookmarkStart w:id="130" w:name="_Toc490481665"/>
      <w:r>
        <w:t xml:space="preserve">Table </w:t>
      </w:r>
      <w:r w:rsidR="00644B63">
        <w:fldChar w:fldCharType="begin"/>
      </w:r>
      <w:r w:rsidR="00644B63">
        <w:instrText xml:space="preserve"> STYLEREF 1 \s </w:instrText>
      </w:r>
      <w:r w:rsidR="00644B63">
        <w:fldChar w:fldCharType="separate"/>
      </w:r>
      <w:r w:rsidR="00487073">
        <w:rPr>
          <w:noProof/>
        </w:rPr>
        <w:t>5</w:t>
      </w:r>
      <w:r w:rsidR="00644B63">
        <w:fldChar w:fldCharType="end"/>
      </w:r>
      <w:r w:rsidR="00644B63">
        <w:noBreakHyphen/>
      </w:r>
      <w:r w:rsidR="00644B63">
        <w:fldChar w:fldCharType="begin"/>
      </w:r>
      <w:r w:rsidR="00644B63">
        <w:instrText xml:space="preserve"> SEQ Table \* ARABIC \s 1 </w:instrText>
      </w:r>
      <w:r w:rsidR="00644B63">
        <w:fldChar w:fldCharType="separate"/>
      </w:r>
      <w:r w:rsidR="00487073">
        <w:rPr>
          <w:noProof/>
        </w:rPr>
        <w:t>15</w:t>
      </w:r>
      <w:r w:rsidR="00644B63">
        <w:fldChar w:fldCharType="end"/>
      </w:r>
      <w:bookmarkEnd w:id="129"/>
      <w:r>
        <w:t>:</w:t>
      </w:r>
      <w:r>
        <w:tab/>
        <w:t>How satisfied were you with the usefulness of the response you received to the online contact form?</w:t>
      </w:r>
      <w:bookmarkEnd w:id="130"/>
    </w:p>
    <w:tbl>
      <w:tblPr>
        <w:tblStyle w:val="TableGrid"/>
        <w:tblW w:w="9363" w:type="dxa"/>
        <w:tblInd w:w="101"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Description w:val="Table 5 15: How satisfied were you with the usefulness of the response you received to the online contact form?"/>
      </w:tblPr>
      <w:tblGrid>
        <w:gridCol w:w="1418"/>
        <w:gridCol w:w="567"/>
        <w:gridCol w:w="992"/>
        <w:gridCol w:w="567"/>
        <w:gridCol w:w="999"/>
        <w:gridCol w:w="560"/>
        <w:gridCol w:w="993"/>
        <w:gridCol w:w="567"/>
        <w:gridCol w:w="992"/>
        <w:gridCol w:w="716"/>
        <w:gridCol w:w="992"/>
      </w:tblGrid>
      <w:tr w:rsidR="00423F59" w:rsidRPr="00C8327F" w14:paraId="450323FB" w14:textId="77777777" w:rsidTr="00F25A33">
        <w:trPr>
          <w:tblHeader/>
        </w:trPr>
        <w:tc>
          <w:tcPr>
            <w:tcW w:w="1418" w:type="dxa"/>
            <w:vMerge w:val="restart"/>
            <w:shd w:val="clear" w:color="auto" w:fill="0070C0"/>
            <w:vAlign w:val="center"/>
          </w:tcPr>
          <w:p w14:paraId="5ADCF889" w14:textId="77777777" w:rsidR="00BC50B2" w:rsidRPr="00C8327F" w:rsidRDefault="00BC50B2" w:rsidP="00DA50AF">
            <w:pPr>
              <w:pStyle w:val="TableHeading1"/>
              <w:rPr>
                <w:sz w:val="20"/>
              </w:rPr>
            </w:pPr>
            <w:r w:rsidRPr="00C8327F">
              <w:rPr>
                <w:sz w:val="20"/>
              </w:rPr>
              <w:t>Usefulness of response</w:t>
            </w:r>
          </w:p>
        </w:tc>
        <w:tc>
          <w:tcPr>
            <w:tcW w:w="3125" w:type="dxa"/>
            <w:gridSpan w:val="4"/>
            <w:shd w:val="clear" w:color="auto" w:fill="0070C0"/>
            <w:vAlign w:val="center"/>
          </w:tcPr>
          <w:p w14:paraId="6A379508" w14:textId="77777777" w:rsidR="00BC50B2" w:rsidRPr="00C8327F" w:rsidRDefault="00BC50B2" w:rsidP="00DA50AF">
            <w:pPr>
              <w:pStyle w:val="TableHeading1Centred"/>
              <w:rPr>
                <w:sz w:val="20"/>
              </w:rPr>
            </w:pPr>
            <w:r w:rsidRPr="00C8327F">
              <w:rPr>
                <w:sz w:val="20"/>
              </w:rPr>
              <w:t>Wanting to adopt</w:t>
            </w:r>
          </w:p>
        </w:tc>
        <w:tc>
          <w:tcPr>
            <w:tcW w:w="1553" w:type="dxa"/>
            <w:gridSpan w:val="2"/>
            <w:vMerge w:val="restart"/>
            <w:shd w:val="clear" w:color="auto" w:fill="0070C0"/>
            <w:vAlign w:val="center"/>
          </w:tcPr>
          <w:p w14:paraId="715D3802" w14:textId="77777777" w:rsidR="00BC50B2" w:rsidRPr="00C8327F" w:rsidRDefault="00BC50B2" w:rsidP="00DA50AF">
            <w:pPr>
              <w:pStyle w:val="TableHeading1Centred"/>
              <w:rPr>
                <w:sz w:val="20"/>
              </w:rPr>
            </w:pPr>
            <w:r w:rsidRPr="00C8327F">
              <w:rPr>
                <w:sz w:val="20"/>
              </w:rPr>
              <w:t>Post adoption</w:t>
            </w:r>
          </w:p>
        </w:tc>
        <w:tc>
          <w:tcPr>
            <w:tcW w:w="1559" w:type="dxa"/>
            <w:gridSpan w:val="2"/>
            <w:vMerge w:val="restart"/>
            <w:shd w:val="clear" w:color="auto" w:fill="0070C0"/>
            <w:vAlign w:val="center"/>
          </w:tcPr>
          <w:p w14:paraId="203A9858" w14:textId="77777777" w:rsidR="00BC50B2" w:rsidRPr="00C8327F" w:rsidRDefault="00BC50B2" w:rsidP="00DA50AF">
            <w:pPr>
              <w:pStyle w:val="TableHeading1Centred"/>
              <w:rPr>
                <w:sz w:val="20"/>
              </w:rPr>
            </w:pPr>
            <w:r w:rsidRPr="00C8327F">
              <w:rPr>
                <w:sz w:val="20"/>
              </w:rPr>
              <w:t>Did not continue</w:t>
            </w:r>
          </w:p>
        </w:tc>
        <w:tc>
          <w:tcPr>
            <w:tcW w:w="1708" w:type="dxa"/>
            <w:gridSpan w:val="2"/>
            <w:vMerge w:val="restart"/>
            <w:shd w:val="clear" w:color="auto" w:fill="0070C0"/>
            <w:vAlign w:val="center"/>
          </w:tcPr>
          <w:p w14:paraId="02F325F0" w14:textId="77777777" w:rsidR="00BC50B2" w:rsidRPr="00C8327F" w:rsidRDefault="00BC50B2" w:rsidP="00DA50AF">
            <w:pPr>
              <w:pStyle w:val="TableHeading1Centred"/>
              <w:rPr>
                <w:sz w:val="20"/>
              </w:rPr>
            </w:pPr>
            <w:r w:rsidRPr="00C8327F">
              <w:rPr>
                <w:sz w:val="20"/>
              </w:rPr>
              <w:t>Total</w:t>
            </w:r>
          </w:p>
        </w:tc>
      </w:tr>
      <w:tr w:rsidR="00423F59" w:rsidRPr="00C8327F" w14:paraId="66291F17" w14:textId="77777777" w:rsidTr="00F25A33">
        <w:trPr>
          <w:tblHeader/>
        </w:trPr>
        <w:tc>
          <w:tcPr>
            <w:tcW w:w="1418" w:type="dxa"/>
            <w:vMerge/>
            <w:shd w:val="clear" w:color="auto" w:fill="0079C1" w:themeFill="text2"/>
            <w:vAlign w:val="center"/>
          </w:tcPr>
          <w:p w14:paraId="24882C14" w14:textId="77777777" w:rsidR="00BC50B2" w:rsidRPr="00C8327F" w:rsidRDefault="00BC50B2" w:rsidP="00DA50AF">
            <w:pPr>
              <w:pStyle w:val="TableHeading1Centred"/>
              <w:jc w:val="left"/>
              <w:rPr>
                <w:sz w:val="20"/>
              </w:rPr>
            </w:pPr>
          </w:p>
        </w:tc>
        <w:tc>
          <w:tcPr>
            <w:tcW w:w="1559" w:type="dxa"/>
            <w:gridSpan w:val="2"/>
            <w:shd w:val="clear" w:color="auto" w:fill="0070C0"/>
            <w:vAlign w:val="center"/>
          </w:tcPr>
          <w:p w14:paraId="170FC838" w14:textId="77777777" w:rsidR="00BC50B2" w:rsidRPr="00C8327F" w:rsidRDefault="00BC50B2" w:rsidP="00DA50AF">
            <w:pPr>
              <w:pStyle w:val="TableHeading1Centred"/>
              <w:rPr>
                <w:sz w:val="20"/>
              </w:rPr>
            </w:pPr>
            <w:r w:rsidRPr="00C8327F">
              <w:rPr>
                <w:sz w:val="20"/>
              </w:rPr>
              <w:t>First time</w:t>
            </w:r>
          </w:p>
        </w:tc>
        <w:tc>
          <w:tcPr>
            <w:tcW w:w="1566" w:type="dxa"/>
            <w:gridSpan w:val="2"/>
            <w:shd w:val="clear" w:color="auto" w:fill="0070C0"/>
            <w:vAlign w:val="center"/>
          </w:tcPr>
          <w:p w14:paraId="5380D4B9" w14:textId="77777777" w:rsidR="00BC50B2" w:rsidRPr="00C8327F" w:rsidRDefault="00BC50B2" w:rsidP="00DA50AF">
            <w:pPr>
              <w:pStyle w:val="TableHeading1Centred"/>
              <w:rPr>
                <w:sz w:val="20"/>
              </w:rPr>
            </w:pPr>
            <w:r w:rsidRPr="00C8327F">
              <w:rPr>
                <w:sz w:val="20"/>
              </w:rPr>
              <w:t>Repeat</w:t>
            </w:r>
          </w:p>
        </w:tc>
        <w:tc>
          <w:tcPr>
            <w:tcW w:w="1553" w:type="dxa"/>
            <w:gridSpan w:val="2"/>
            <w:vMerge/>
            <w:shd w:val="clear" w:color="auto" w:fill="0070C0"/>
            <w:vAlign w:val="center"/>
          </w:tcPr>
          <w:p w14:paraId="106DA8E2" w14:textId="77777777" w:rsidR="00BC50B2" w:rsidRPr="00C8327F" w:rsidRDefault="00BC50B2" w:rsidP="00DA50AF">
            <w:pPr>
              <w:pStyle w:val="TableHeading1Centred"/>
              <w:rPr>
                <w:sz w:val="20"/>
              </w:rPr>
            </w:pPr>
          </w:p>
        </w:tc>
        <w:tc>
          <w:tcPr>
            <w:tcW w:w="1559" w:type="dxa"/>
            <w:gridSpan w:val="2"/>
            <w:vMerge/>
            <w:shd w:val="clear" w:color="auto" w:fill="0070C0"/>
            <w:vAlign w:val="center"/>
          </w:tcPr>
          <w:p w14:paraId="59F49A40" w14:textId="77777777" w:rsidR="00BC50B2" w:rsidRPr="00C8327F" w:rsidRDefault="00BC50B2" w:rsidP="00DA50AF">
            <w:pPr>
              <w:pStyle w:val="TableHeading1Centred"/>
              <w:rPr>
                <w:sz w:val="20"/>
              </w:rPr>
            </w:pPr>
          </w:p>
        </w:tc>
        <w:tc>
          <w:tcPr>
            <w:tcW w:w="1708" w:type="dxa"/>
            <w:gridSpan w:val="2"/>
            <w:vMerge/>
            <w:shd w:val="clear" w:color="auto" w:fill="0070C0"/>
            <w:vAlign w:val="center"/>
          </w:tcPr>
          <w:p w14:paraId="17CE7347" w14:textId="77777777" w:rsidR="00BC50B2" w:rsidRPr="00C8327F" w:rsidRDefault="00BC50B2" w:rsidP="00DA50AF">
            <w:pPr>
              <w:pStyle w:val="TableHeading1Centred"/>
              <w:rPr>
                <w:sz w:val="20"/>
              </w:rPr>
            </w:pPr>
          </w:p>
        </w:tc>
      </w:tr>
      <w:tr w:rsidR="00423F59" w:rsidRPr="00C8327F" w14:paraId="10314D1F" w14:textId="77777777" w:rsidTr="00F25A33">
        <w:trPr>
          <w:tblHeader/>
        </w:trPr>
        <w:tc>
          <w:tcPr>
            <w:tcW w:w="1418" w:type="dxa"/>
            <w:vMerge/>
            <w:vAlign w:val="center"/>
          </w:tcPr>
          <w:p w14:paraId="529AAD51" w14:textId="77777777" w:rsidR="00BC50B2" w:rsidRPr="00C8327F" w:rsidRDefault="00BC50B2" w:rsidP="00DA50AF">
            <w:pPr>
              <w:pStyle w:val="TableHeading1Centred"/>
              <w:jc w:val="left"/>
              <w:rPr>
                <w:sz w:val="20"/>
              </w:rPr>
            </w:pPr>
          </w:p>
        </w:tc>
        <w:tc>
          <w:tcPr>
            <w:tcW w:w="567" w:type="dxa"/>
            <w:shd w:val="clear" w:color="auto" w:fill="0070C0"/>
            <w:vAlign w:val="center"/>
          </w:tcPr>
          <w:p w14:paraId="12F7CEDA" w14:textId="77777777" w:rsidR="00BC50B2" w:rsidRPr="00C8327F" w:rsidRDefault="00BC50B2" w:rsidP="00DA50AF">
            <w:pPr>
              <w:pStyle w:val="TableHeading1Centred"/>
              <w:rPr>
                <w:sz w:val="20"/>
              </w:rPr>
            </w:pPr>
            <w:r w:rsidRPr="00C8327F">
              <w:rPr>
                <w:sz w:val="20"/>
              </w:rPr>
              <w:t>n</w:t>
            </w:r>
          </w:p>
        </w:tc>
        <w:tc>
          <w:tcPr>
            <w:tcW w:w="992" w:type="dxa"/>
            <w:shd w:val="clear" w:color="auto" w:fill="0070C0"/>
            <w:vAlign w:val="center"/>
          </w:tcPr>
          <w:p w14:paraId="47C72D2E" w14:textId="77777777" w:rsidR="00BC50B2" w:rsidRPr="00C8327F" w:rsidRDefault="00BC50B2" w:rsidP="00DA50AF">
            <w:pPr>
              <w:pStyle w:val="TableHeading1Centred"/>
              <w:rPr>
                <w:sz w:val="20"/>
              </w:rPr>
            </w:pPr>
            <w:r w:rsidRPr="00C8327F">
              <w:rPr>
                <w:sz w:val="20"/>
              </w:rPr>
              <w:t>%</w:t>
            </w:r>
          </w:p>
        </w:tc>
        <w:tc>
          <w:tcPr>
            <w:tcW w:w="567" w:type="dxa"/>
            <w:shd w:val="clear" w:color="auto" w:fill="0070C0"/>
            <w:vAlign w:val="center"/>
          </w:tcPr>
          <w:p w14:paraId="3F1D0917" w14:textId="77777777" w:rsidR="00BC50B2" w:rsidRPr="00C8327F" w:rsidRDefault="00BC50B2" w:rsidP="00DA50AF">
            <w:pPr>
              <w:pStyle w:val="TableHeading1Centred"/>
              <w:rPr>
                <w:sz w:val="20"/>
              </w:rPr>
            </w:pPr>
            <w:r w:rsidRPr="00C8327F">
              <w:rPr>
                <w:sz w:val="20"/>
              </w:rPr>
              <w:t>n</w:t>
            </w:r>
          </w:p>
        </w:tc>
        <w:tc>
          <w:tcPr>
            <w:tcW w:w="999" w:type="dxa"/>
            <w:shd w:val="clear" w:color="auto" w:fill="0070C0"/>
            <w:vAlign w:val="center"/>
          </w:tcPr>
          <w:p w14:paraId="57F286DA" w14:textId="77777777" w:rsidR="00BC50B2" w:rsidRPr="00C8327F" w:rsidRDefault="00BC50B2" w:rsidP="00DA50AF">
            <w:pPr>
              <w:pStyle w:val="TableHeading1Centred"/>
              <w:rPr>
                <w:sz w:val="20"/>
              </w:rPr>
            </w:pPr>
            <w:r w:rsidRPr="00C8327F">
              <w:rPr>
                <w:sz w:val="20"/>
              </w:rPr>
              <w:t>%</w:t>
            </w:r>
          </w:p>
        </w:tc>
        <w:tc>
          <w:tcPr>
            <w:tcW w:w="560" w:type="dxa"/>
            <w:shd w:val="clear" w:color="auto" w:fill="0070C0"/>
            <w:vAlign w:val="center"/>
          </w:tcPr>
          <w:p w14:paraId="0E2C4EB0" w14:textId="77777777" w:rsidR="00BC50B2" w:rsidRPr="00C8327F" w:rsidRDefault="00BC50B2" w:rsidP="00DA50AF">
            <w:pPr>
              <w:pStyle w:val="TableHeading1Centred"/>
              <w:rPr>
                <w:sz w:val="20"/>
              </w:rPr>
            </w:pPr>
            <w:r w:rsidRPr="00C8327F">
              <w:rPr>
                <w:sz w:val="20"/>
              </w:rPr>
              <w:t>n</w:t>
            </w:r>
          </w:p>
        </w:tc>
        <w:tc>
          <w:tcPr>
            <w:tcW w:w="993" w:type="dxa"/>
            <w:shd w:val="clear" w:color="auto" w:fill="0070C0"/>
            <w:vAlign w:val="center"/>
          </w:tcPr>
          <w:p w14:paraId="54D36238" w14:textId="77777777" w:rsidR="00BC50B2" w:rsidRPr="00C8327F" w:rsidRDefault="00BC50B2" w:rsidP="00DA50AF">
            <w:pPr>
              <w:pStyle w:val="TableHeading1Centred"/>
              <w:rPr>
                <w:sz w:val="20"/>
              </w:rPr>
            </w:pPr>
            <w:r w:rsidRPr="00C8327F">
              <w:rPr>
                <w:sz w:val="20"/>
              </w:rPr>
              <w:t>%</w:t>
            </w:r>
          </w:p>
        </w:tc>
        <w:tc>
          <w:tcPr>
            <w:tcW w:w="567" w:type="dxa"/>
            <w:shd w:val="clear" w:color="auto" w:fill="0070C0"/>
            <w:vAlign w:val="center"/>
          </w:tcPr>
          <w:p w14:paraId="4C6BE598" w14:textId="77777777" w:rsidR="00BC50B2" w:rsidRPr="00C8327F" w:rsidRDefault="00BC50B2" w:rsidP="00DA50AF">
            <w:pPr>
              <w:pStyle w:val="TableHeading1Centred"/>
              <w:rPr>
                <w:sz w:val="20"/>
              </w:rPr>
            </w:pPr>
            <w:r w:rsidRPr="00C8327F">
              <w:rPr>
                <w:sz w:val="20"/>
              </w:rPr>
              <w:t>n</w:t>
            </w:r>
          </w:p>
        </w:tc>
        <w:tc>
          <w:tcPr>
            <w:tcW w:w="992" w:type="dxa"/>
            <w:shd w:val="clear" w:color="auto" w:fill="0070C0"/>
            <w:vAlign w:val="center"/>
          </w:tcPr>
          <w:p w14:paraId="6253DD98" w14:textId="77777777" w:rsidR="00BC50B2" w:rsidRPr="00C8327F" w:rsidRDefault="00BC50B2" w:rsidP="00DA50AF">
            <w:pPr>
              <w:pStyle w:val="TableHeading1Centred"/>
              <w:rPr>
                <w:sz w:val="20"/>
              </w:rPr>
            </w:pPr>
            <w:r w:rsidRPr="00C8327F">
              <w:rPr>
                <w:sz w:val="20"/>
              </w:rPr>
              <w:t>%</w:t>
            </w:r>
          </w:p>
        </w:tc>
        <w:tc>
          <w:tcPr>
            <w:tcW w:w="716" w:type="dxa"/>
            <w:shd w:val="clear" w:color="auto" w:fill="0070C0"/>
            <w:vAlign w:val="center"/>
          </w:tcPr>
          <w:p w14:paraId="46690734" w14:textId="77777777" w:rsidR="00BC50B2" w:rsidRPr="00C8327F" w:rsidRDefault="00BC50B2" w:rsidP="00DA50AF">
            <w:pPr>
              <w:pStyle w:val="TableHeading1Centred"/>
              <w:rPr>
                <w:sz w:val="20"/>
              </w:rPr>
            </w:pPr>
            <w:r w:rsidRPr="00C8327F">
              <w:rPr>
                <w:sz w:val="20"/>
              </w:rPr>
              <w:t>n</w:t>
            </w:r>
          </w:p>
        </w:tc>
        <w:tc>
          <w:tcPr>
            <w:tcW w:w="992" w:type="dxa"/>
            <w:shd w:val="clear" w:color="auto" w:fill="0070C0"/>
            <w:vAlign w:val="center"/>
          </w:tcPr>
          <w:p w14:paraId="464640D0" w14:textId="77777777" w:rsidR="00BC50B2" w:rsidRPr="00C8327F" w:rsidRDefault="00BC50B2" w:rsidP="00DA50AF">
            <w:pPr>
              <w:pStyle w:val="TableHeading1Centred"/>
              <w:rPr>
                <w:sz w:val="20"/>
              </w:rPr>
            </w:pPr>
            <w:r w:rsidRPr="00C8327F">
              <w:rPr>
                <w:sz w:val="20"/>
              </w:rPr>
              <w:t>%</w:t>
            </w:r>
          </w:p>
        </w:tc>
      </w:tr>
      <w:tr w:rsidR="00561FAD" w:rsidRPr="00C8327F" w14:paraId="3331FB29" w14:textId="77777777" w:rsidTr="00C8327F">
        <w:tc>
          <w:tcPr>
            <w:tcW w:w="1418" w:type="dxa"/>
            <w:tcBorders>
              <w:right w:val="single" w:sz="4" w:space="0" w:color="0079C1"/>
            </w:tcBorders>
            <w:shd w:val="clear" w:color="auto" w:fill="auto"/>
            <w:vAlign w:val="center"/>
          </w:tcPr>
          <w:p w14:paraId="4E6864C5" w14:textId="77777777" w:rsidR="00561FAD" w:rsidRPr="00C8327F" w:rsidRDefault="00561FAD" w:rsidP="00561FAD">
            <w:pPr>
              <w:pStyle w:val="TableText"/>
              <w:rPr>
                <w:sz w:val="20"/>
                <w:szCs w:val="20"/>
              </w:rPr>
            </w:pPr>
            <w:r w:rsidRPr="00C8327F">
              <w:rPr>
                <w:sz w:val="20"/>
                <w:szCs w:val="20"/>
              </w:rPr>
              <w:t>Very satisfied</w:t>
            </w:r>
          </w:p>
        </w:tc>
        <w:tc>
          <w:tcPr>
            <w:tcW w:w="567" w:type="dxa"/>
            <w:tcBorders>
              <w:left w:val="single" w:sz="4" w:space="0" w:color="0079C1"/>
            </w:tcBorders>
            <w:shd w:val="clear" w:color="auto" w:fill="auto"/>
            <w:vAlign w:val="center"/>
          </w:tcPr>
          <w:p w14:paraId="15EEB07C" w14:textId="7A2CFA56" w:rsidR="00561FAD" w:rsidRPr="00C8327F" w:rsidRDefault="00561FAD" w:rsidP="001A0564">
            <w:pPr>
              <w:pStyle w:val="TableTextCentred"/>
              <w:rPr>
                <w:sz w:val="20"/>
                <w:szCs w:val="20"/>
              </w:rPr>
            </w:pPr>
            <w:r w:rsidRPr="00C8327F">
              <w:rPr>
                <w:sz w:val="20"/>
                <w:szCs w:val="20"/>
              </w:rPr>
              <w:t>12</w:t>
            </w:r>
          </w:p>
        </w:tc>
        <w:tc>
          <w:tcPr>
            <w:tcW w:w="992" w:type="dxa"/>
            <w:tcBorders>
              <w:right w:val="single" w:sz="4" w:space="0" w:color="0079C1"/>
            </w:tcBorders>
            <w:shd w:val="clear" w:color="auto" w:fill="FFFFFF" w:themeFill="background1"/>
            <w:vAlign w:val="center"/>
          </w:tcPr>
          <w:p w14:paraId="00F55380" w14:textId="70EC013F" w:rsidR="00561FAD" w:rsidRPr="00C8327F" w:rsidRDefault="00561FAD" w:rsidP="001A0564">
            <w:pPr>
              <w:pStyle w:val="TableTextCentred"/>
              <w:rPr>
                <w:sz w:val="20"/>
                <w:szCs w:val="20"/>
              </w:rPr>
            </w:pPr>
            <w:r w:rsidRPr="00C8327F">
              <w:rPr>
                <w:sz w:val="20"/>
                <w:szCs w:val="20"/>
              </w:rPr>
              <w:t>11.1%</w:t>
            </w:r>
          </w:p>
        </w:tc>
        <w:tc>
          <w:tcPr>
            <w:tcW w:w="567" w:type="dxa"/>
            <w:tcBorders>
              <w:left w:val="single" w:sz="4" w:space="0" w:color="0079C1"/>
            </w:tcBorders>
            <w:shd w:val="clear" w:color="auto" w:fill="FFFFFF" w:themeFill="background1"/>
            <w:vAlign w:val="center"/>
          </w:tcPr>
          <w:p w14:paraId="5E910FCB" w14:textId="28E76FCC" w:rsidR="00561FAD" w:rsidRPr="00C8327F" w:rsidRDefault="00561FAD" w:rsidP="001A0564">
            <w:pPr>
              <w:pStyle w:val="TableTextCentred"/>
              <w:rPr>
                <w:sz w:val="20"/>
                <w:szCs w:val="20"/>
              </w:rPr>
            </w:pPr>
            <w:r w:rsidRPr="00C8327F">
              <w:rPr>
                <w:sz w:val="20"/>
                <w:szCs w:val="20"/>
              </w:rPr>
              <w:t>-</w:t>
            </w:r>
          </w:p>
        </w:tc>
        <w:tc>
          <w:tcPr>
            <w:tcW w:w="999" w:type="dxa"/>
            <w:tcBorders>
              <w:right w:val="single" w:sz="4" w:space="0" w:color="0079C1"/>
            </w:tcBorders>
            <w:shd w:val="clear" w:color="auto" w:fill="FFFFFF" w:themeFill="background1"/>
            <w:vAlign w:val="center"/>
          </w:tcPr>
          <w:p w14:paraId="7E17C4B9" w14:textId="3C7B70F8" w:rsidR="00561FAD" w:rsidRPr="00C8327F" w:rsidRDefault="00561FAD" w:rsidP="001A0564">
            <w:pPr>
              <w:pStyle w:val="TableTextCentred"/>
              <w:rPr>
                <w:sz w:val="20"/>
                <w:szCs w:val="20"/>
              </w:rPr>
            </w:pPr>
            <w:r w:rsidRPr="00C8327F">
              <w:rPr>
                <w:sz w:val="20"/>
                <w:szCs w:val="20"/>
              </w:rPr>
              <w:t>-</w:t>
            </w:r>
          </w:p>
        </w:tc>
        <w:tc>
          <w:tcPr>
            <w:tcW w:w="560" w:type="dxa"/>
            <w:tcBorders>
              <w:left w:val="single" w:sz="4" w:space="0" w:color="0079C1"/>
            </w:tcBorders>
            <w:shd w:val="clear" w:color="auto" w:fill="FFFFFF" w:themeFill="background1"/>
            <w:vAlign w:val="center"/>
          </w:tcPr>
          <w:p w14:paraId="70E2DAAD" w14:textId="3439C69D" w:rsidR="00561FAD" w:rsidRPr="00C8327F" w:rsidRDefault="00561FAD" w:rsidP="001A0564">
            <w:pPr>
              <w:pStyle w:val="TableTextCentred"/>
              <w:rPr>
                <w:sz w:val="20"/>
                <w:szCs w:val="20"/>
              </w:rPr>
            </w:pPr>
            <w:r w:rsidRPr="00C8327F">
              <w:rPr>
                <w:sz w:val="20"/>
                <w:szCs w:val="20"/>
              </w:rPr>
              <w:t>1</w:t>
            </w:r>
          </w:p>
        </w:tc>
        <w:tc>
          <w:tcPr>
            <w:tcW w:w="993" w:type="dxa"/>
            <w:tcBorders>
              <w:right w:val="single" w:sz="4" w:space="0" w:color="0079C1"/>
            </w:tcBorders>
            <w:shd w:val="clear" w:color="auto" w:fill="FFFFFF" w:themeFill="background1"/>
            <w:vAlign w:val="center"/>
          </w:tcPr>
          <w:p w14:paraId="49EC0739" w14:textId="3D023DA6" w:rsidR="00561FAD" w:rsidRPr="00C8327F" w:rsidRDefault="00561FAD" w:rsidP="001A0564">
            <w:pPr>
              <w:pStyle w:val="TableTextCentred"/>
              <w:rPr>
                <w:sz w:val="20"/>
                <w:szCs w:val="20"/>
              </w:rPr>
            </w:pPr>
            <w:r w:rsidRPr="00C8327F">
              <w:rPr>
                <w:sz w:val="20"/>
                <w:szCs w:val="20"/>
              </w:rPr>
              <w:t>1.4%</w:t>
            </w:r>
          </w:p>
        </w:tc>
        <w:tc>
          <w:tcPr>
            <w:tcW w:w="567" w:type="dxa"/>
            <w:tcBorders>
              <w:left w:val="single" w:sz="4" w:space="0" w:color="0079C1"/>
            </w:tcBorders>
            <w:shd w:val="clear" w:color="auto" w:fill="FFFFFF" w:themeFill="background1"/>
            <w:vAlign w:val="center"/>
          </w:tcPr>
          <w:p w14:paraId="7EDDF097" w14:textId="67A54AB5" w:rsidR="00561FAD" w:rsidRPr="00C8327F" w:rsidRDefault="00561FAD" w:rsidP="001A0564">
            <w:pPr>
              <w:pStyle w:val="TableTextCentred"/>
              <w:rPr>
                <w:sz w:val="20"/>
                <w:szCs w:val="20"/>
              </w:rPr>
            </w:pPr>
            <w:r w:rsidRPr="00C8327F">
              <w:rPr>
                <w:sz w:val="20"/>
                <w:szCs w:val="20"/>
              </w:rPr>
              <w:t>-</w:t>
            </w:r>
          </w:p>
        </w:tc>
        <w:tc>
          <w:tcPr>
            <w:tcW w:w="992" w:type="dxa"/>
            <w:tcBorders>
              <w:right w:val="single" w:sz="4" w:space="0" w:color="0079C1"/>
            </w:tcBorders>
            <w:shd w:val="clear" w:color="auto" w:fill="FFFFFF" w:themeFill="background1"/>
            <w:vAlign w:val="center"/>
          </w:tcPr>
          <w:p w14:paraId="2363DDB9" w14:textId="09B6FD7A" w:rsidR="00561FAD" w:rsidRPr="00C8327F" w:rsidRDefault="00561FAD" w:rsidP="001A0564">
            <w:pPr>
              <w:pStyle w:val="TableTextCentred"/>
              <w:rPr>
                <w:sz w:val="20"/>
                <w:szCs w:val="20"/>
              </w:rPr>
            </w:pPr>
            <w:r w:rsidRPr="00C8327F">
              <w:rPr>
                <w:sz w:val="20"/>
                <w:szCs w:val="20"/>
              </w:rPr>
              <w:t>-</w:t>
            </w:r>
          </w:p>
        </w:tc>
        <w:tc>
          <w:tcPr>
            <w:tcW w:w="716" w:type="dxa"/>
            <w:tcBorders>
              <w:left w:val="single" w:sz="4" w:space="0" w:color="0079C1"/>
            </w:tcBorders>
            <w:shd w:val="clear" w:color="auto" w:fill="FFFFFF" w:themeFill="background1"/>
            <w:vAlign w:val="center"/>
          </w:tcPr>
          <w:p w14:paraId="493DC844" w14:textId="10E57C6B" w:rsidR="00561FAD" w:rsidRPr="00C8327F" w:rsidRDefault="00561FAD" w:rsidP="001A0564">
            <w:pPr>
              <w:pStyle w:val="TableTextCentred"/>
              <w:rPr>
                <w:b/>
                <w:sz w:val="20"/>
                <w:szCs w:val="20"/>
              </w:rPr>
            </w:pPr>
            <w:r w:rsidRPr="00C8327F">
              <w:rPr>
                <w:b/>
                <w:sz w:val="20"/>
                <w:szCs w:val="20"/>
              </w:rPr>
              <w:t>13</w:t>
            </w:r>
          </w:p>
        </w:tc>
        <w:tc>
          <w:tcPr>
            <w:tcW w:w="992" w:type="dxa"/>
            <w:shd w:val="clear" w:color="auto" w:fill="FFFFFF" w:themeFill="background1"/>
            <w:vAlign w:val="center"/>
          </w:tcPr>
          <w:p w14:paraId="6238AC2C" w14:textId="6BFC1DB6" w:rsidR="00561FAD" w:rsidRPr="00C8327F" w:rsidRDefault="00561FAD" w:rsidP="001A0564">
            <w:pPr>
              <w:pStyle w:val="TableTextCentred"/>
              <w:rPr>
                <w:rStyle w:val="Strong"/>
                <w:b w:val="0"/>
                <w:sz w:val="20"/>
                <w:szCs w:val="20"/>
              </w:rPr>
            </w:pPr>
            <w:r w:rsidRPr="00C8327F">
              <w:rPr>
                <w:b/>
                <w:sz w:val="20"/>
                <w:szCs w:val="20"/>
              </w:rPr>
              <w:t>5.9%</w:t>
            </w:r>
          </w:p>
        </w:tc>
      </w:tr>
      <w:tr w:rsidR="0045462C" w:rsidRPr="00C8327F" w14:paraId="104BF0AD" w14:textId="77777777" w:rsidTr="00C8327F">
        <w:tc>
          <w:tcPr>
            <w:tcW w:w="1418" w:type="dxa"/>
            <w:tcBorders>
              <w:right w:val="single" w:sz="4" w:space="0" w:color="0079C1"/>
            </w:tcBorders>
            <w:shd w:val="clear" w:color="auto" w:fill="auto"/>
            <w:vAlign w:val="center"/>
          </w:tcPr>
          <w:p w14:paraId="1F7D324E" w14:textId="77777777" w:rsidR="0045462C" w:rsidRPr="00C8327F" w:rsidRDefault="0045462C" w:rsidP="0045462C">
            <w:pPr>
              <w:pStyle w:val="TableText"/>
              <w:rPr>
                <w:sz w:val="20"/>
                <w:szCs w:val="20"/>
              </w:rPr>
            </w:pPr>
            <w:r w:rsidRPr="00C8327F">
              <w:rPr>
                <w:sz w:val="20"/>
                <w:szCs w:val="20"/>
              </w:rPr>
              <w:t>Satisfied</w:t>
            </w:r>
          </w:p>
        </w:tc>
        <w:tc>
          <w:tcPr>
            <w:tcW w:w="567" w:type="dxa"/>
            <w:tcBorders>
              <w:left w:val="single" w:sz="4" w:space="0" w:color="0079C1"/>
            </w:tcBorders>
            <w:shd w:val="clear" w:color="auto" w:fill="auto"/>
            <w:vAlign w:val="center"/>
          </w:tcPr>
          <w:p w14:paraId="20FFAF15" w14:textId="7CE277EB" w:rsidR="0045462C" w:rsidRPr="00C8327F" w:rsidRDefault="0045462C" w:rsidP="001A0564">
            <w:pPr>
              <w:pStyle w:val="TableTextCentred"/>
              <w:rPr>
                <w:sz w:val="20"/>
                <w:szCs w:val="20"/>
              </w:rPr>
            </w:pPr>
            <w:r w:rsidRPr="00C8327F">
              <w:rPr>
                <w:sz w:val="20"/>
                <w:szCs w:val="20"/>
              </w:rPr>
              <w:t>15</w:t>
            </w:r>
          </w:p>
        </w:tc>
        <w:tc>
          <w:tcPr>
            <w:tcW w:w="992" w:type="dxa"/>
            <w:tcBorders>
              <w:right w:val="single" w:sz="4" w:space="0" w:color="0079C1"/>
            </w:tcBorders>
            <w:shd w:val="clear" w:color="auto" w:fill="FFFFFF" w:themeFill="background1"/>
            <w:vAlign w:val="center"/>
          </w:tcPr>
          <w:p w14:paraId="0BEC7CD1" w14:textId="29DD815C" w:rsidR="0045462C" w:rsidRPr="00C8327F" w:rsidRDefault="0045462C" w:rsidP="001A0564">
            <w:pPr>
              <w:pStyle w:val="TableTextCentred"/>
              <w:rPr>
                <w:sz w:val="20"/>
                <w:szCs w:val="20"/>
              </w:rPr>
            </w:pPr>
            <w:r w:rsidRPr="00C8327F">
              <w:rPr>
                <w:sz w:val="20"/>
                <w:szCs w:val="20"/>
              </w:rPr>
              <w:t>13.9%</w:t>
            </w:r>
          </w:p>
        </w:tc>
        <w:tc>
          <w:tcPr>
            <w:tcW w:w="567" w:type="dxa"/>
            <w:tcBorders>
              <w:left w:val="single" w:sz="4" w:space="0" w:color="0079C1"/>
            </w:tcBorders>
            <w:shd w:val="clear" w:color="auto" w:fill="FFFFFF" w:themeFill="background1"/>
            <w:vAlign w:val="center"/>
          </w:tcPr>
          <w:p w14:paraId="0A7D1CA5" w14:textId="0A8E2503" w:rsidR="0045462C" w:rsidRPr="00C8327F" w:rsidRDefault="0045462C" w:rsidP="001A0564">
            <w:pPr>
              <w:pStyle w:val="TableTextCentred"/>
              <w:rPr>
                <w:sz w:val="20"/>
                <w:szCs w:val="20"/>
              </w:rPr>
            </w:pPr>
            <w:r w:rsidRPr="00C8327F">
              <w:rPr>
                <w:sz w:val="20"/>
                <w:szCs w:val="20"/>
              </w:rPr>
              <w:t>1</w:t>
            </w:r>
          </w:p>
        </w:tc>
        <w:tc>
          <w:tcPr>
            <w:tcW w:w="999" w:type="dxa"/>
            <w:tcBorders>
              <w:right w:val="single" w:sz="4" w:space="0" w:color="0079C1"/>
            </w:tcBorders>
            <w:shd w:val="clear" w:color="auto" w:fill="FFFFFF" w:themeFill="background1"/>
            <w:vAlign w:val="center"/>
          </w:tcPr>
          <w:p w14:paraId="7CC09AB0" w14:textId="38B5C4A2" w:rsidR="0045462C" w:rsidRPr="00C8327F" w:rsidRDefault="0045462C" w:rsidP="001A0564">
            <w:pPr>
              <w:pStyle w:val="TableTextCentred"/>
              <w:rPr>
                <w:sz w:val="20"/>
                <w:szCs w:val="20"/>
              </w:rPr>
            </w:pPr>
            <w:r w:rsidRPr="00C8327F">
              <w:rPr>
                <w:sz w:val="20"/>
                <w:szCs w:val="20"/>
              </w:rPr>
              <w:t>5.3%</w:t>
            </w:r>
          </w:p>
        </w:tc>
        <w:tc>
          <w:tcPr>
            <w:tcW w:w="560" w:type="dxa"/>
            <w:tcBorders>
              <w:left w:val="single" w:sz="4" w:space="0" w:color="0079C1"/>
            </w:tcBorders>
            <w:shd w:val="clear" w:color="auto" w:fill="FFFFFF" w:themeFill="background1"/>
            <w:vAlign w:val="center"/>
          </w:tcPr>
          <w:p w14:paraId="03FB4D59" w14:textId="6D450DB0" w:rsidR="0045462C" w:rsidRPr="00C8327F" w:rsidRDefault="0045462C" w:rsidP="001A0564">
            <w:pPr>
              <w:pStyle w:val="TableTextCentred"/>
              <w:rPr>
                <w:sz w:val="20"/>
                <w:szCs w:val="20"/>
              </w:rPr>
            </w:pPr>
            <w:r w:rsidRPr="00C8327F">
              <w:rPr>
                <w:sz w:val="20"/>
                <w:szCs w:val="20"/>
              </w:rPr>
              <w:t>-</w:t>
            </w:r>
          </w:p>
        </w:tc>
        <w:tc>
          <w:tcPr>
            <w:tcW w:w="993" w:type="dxa"/>
            <w:tcBorders>
              <w:right w:val="single" w:sz="4" w:space="0" w:color="0079C1"/>
            </w:tcBorders>
            <w:shd w:val="clear" w:color="auto" w:fill="FFFFFF" w:themeFill="background1"/>
            <w:vAlign w:val="center"/>
          </w:tcPr>
          <w:p w14:paraId="5AD3091A" w14:textId="47BE3F47" w:rsidR="0045462C" w:rsidRPr="00C8327F" w:rsidRDefault="0045462C" w:rsidP="001A0564">
            <w:pPr>
              <w:pStyle w:val="TableTextCentred"/>
              <w:rPr>
                <w:sz w:val="20"/>
                <w:szCs w:val="20"/>
              </w:rPr>
            </w:pPr>
            <w:r w:rsidRPr="00C8327F">
              <w:rPr>
                <w:sz w:val="20"/>
                <w:szCs w:val="20"/>
              </w:rPr>
              <w:t>-</w:t>
            </w:r>
          </w:p>
        </w:tc>
        <w:tc>
          <w:tcPr>
            <w:tcW w:w="567" w:type="dxa"/>
            <w:tcBorders>
              <w:left w:val="single" w:sz="4" w:space="0" w:color="0079C1"/>
            </w:tcBorders>
            <w:shd w:val="clear" w:color="auto" w:fill="FFFFFF" w:themeFill="background1"/>
            <w:vAlign w:val="center"/>
          </w:tcPr>
          <w:p w14:paraId="6D110601" w14:textId="3A518AB0" w:rsidR="0045462C" w:rsidRPr="00C8327F" w:rsidRDefault="0045462C" w:rsidP="001A0564">
            <w:pPr>
              <w:pStyle w:val="TableTextCentred"/>
              <w:rPr>
                <w:sz w:val="20"/>
                <w:szCs w:val="20"/>
              </w:rPr>
            </w:pPr>
            <w:r w:rsidRPr="00C8327F">
              <w:rPr>
                <w:sz w:val="20"/>
                <w:szCs w:val="20"/>
              </w:rPr>
              <w:t>7</w:t>
            </w:r>
          </w:p>
        </w:tc>
        <w:tc>
          <w:tcPr>
            <w:tcW w:w="992" w:type="dxa"/>
            <w:tcBorders>
              <w:right w:val="single" w:sz="4" w:space="0" w:color="0079C1"/>
            </w:tcBorders>
            <w:shd w:val="clear" w:color="auto" w:fill="FFFFFF" w:themeFill="background1"/>
            <w:vAlign w:val="center"/>
          </w:tcPr>
          <w:p w14:paraId="41205338" w14:textId="3ADF3476" w:rsidR="0045462C" w:rsidRPr="00C8327F" w:rsidRDefault="0045462C" w:rsidP="001A0564">
            <w:pPr>
              <w:pStyle w:val="TableTextCentred"/>
              <w:rPr>
                <w:sz w:val="20"/>
                <w:szCs w:val="20"/>
              </w:rPr>
            </w:pPr>
            <w:r w:rsidRPr="00C8327F">
              <w:rPr>
                <w:sz w:val="20"/>
                <w:szCs w:val="20"/>
              </w:rPr>
              <w:t>35.0%</w:t>
            </w:r>
          </w:p>
        </w:tc>
        <w:tc>
          <w:tcPr>
            <w:tcW w:w="716" w:type="dxa"/>
            <w:tcBorders>
              <w:left w:val="single" w:sz="4" w:space="0" w:color="0079C1"/>
            </w:tcBorders>
            <w:shd w:val="clear" w:color="auto" w:fill="FFFFFF" w:themeFill="background1"/>
            <w:vAlign w:val="center"/>
          </w:tcPr>
          <w:p w14:paraId="102552C1" w14:textId="4AFC59F8" w:rsidR="0045462C" w:rsidRPr="00C8327F" w:rsidRDefault="0045462C" w:rsidP="001A0564">
            <w:pPr>
              <w:pStyle w:val="TableTextCentred"/>
              <w:rPr>
                <w:b/>
                <w:sz w:val="20"/>
                <w:szCs w:val="20"/>
              </w:rPr>
            </w:pPr>
            <w:r w:rsidRPr="00C8327F">
              <w:rPr>
                <w:b/>
                <w:sz w:val="20"/>
                <w:szCs w:val="20"/>
              </w:rPr>
              <w:t>23</w:t>
            </w:r>
          </w:p>
        </w:tc>
        <w:tc>
          <w:tcPr>
            <w:tcW w:w="992" w:type="dxa"/>
            <w:shd w:val="clear" w:color="auto" w:fill="FFFFFF" w:themeFill="background1"/>
            <w:vAlign w:val="center"/>
          </w:tcPr>
          <w:p w14:paraId="02E46D90" w14:textId="7FFD5F77" w:rsidR="0045462C" w:rsidRPr="00C8327F" w:rsidRDefault="0045462C" w:rsidP="001A0564">
            <w:pPr>
              <w:pStyle w:val="TableTextCentred"/>
              <w:rPr>
                <w:rStyle w:val="Strong"/>
                <w:b w:val="0"/>
                <w:sz w:val="20"/>
                <w:szCs w:val="20"/>
              </w:rPr>
            </w:pPr>
            <w:r w:rsidRPr="00C8327F">
              <w:rPr>
                <w:b/>
                <w:sz w:val="20"/>
                <w:szCs w:val="20"/>
              </w:rPr>
              <w:t>10.5%</w:t>
            </w:r>
          </w:p>
        </w:tc>
      </w:tr>
      <w:tr w:rsidR="0045462C" w:rsidRPr="00C8327F" w14:paraId="54505C24" w14:textId="77777777" w:rsidTr="00C8327F">
        <w:tc>
          <w:tcPr>
            <w:tcW w:w="1418" w:type="dxa"/>
            <w:tcBorders>
              <w:right w:val="single" w:sz="4" w:space="0" w:color="0079C1"/>
            </w:tcBorders>
            <w:shd w:val="clear" w:color="auto" w:fill="E2F4FF" w:themeFill="accent1" w:themeFillTint="33"/>
            <w:vAlign w:val="center"/>
          </w:tcPr>
          <w:p w14:paraId="4C5CDBA4" w14:textId="015F970A" w:rsidR="0045462C" w:rsidRPr="00C8327F" w:rsidRDefault="0045462C" w:rsidP="0045462C">
            <w:pPr>
              <w:pStyle w:val="TableText"/>
              <w:rPr>
                <w:rStyle w:val="Strong"/>
                <w:b w:val="0"/>
                <w:sz w:val="20"/>
                <w:szCs w:val="20"/>
              </w:rPr>
            </w:pPr>
            <w:r w:rsidRPr="00C8327F">
              <w:rPr>
                <w:rStyle w:val="Strong"/>
                <w:b w:val="0"/>
                <w:sz w:val="20"/>
                <w:szCs w:val="20"/>
              </w:rPr>
              <w:t>Subtotal</w:t>
            </w:r>
          </w:p>
        </w:tc>
        <w:tc>
          <w:tcPr>
            <w:tcW w:w="567" w:type="dxa"/>
            <w:tcBorders>
              <w:left w:val="single" w:sz="4" w:space="0" w:color="0079C1"/>
            </w:tcBorders>
            <w:shd w:val="clear" w:color="auto" w:fill="E2F4FF" w:themeFill="accent1" w:themeFillTint="33"/>
            <w:vAlign w:val="center"/>
          </w:tcPr>
          <w:p w14:paraId="2162F54D" w14:textId="74582ACB" w:rsidR="0045462C" w:rsidRPr="00C8327F" w:rsidRDefault="0045462C" w:rsidP="001A0564">
            <w:pPr>
              <w:pStyle w:val="TableTextCentred"/>
              <w:rPr>
                <w:rStyle w:val="Strong"/>
                <w:sz w:val="20"/>
                <w:szCs w:val="20"/>
              </w:rPr>
            </w:pPr>
            <w:r w:rsidRPr="00C8327F">
              <w:rPr>
                <w:sz w:val="20"/>
                <w:szCs w:val="20"/>
              </w:rPr>
              <w:t>27</w:t>
            </w:r>
          </w:p>
        </w:tc>
        <w:tc>
          <w:tcPr>
            <w:tcW w:w="992" w:type="dxa"/>
            <w:tcBorders>
              <w:right w:val="single" w:sz="4" w:space="0" w:color="0079C1"/>
            </w:tcBorders>
            <w:shd w:val="clear" w:color="auto" w:fill="E2F4FF" w:themeFill="accent1" w:themeFillTint="33"/>
            <w:vAlign w:val="center"/>
          </w:tcPr>
          <w:p w14:paraId="6C6952D4" w14:textId="30FD41A5" w:rsidR="0045462C" w:rsidRPr="00C8327F" w:rsidRDefault="0045462C" w:rsidP="001A0564">
            <w:pPr>
              <w:pStyle w:val="TableTextCentred"/>
              <w:rPr>
                <w:rStyle w:val="Strong"/>
                <w:sz w:val="20"/>
                <w:szCs w:val="20"/>
              </w:rPr>
            </w:pPr>
            <w:r w:rsidRPr="00C8327F">
              <w:rPr>
                <w:sz w:val="20"/>
                <w:szCs w:val="20"/>
              </w:rPr>
              <w:t>25.0%</w:t>
            </w:r>
          </w:p>
        </w:tc>
        <w:tc>
          <w:tcPr>
            <w:tcW w:w="567" w:type="dxa"/>
            <w:tcBorders>
              <w:left w:val="single" w:sz="4" w:space="0" w:color="0079C1"/>
            </w:tcBorders>
            <w:shd w:val="clear" w:color="auto" w:fill="E2F4FF" w:themeFill="accent1" w:themeFillTint="33"/>
            <w:vAlign w:val="center"/>
          </w:tcPr>
          <w:p w14:paraId="1F9B7046" w14:textId="792AC954" w:rsidR="0045462C" w:rsidRPr="00C8327F" w:rsidRDefault="0045462C" w:rsidP="001A0564">
            <w:pPr>
              <w:pStyle w:val="TableTextCentred"/>
              <w:rPr>
                <w:rStyle w:val="Strong"/>
                <w:sz w:val="20"/>
                <w:szCs w:val="20"/>
              </w:rPr>
            </w:pPr>
            <w:r w:rsidRPr="00C8327F">
              <w:rPr>
                <w:sz w:val="20"/>
                <w:szCs w:val="20"/>
              </w:rPr>
              <w:t>1</w:t>
            </w:r>
          </w:p>
        </w:tc>
        <w:tc>
          <w:tcPr>
            <w:tcW w:w="999" w:type="dxa"/>
            <w:tcBorders>
              <w:right w:val="single" w:sz="4" w:space="0" w:color="0079C1"/>
            </w:tcBorders>
            <w:shd w:val="clear" w:color="auto" w:fill="E2F4FF" w:themeFill="accent1" w:themeFillTint="33"/>
            <w:vAlign w:val="center"/>
          </w:tcPr>
          <w:p w14:paraId="292EFE6E" w14:textId="6C8FD7CD" w:rsidR="0045462C" w:rsidRPr="00C8327F" w:rsidRDefault="0045462C" w:rsidP="001A0564">
            <w:pPr>
              <w:pStyle w:val="TableTextCentred"/>
              <w:rPr>
                <w:rStyle w:val="Strong"/>
                <w:sz w:val="20"/>
                <w:szCs w:val="20"/>
              </w:rPr>
            </w:pPr>
            <w:r w:rsidRPr="00C8327F">
              <w:rPr>
                <w:sz w:val="20"/>
                <w:szCs w:val="20"/>
              </w:rPr>
              <w:t>5.3%</w:t>
            </w:r>
          </w:p>
        </w:tc>
        <w:tc>
          <w:tcPr>
            <w:tcW w:w="560" w:type="dxa"/>
            <w:tcBorders>
              <w:left w:val="single" w:sz="4" w:space="0" w:color="0079C1"/>
            </w:tcBorders>
            <w:shd w:val="clear" w:color="auto" w:fill="E2F4FF" w:themeFill="accent1" w:themeFillTint="33"/>
            <w:vAlign w:val="center"/>
          </w:tcPr>
          <w:p w14:paraId="0AE38301" w14:textId="4AB39741" w:rsidR="0045462C" w:rsidRPr="00C8327F" w:rsidRDefault="0045462C" w:rsidP="001A0564">
            <w:pPr>
              <w:pStyle w:val="TableTextCentred"/>
              <w:rPr>
                <w:rStyle w:val="Strong"/>
                <w:sz w:val="20"/>
                <w:szCs w:val="20"/>
              </w:rPr>
            </w:pPr>
            <w:r w:rsidRPr="00C8327F">
              <w:rPr>
                <w:sz w:val="20"/>
                <w:szCs w:val="20"/>
              </w:rPr>
              <w:t>1</w:t>
            </w:r>
          </w:p>
        </w:tc>
        <w:tc>
          <w:tcPr>
            <w:tcW w:w="993" w:type="dxa"/>
            <w:tcBorders>
              <w:right w:val="single" w:sz="4" w:space="0" w:color="0079C1"/>
            </w:tcBorders>
            <w:shd w:val="clear" w:color="auto" w:fill="E2F4FF" w:themeFill="accent1" w:themeFillTint="33"/>
            <w:vAlign w:val="center"/>
          </w:tcPr>
          <w:p w14:paraId="552563F3" w14:textId="35A3A202" w:rsidR="0045462C" w:rsidRPr="00C8327F" w:rsidRDefault="0045462C" w:rsidP="001A0564">
            <w:pPr>
              <w:pStyle w:val="TableTextCentred"/>
              <w:rPr>
                <w:rStyle w:val="Strong"/>
                <w:sz w:val="20"/>
                <w:szCs w:val="20"/>
              </w:rPr>
            </w:pPr>
            <w:r w:rsidRPr="00C8327F">
              <w:rPr>
                <w:sz w:val="20"/>
                <w:szCs w:val="20"/>
              </w:rPr>
              <w:t>1.4%</w:t>
            </w:r>
          </w:p>
        </w:tc>
        <w:tc>
          <w:tcPr>
            <w:tcW w:w="567" w:type="dxa"/>
            <w:tcBorders>
              <w:left w:val="single" w:sz="4" w:space="0" w:color="0079C1"/>
            </w:tcBorders>
            <w:shd w:val="clear" w:color="auto" w:fill="E2F4FF" w:themeFill="accent1" w:themeFillTint="33"/>
            <w:vAlign w:val="center"/>
          </w:tcPr>
          <w:p w14:paraId="16785006" w14:textId="2C037376" w:rsidR="0045462C" w:rsidRPr="00C8327F" w:rsidRDefault="0045462C" w:rsidP="001A0564">
            <w:pPr>
              <w:pStyle w:val="TableTextCentred"/>
              <w:rPr>
                <w:rStyle w:val="Strong"/>
                <w:sz w:val="20"/>
                <w:szCs w:val="20"/>
              </w:rPr>
            </w:pPr>
            <w:r w:rsidRPr="00C8327F">
              <w:rPr>
                <w:sz w:val="20"/>
                <w:szCs w:val="20"/>
              </w:rPr>
              <w:t>7</w:t>
            </w:r>
          </w:p>
        </w:tc>
        <w:tc>
          <w:tcPr>
            <w:tcW w:w="992" w:type="dxa"/>
            <w:tcBorders>
              <w:right w:val="single" w:sz="4" w:space="0" w:color="0079C1"/>
            </w:tcBorders>
            <w:shd w:val="clear" w:color="auto" w:fill="E2F4FF" w:themeFill="accent1" w:themeFillTint="33"/>
            <w:vAlign w:val="center"/>
          </w:tcPr>
          <w:p w14:paraId="20A2BB7E" w14:textId="64734B47" w:rsidR="0045462C" w:rsidRPr="00C8327F" w:rsidRDefault="0045462C" w:rsidP="001A0564">
            <w:pPr>
              <w:pStyle w:val="TableTextCentred"/>
              <w:rPr>
                <w:rStyle w:val="Strong"/>
                <w:sz w:val="20"/>
                <w:szCs w:val="20"/>
              </w:rPr>
            </w:pPr>
            <w:r w:rsidRPr="00C8327F">
              <w:rPr>
                <w:sz w:val="20"/>
                <w:szCs w:val="20"/>
              </w:rPr>
              <w:t>35.0%</w:t>
            </w:r>
          </w:p>
        </w:tc>
        <w:tc>
          <w:tcPr>
            <w:tcW w:w="716" w:type="dxa"/>
            <w:tcBorders>
              <w:left w:val="single" w:sz="4" w:space="0" w:color="0079C1"/>
            </w:tcBorders>
            <w:shd w:val="clear" w:color="auto" w:fill="E2F4FF" w:themeFill="accent1" w:themeFillTint="33"/>
            <w:vAlign w:val="center"/>
          </w:tcPr>
          <w:p w14:paraId="1DFF84ED" w14:textId="650B9763" w:rsidR="0045462C" w:rsidRPr="00C8327F" w:rsidRDefault="0045462C" w:rsidP="001A0564">
            <w:pPr>
              <w:pStyle w:val="TableTextCentred"/>
              <w:rPr>
                <w:rStyle w:val="Strong"/>
                <w:b w:val="0"/>
                <w:sz w:val="20"/>
                <w:szCs w:val="20"/>
              </w:rPr>
            </w:pPr>
            <w:r w:rsidRPr="00C8327F">
              <w:rPr>
                <w:b/>
                <w:sz w:val="20"/>
                <w:szCs w:val="20"/>
              </w:rPr>
              <w:t>36</w:t>
            </w:r>
          </w:p>
        </w:tc>
        <w:tc>
          <w:tcPr>
            <w:tcW w:w="992" w:type="dxa"/>
            <w:shd w:val="clear" w:color="auto" w:fill="E2F4FF" w:themeFill="accent1" w:themeFillTint="33"/>
            <w:vAlign w:val="center"/>
          </w:tcPr>
          <w:p w14:paraId="6E9B3BC1" w14:textId="20A5D188" w:rsidR="0045462C" w:rsidRPr="00C8327F" w:rsidRDefault="0045462C" w:rsidP="001A0564">
            <w:pPr>
              <w:pStyle w:val="TableTextCentred"/>
              <w:rPr>
                <w:rStyle w:val="Strong"/>
                <w:b w:val="0"/>
                <w:sz w:val="20"/>
                <w:szCs w:val="20"/>
              </w:rPr>
            </w:pPr>
            <w:r w:rsidRPr="00C8327F">
              <w:rPr>
                <w:b/>
                <w:sz w:val="20"/>
                <w:szCs w:val="20"/>
              </w:rPr>
              <w:t>16.4%</w:t>
            </w:r>
          </w:p>
        </w:tc>
      </w:tr>
      <w:tr w:rsidR="0045462C" w:rsidRPr="00C8327F" w14:paraId="6DA9FF0F" w14:textId="77777777" w:rsidTr="00C8327F">
        <w:tc>
          <w:tcPr>
            <w:tcW w:w="1418" w:type="dxa"/>
            <w:tcBorders>
              <w:right w:val="single" w:sz="4" w:space="0" w:color="0079C1"/>
            </w:tcBorders>
            <w:shd w:val="clear" w:color="auto" w:fill="auto"/>
            <w:vAlign w:val="center"/>
          </w:tcPr>
          <w:p w14:paraId="29EBA2AD" w14:textId="77777777" w:rsidR="0045462C" w:rsidRPr="00C8327F" w:rsidRDefault="0045462C" w:rsidP="0045462C">
            <w:pPr>
              <w:pStyle w:val="TableText"/>
              <w:rPr>
                <w:sz w:val="20"/>
                <w:szCs w:val="20"/>
              </w:rPr>
            </w:pPr>
            <w:r w:rsidRPr="00C8327F">
              <w:rPr>
                <w:sz w:val="20"/>
                <w:szCs w:val="20"/>
              </w:rPr>
              <w:t>Neutral</w:t>
            </w:r>
          </w:p>
        </w:tc>
        <w:tc>
          <w:tcPr>
            <w:tcW w:w="567" w:type="dxa"/>
            <w:tcBorders>
              <w:left w:val="single" w:sz="4" w:space="0" w:color="0079C1"/>
            </w:tcBorders>
            <w:shd w:val="clear" w:color="auto" w:fill="auto"/>
            <w:vAlign w:val="center"/>
          </w:tcPr>
          <w:p w14:paraId="4FCC9945" w14:textId="5F15C554" w:rsidR="0045462C" w:rsidRPr="00C8327F" w:rsidRDefault="0045462C" w:rsidP="001A0564">
            <w:pPr>
              <w:pStyle w:val="TableTextCentred"/>
              <w:rPr>
                <w:sz w:val="20"/>
                <w:szCs w:val="20"/>
              </w:rPr>
            </w:pPr>
            <w:r w:rsidRPr="00C8327F">
              <w:rPr>
                <w:sz w:val="20"/>
                <w:szCs w:val="20"/>
              </w:rPr>
              <w:t>11</w:t>
            </w:r>
          </w:p>
        </w:tc>
        <w:tc>
          <w:tcPr>
            <w:tcW w:w="992" w:type="dxa"/>
            <w:tcBorders>
              <w:right w:val="single" w:sz="4" w:space="0" w:color="0079C1"/>
            </w:tcBorders>
            <w:shd w:val="clear" w:color="auto" w:fill="FFFFFF" w:themeFill="background1"/>
            <w:vAlign w:val="center"/>
          </w:tcPr>
          <w:p w14:paraId="7720BE69" w14:textId="70CB62DB" w:rsidR="0045462C" w:rsidRPr="00C8327F" w:rsidRDefault="0045462C" w:rsidP="001A0564">
            <w:pPr>
              <w:pStyle w:val="TableTextCentred"/>
              <w:rPr>
                <w:sz w:val="20"/>
                <w:szCs w:val="20"/>
              </w:rPr>
            </w:pPr>
            <w:r w:rsidRPr="00C8327F">
              <w:rPr>
                <w:sz w:val="20"/>
                <w:szCs w:val="20"/>
              </w:rPr>
              <w:t>10.2%</w:t>
            </w:r>
          </w:p>
        </w:tc>
        <w:tc>
          <w:tcPr>
            <w:tcW w:w="567" w:type="dxa"/>
            <w:tcBorders>
              <w:left w:val="single" w:sz="4" w:space="0" w:color="0079C1"/>
            </w:tcBorders>
            <w:shd w:val="clear" w:color="auto" w:fill="FFFFFF" w:themeFill="background1"/>
            <w:vAlign w:val="center"/>
          </w:tcPr>
          <w:p w14:paraId="3E35B3E3" w14:textId="1AC561B3" w:rsidR="0045462C" w:rsidRPr="00C8327F" w:rsidRDefault="0045462C" w:rsidP="001A0564">
            <w:pPr>
              <w:pStyle w:val="TableTextCentred"/>
              <w:rPr>
                <w:sz w:val="20"/>
                <w:szCs w:val="20"/>
              </w:rPr>
            </w:pPr>
            <w:r w:rsidRPr="00C8327F">
              <w:rPr>
                <w:sz w:val="20"/>
                <w:szCs w:val="20"/>
              </w:rPr>
              <w:t>1</w:t>
            </w:r>
          </w:p>
        </w:tc>
        <w:tc>
          <w:tcPr>
            <w:tcW w:w="999" w:type="dxa"/>
            <w:tcBorders>
              <w:right w:val="single" w:sz="4" w:space="0" w:color="0079C1"/>
            </w:tcBorders>
            <w:shd w:val="clear" w:color="auto" w:fill="FFFFFF" w:themeFill="background1"/>
            <w:vAlign w:val="center"/>
          </w:tcPr>
          <w:p w14:paraId="2D42DAF7" w14:textId="7366187D" w:rsidR="0045462C" w:rsidRPr="00C8327F" w:rsidRDefault="0045462C" w:rsidP="001A0564">
            <w:pPr>
              <w:pStyle w:val="TableTextCentred"/>
              <w:rPr>
                <w:sz w:val="20"/>
                <w:szCs w:val="20"/>
              </w:rPr>
            </w:pPr>
            <w:r w:rsidRPr="00C8327F">
              <w:rPr>
                <w:sz w:val="20"/>
                <w:szCs w:val="20"/>
              </w:rPr>
              <w:t>5.3%</w:t>
            </w:r>
          </w:p>
        </w:tc>
        <w:tc>
          <w:tcPr>
            <w:tcW w:w="560" w:type="dxa"/>
            <w:tcBorders>
              <w:left w:val="single" w:sz="4" w:space="0" w:color="0079C1"/>
            </w:tcBorders>
            <w:shd w:val="clear" w:color="auto" w:fill="FFFFFF" w:themeFill="background1"/>
            <w:vAlign w:val="center"/>
          </w:tcPr>
          <w:p w14:paraId="78D704DA" w14:textId="0D260D08" w:rsidR="0045462C" w:rsidRPr="00C8327F" w:rsidRDefault="0045462C" w:rsidP="001A0564">
            <w:pPr>
              <w:pStyle w:val="TableTextCentred"/>
              <w:rPr>
                <w:sz w:val="20"/>
                <w:szCs w:val="20"/>
              </w:rPr>
            </w:pPr>
            <w:r w:rsidRPr="00C8327F">
              <w:rPr>
                <w:sz w:val="20"/>
                <w:szCs w:val="20"/>
              </w:rPr>
              <w:t>2</w:t>
            </w:r>
          </w:p>
        </w:tc>
        <w:tc>
          <w:tcPr>
            <w:tcW w:w="993" w:type="dxa"/>
            <w:tcBorders>
              <w:right w:val="single" w:sz="4" w:space="0" w:color="0079C1"/>
            </w:tcBorders>
            <w:shd w:val="clear" w:color="auto" w:fill="FFFFFF" w:themeFill="background1"/>
            <w:vAlign w:val="center"/>
          </w:tcPr>
          <w:p w14:paraId="6BE21834" w14:textId="1D12E0C9" w:rsidR="0045462C" w:rsidRPr="00C8327F" w:rsidRDefault="0045462C" w:rsidP="001A0564">
            <w:pPr>
              <w:pStyle w:val="TableTextCentred"/>
              <w:rPr>
                <w:sz w:val="20"/>
                <w:szCs w:val="20"/>
              </w:rPr>
            </w:pPr>
            <w:r w:rsidRPr="00C8327F">
              <w:rPr>
                <w:sz w:val="20"/>
                <w:szCs w:val="20"/>
              </w:rPr>
              <w:t>2.7%</w:t>
            </w:r>
          </w:p>
        </w:tc>
        <w:tc>
          <w:tcPr>
            <w:tcW w:w="567" w:type="dxa"/>
            <w:tcBorders>
              <w:left w:val="single" w:sz="4" w:space="0" w:color="0079C1"/>
            </w:tcBorders>
            <w:shd w:val="clear" w:color="auto" w:fill="FFFFFF" w:themeFill="background1"/>
            <w:vAlign w:val="center"/>
          </w:tcPr>
          <w:p w14:paraId="5BC76A37" w14:textId="388D5DFD" w:rsidR="0045462C" w:rsidRPr="00C8327F" w:rsidRDefault="0045462C" w:rsidP="001A0564">
            <w:pPr>
              <w:pStyle w:val="TableTextCentred"/>
              <w:rPr>
                <w:sz w:val="20"/>
                <w:szCs w:val="20"/>
              </w:rPr>
            </w:pPr>
            <w:r w:rsidRPr="00C8327F">
              <w:rPr>
                <w:sz w:val="20"/>
                <w:szCs w:val="20"/>
              </w:rPr>
              <w:t>1</w:t>
            </w:r>
          </w:p>
        </w:tc>
        <w:tc>
          <w:tcPr>
            <w:tcW w:w="992" w:type="dxa"/>
            <w:tcBorders>
              <w:right w:val="single" w:sz="4" w:space="0" w:color="0079C1"/>
            </w:tcBorders>
            <w:shd w:val="clear" w:color="auto" w:fill="FFFFFF" w:themeFill="background1"/>
            <w:vAlign w:val="center"/>
          </w:tcPr>
          <w:p w14:paraId="0C42AC68" w14:textId="2E196914" w:rsidR="0045462C" w:rsidRPr="00C8327F" w:rsidRDefault="0045462C" w:rsidP="001A0564">
            <w:pPr>
              <w:pStyle w:val="TableTextCentred"/>
              <w:rPr>
                <w:sz w:val="20"/>
                <w:szCs w:val="20"/>
              </w:rPr>
            </w:pPr>
            <w:r w:rsidRPr="00C8327F">
              <w:rPr>
                <w:sz w:val="20"/>
                <w:szCs w:val="20"/>
              </w:rPr>
              <w:t>5.0%</w:t>
            </w:r>
          </w:p>
        </w:tc>
        <w:tc>
          <w:tcPr>
            <w:tcW w:w="716" w:type="dxa"/>
            <w:tcBorders>
              <w:left w:val="single" w:sz="4" w:space="0" w:color="0079C1"/>
            </w:tcBorders>
            <w:shd w:val="clear" w:color="auto" w:fill="FFFFFF" w:themeFill="background1"/>
            <w:vAlign w:val="center"/>
          </w:tcPr>
          <w:p w14:paraId="74DCBEE3" w14:textId="12060B93" w:rsidR="0045462C" w:rsidRPr="00C8327F" w:rsidRDefault="0045462C" w:rsidP="001A0564">
            <w:pPr>
              <w:pStyle w:val="TableTextCentred"/>
              <w:rPr>
                <w:b/>
                <w:sz w:val="20"/>
                <w:szCs w:val="20"/>
              </w:rPr>
            </w:pPr>
            <w:r w:rsidRPr="00C8327F">
              <w:rPr>
                <w:b/>
                <w:sz w:val="20"/>
                <w:szCs w:val="20"/>
              </w:rPr>
              <w:t>15</w:t>
            </w:r>
          </w:p>
        </w:tc>
        <w:tc>
          <w:tcPr>
            <w:tcW w:w="992" w:type="dxa"/>
            <w:shd w:val="clear" w:color="auto" w:fill="FFFFFF" w:themeFill="background1"/>
            <w:vAlign w:val="center"/>
          </w:tcPr>
          <w:p w14:paraId="5393F1A4" w14:textId="71EF2B44" w:rsidR="0045462C" w:rsidRPr="00C8327F" w:rsidRDefault="0045462C" w:rsidP="001A0564">
            <w:pPr>
              <w:pStyle w:val="TableTextCentred"/>
              <w:rPr>
                <w:rStyle w:val="Strong"/>
                <w:b w:val="0"/>
                <w:sz w:val="20"/>
                <w:szCs w:val="20"/>
              </w:rPr>
            </w:pPr>
            <w:r w:rsidRPr="00C8327F">
              <w:rPr>
                <w:b/>
                <w:sz w:val="20"/>
                <w:szCs w:val="20"/>
              </w:rPr>
              <w:t>6.8%</w:t>
            </w:r>
          </w:p>
        </w:tc>
      </w:tr>
      <w:tr w:rsidR="00561FAD" w:rsidRPr="00C8327F" w14:paraId="18A66858" w14:textId="77777777" w:rsidTr="00C8327F">
        <w:tc>
          <w:tcPr>
            <w:tcW w:w="1418" w:type="dxa"/>
            <w:tcBorders>
              <w:right w:val="single" w:sz="4" w:space="0" w:color="0079C1"/>
            </w:tcBorders>
            <w:shd w:val="clear" w:color="auto" w:fill="auto"/>
            <w:vAlign w:val="center"/>
          </w:tcPr>
          <w:p w14:paraId="2DAAE487" w14:textId="77777777" w:rsidR="00561FAD" w:rsidRPr="00C8327F" w:rsidRDefault="00561FAD" w:rsidP="00561FAD">
            <w:pPr>
              <w:pStyle w:val="TableText"/>
              <w:rPr>
                <w:sz w:val="20"/>
                <w:szCs w:val="20"/>
              </w:rPr>
            </w:pPr>
            <w:r w:rsidRPr="00C8327F">
              <w:rPr>
                <w:sz w:val="20"/>
                <w:szCs w:val="20"/>
              </w:rPr>
              <w:t>Dissatisfied</w:t>
            </w:r>
          </w:p>
        </w:tc>
        <w:tc>
          <w:tcPr>
            <w:tcW w:w="567" w:type="dxa"/>
            <w:tcBorders>
              <w:left w:val="single" w:sz="4" w:space="0" w:color="0079C1"/>
            </w:tcBorders>
            <w:shd w:val="clear" w:color="auto" w:fill="auto"/>
            <w:vAlign w:val="center"/>
          </w:tcPr>
          <w:p w14:paraId="100DCF1C" w14:textId="00C80315" w:rsidR="00561FAD" w:rsidRPr="00C8327F" w:rsidRDefault="00561FAD" w:rsidP="001A0564">
            <w:pPr>
              <w:pStyle w:val="TableTextCentred"/>
              <w:rPr>
                <w:sz w:val="20"/>
                <w:szCs w:val="20"/>
              </w:rPr>
            </w:pPr>
            <w:r w:rsidRPr="00C8327F">
              <w:rPr>
                <w:sz w:val="20"/>
                <w:szCs w:val="20"/>
              </w:rPr>
              <w:t>4</w:t>
            </w:r>
          </w:p>
        </w:tc>
        <w:tc>
          <w:tcPr>
            <w:tcW w:w="992" w:type="dxa"/>
            <w:tcBorders>
              <w:right w:val="single" w:sz="4" w:space="0" w:color="0079C1"/>
            </w:tcBorders>
            <w:shd w:val="clear" w:color="auto" w:fill="FFFFFF" w:themeFill="background1"/>
            <w:vAlign w:val="center"/>
          </w:tcPr>
          <w:p w14:paraId="7CCF2442" w14:textId="4F9D3E38" w:rsidR="00561FAD" w:rsidRPr="00C8327F" w:rsidRDefault="00561FAD" w:rsidP="001A0564">
            <w:pPr>
              <w:pStyle w:val="TableTextCentred"/>
              <w:rPr>
                <w:sz w:val="20"/>
                <w:szCs w:val="20"/>
              </w:rPr>
            </w:pPr>
            <w:r w:rsidRPr="00C8327F">
              <w:rPr>
                <w:sz w:val="20"/>
                <w:szCs w:val="20"/>
              </w:rPr>
              <w:t>3.7%</w:t>
            </w:r>
          </w:p>
        </w:tc>
        <w:tc>
          <w:tcPr>
            <w:tcW w:w="567" w:type="dxa"/>
            <w:tcBorders>
              <w:left w:val="single" w:sz="4" w:space="0" w:color="0079C1"/>
            </w:tcBorders>
            <w:shd w:val="clear" w:color="auto" w:fill="FFFFFF" w:themeFill="background1"/>
            <w:vAlign w:val="center"/>
          </w:tcPr>
          <w:p w14:paraId="31AEF5EF" w14:textId="127E069E" w:rsidR="00561FAD" w:rsidRPr="00C8327F" w:rsidRDefault="00561FAD" w:rsidP="001A0564">
            <w:pPr>
              <w:pStyle w:val="TableTextCentred"/>
              <w:rPr>
                <w:sz w:val="20"/>
                <w:szCs w:val="20"/>
              </w:rPr>
            </w:pPr>
            <w:r w:rsidRPr="00C8327F">
              <w:rPr>
                <w:sz w:val="20"/>
                <w:szCs w:val="20"/>
              </w:rPr>
              <w:t>-</w:t>
            </w:r>
          </w:p>
        </w:tc>
        <w:tc>
          <w:tcPr>
            <w:tcW w:w="999" w:type="dxa"/>
            <w:tcBorders>
              <w:right w:val="single" w:sz="4" w:space="0" w:color="0079C1"/>
            </w:tcBorders>
            <w:shd w:val="clear" w:color="auto" w:fill="FFFFFF" w:themeFill="background1"/>
            <w:vAlign w:val="center"/>
          </w:tcPr>
          <w:p w14:paraId="201D9257" w14:textId="69E5D7F0" w:rsidR="00561FAD" w:rsidRPr="00C8327F" w:rsidRDefault="00561FAD" w:rsidP="001A0564">
            <w:pPr>
              <w:pStyle w:val="TableTextCentred"/>
              <w:rPr>
                <w:sz w:val="20"/>
                <w:szCs w:val="20"/>
              </w:rPr>
            </w:pPr>
            <w:r w:rsidRPr="00C8327F">
              <w:rPr>
                <w:sz w:val="20"/>
                <w:szCs w:val="20"/>
              </w:rPr>
              <w:t>-</w:t>
            </w:r>
          </w:p>
        </w:tc>
        <w:tc>
          <w:tcPr>
            <w:tcW w:w="560" w:type="dxa"/>
            <w:tcBorders>
              <w:left w:val="single" w:sz="4" w:space="0" w:color="0079C1"/>
            </w:tcBorders>
            <w:shd w:val="clear" w:color="auto" w:fill="FFFFFF" w:themeFill="background1"/>
            <w:vAlign w:val="center"/>
          </w:tcPr>
          <w:p w14:paraId="2983D625" w14:textId="162FDD43" w:rsidR="00561FAD" w:rsidRPr="00C8327F" w:rsidRDefault="00561FAD" w:rsidP="001A0564">
            <w:pPr>
              <w:pStyle w:val="TableTextCentred"/>
              <w:rPr>
                <w:sz w:val="20"/>
                <w:szCs w:val="20"/>
              </w:rPr>
            </w:pPr>
            <w:r w:rsidRPr="00C8327F">
              <w:rPr>
                <w:sz w:val="20"/>
                <w:szCs w:val="20"/>
              </w:rPr>
              <w:t>2</w:t>
            </w:r>
          </w:p>
        </w:tc>
        <w:tc>
          <w:tcPr>
            <w:tcW w:w="993" w:type="dxa"/>
            <w:tcBorders>
              <w:right w:val="single" w:sz="4" w:space="0" w:color="0079C1"/>
            </w:tcBorders>
            <w:shd w:val="clear" w:color="auto" w:fill="FFFFFF" w:themeFill="background1"/>
            <w:vAlign w:val="center"/>
          </w:tcPr>
          <w:p w14:paraId="41BB084E" w14:textId="7B704119" w:rsidR="00561FAD" w:rsidRPr="00C8327F" w:rsidRDefault="00561FAD" w:rsidP="001A0564">
            <w:pPr>
              <w:pStyle w:val="TableTextCentred"/>
              <w:rPr>
                <w:sz w:val="20"/>
                <w:szCs w:val="20"/>
              </w:rPr>
            </w:pPr>
            <w:r w:rsidRPr="00C8327F">
              <w:rPr>
                <w:sz w:val="20"/>
                <w:szCs w:val="20"/>
              </w:rPr>
              <w:t>2.7%</w:t>
            </w:r>
          </w:p>
        </w:tc>
        <w:tc>
          <w:tcPr>
            <w:tcW w:w="567" w:type="dxa"/>
            <w:tcBorders>
              <w:left w:val="single" w:sz="4" w:space="0" w:color="0079C1"/>
            </w:tcBorders>
            <w:shd w:val="clear" w:color="auto" w:fill="FFFFFF" w:themeFill="background1"/>
            <w:vAlign w:val="center"/>
          </w:tcPr>
          <w:p w14:paraId="3F3A8163" w14:textId="1A5363D4" w:rsidR="00561FAD" w:rsidRPr="00C8327F" w:rsidRDefault="00561FAD" w:rsidP="001A0564">
            <w:pPr>
              <w:pStyle w:val="TableTextCentred"/>
              <w:rPr>
                <w:sz w:val="20"/>
                <w:szCs w:val="20"/>
              </w:rPr>
            </w:pPr>
            <w:r w:rsidRPr="00C8327F">
              <w:rPr>
                <w:sz w:val="20"/>
                <w:szCs w:val="20"/>
              </w:rPr>
              <w:t>-</w:t>
            </w:r>
          </w:p>
        </w:tc>
        <w:tc>
          <w:tcPr>
            <w:tcW w:w="992" w:type="dxa"/>
            <w:tcBorders>
              <w:right w:val="single" w:sz="4" w:space="0" w:color="0079C1"/>
            </w:tcBorders>
            <w:shd w:val="clear" w:color="auto" w:fill="FFFFFF" w:themeFill="background1"/>
            <w:vAlign w:val="center"/>
          </w:tcPr>
          <w:p w14:paraId="42827FC4" w14:textId="0DED2544" w:rsidR="00561FAD" w:rsidRPr="00C8327F" w:rsidRDefault="00561FAD" w:rsidP="001A0564">
            <w:pPr>
              <w:pStyle w:val="TableTextCentred"/>
              <w:rPr>
                <w:sz w:val="20"/>
                <w:szCs w:val="20"/>
              </w:rPr>
            </w:pPr>
            <w:r w:rsidRPr="00C8327F">
              <w:rPr>
                <w:sz w:val="20"/>
                <w:szCs w:val="20"/>
              </w:rPr>
              <w:t>-</w:t>
            </w:r>
          </w:p>
        </w:tc>
        <w:tc>
          <w:tcPr>
            <w:tcW w:w="716" w:type="dxa"/>
            <w:tcBorders>
              <w:left w:val="single" w:sz="4" w:space="0" w:color="0079C1"/>
            </w:tcBorders>
            <w:shd w:val="clear" w:color="auto" w:fill="FFFFFF" w:themeFill="background1"/>
            <w:vAlign w:val="center"/>
          </w:tcPr>
          <w:p w14:paraId="236C6303" w14:textId="186989B8" w:rsidR="00561FAD" w:rsidRPr="00C8327F" w:rsidRDefault="00561FAD" w:rsidP="001A0564">
            <w:pPr>
              <w:pStyle w:val="TableTextCentred"/>
              <w:rPr>
                <w:b/>
                <w:sz w:val="20"/>
                <w:szCs w:val="20"/>
              </w:rPr>
            </w:pPr>
            <w:r w:rsidRPr="00C8327F">
              <w:rPr>
                <w:b/>
                <w:sz w:val="20"/>
                <w:szCs w:val="20"/>
              </w:rPr>
              <w:t>6</w:t>
            </w:r>
          </w:p>
        </w:tc>
        <w:tc>
          <w:tcPr>
            <w:tcW w:w="992" w:type="dxa"/>
            <w:shd w:val="clear" w:color="auto" w:fill="FFFFFF" w:themeFill="background1"/>
            <w:vAlign w:val="center"/>
          </w:tcPr>
          <w:p w14:paraId="101F37A5" w14:textId="3E094702" w:rsidR="00561FAD" w:rsidRPr="00C8327F" w:rsidRDefault="00561FAD" w:rsidP="001A0564">
            <w:pPr>
              <w:pStyle w:val="TableTextCentred"/>
              <w:rPr>
                <w:rStyle w:val="Strong"/>
                <w:b w:val="0"/>
                <w:sz w:val="20"/>
                <w:szCs w:val="20"/>
              </w:rPr>
            </w:pPr>
            <w:r w:rsidRPr="00C8327F">
              <w:rPr>
                <w:b/>
                <w:sz w:val="20"/>
                <w:szCs w:val="20"/>
              </w:rPr>
              <w:t>2.7%</w:t>
            </w:r>
          </w:p>
        </w:tc>
      </w:tr>
      <w:tr w:rsidR="00561FAD" w:rsidRPr="00C8327F" w14:paraId="37CDA956" w14:textId="77777777" w:rsidTr="00C8327F">
        <w:tc>
          <w:tcPr>
            <w:tcW w:w="1418" w:type="dxa"/>
            <w:tcBorders>
              <w:right w:val="single" w:sz="4" w:space="0" w:color="0079C1"/>
            </w:tcBorders>
            <w:shd w:val="clear" w:color="auto" w:fill="auto"/>
            <w:vAlign w:val="center"/>
          </w:tcPr>
          <w:p w14:paraId="42FDC2AC" w14:textId="4B321EBE" w:rsidR="00561FAD" w:rsidRPr="00C8327F" w:rsidRDefault="00561FAD" w:rsidP="00561FAD">
            <w:pPr>
              <w:pStyle w:val="TableText"/>
              <w:rPr>
                <w:sz w:val="20"/>
                <w:szCs w:val="20"/>
              </w:rPr>
            </w:pPr>
            <w:r w:rsidRPr="00C8327F">
              <w:rPr>
                <w:sz w:val="20"/>
                <w:szCs w:val="20"/>
              </w:rPr>
              <w:t>Very dissatisfied</w:t>
            </w:r>
          </w:p>
        </w:tc>
        <w:tc>
          <w:tcPr>
            <w:tcW w:w="567" w:type="dxa"/>
            <w:tcBorders>
              <w:left w:val="single" w:sz="4" w:space="0" w:color="0079C1"/>
            </w:tcBorders>
            <w:shd w:val="clear" w:color="auto" w:fill="auto"/>
            <w:vAlign w:val="center"/>
          </w:tcPr>
          <w:p w14:paraId="1C221DFF" w14:textId="66DA2088" w:rsidR="00561FAD" w:rsidRPr="00C8327F" w:rsidRDefault="00561FAD" w:rsidP="001A0564">
            <w:pPr>
              <w:pStyle w:val="TableTextCentred"/>
              <w:rPr>
                <w:sz w:val="20"/>
                <w:szCs w:val="20"/>
              </w:rPr>
            </w:pPr>
            <w:r w:rsidRPr="00C8327F">
              <w:rPr>
                <w:sz w:val="20"/>
                <w:szCs w:val="20"/>
              </w:rPr>
              <w:t>5</w:t>
            </w:r>
          </w:p>
        </w:tc>
        <w:tc>
          <w:tcPr>
            <w:tcW w:w="992" w:type="dxa"/>
            <w:tcBorders>
              <w:right w:val="single" w:sz="4" w:space="0" w:color="0079C1"/>
            </w:tcBorders>
            <w:shd w:val="clear" w:color="auto" w:fill="FFFFFF" w:themeFill="background1"/>
            <w:vAlign w:val="center"/>
          </w:tcPr>
          <w:p w14:paraId="63E58D7C" w14:textId="12E44DFF" w:rsidR="00561FAD" w:rsidRPr="00C8327F" w:rsidRDefault="00561FAD" w:rsidP="001A0564">
            <w:pPr>
              <w:pStyle w:val="TableTextCentred"/>
              <w:rPr>
                <w:sz w:val="20"/>
                <w:szCs w:val="20"/>
              </w:rPr>
            </w:pPr>
            <w:r w:rsidRPr="00C8327F">
              <w:rPr>
                <w:sz w:val="20"/>
                <w:szCs w:val="20"/>
              </w:rPr>
              <w:t>4.6%</w:t>
            </w:r>
          </w:p>
        </w:tc>
        <w:tc>
          <w:tcPr>
            <w:tcW w:w="567" w:type="dxa"/>
            <w:tcBorders>
              <w:left w:val="single" w:sz="4" w:space="0" w:color="0079C1"/>
            </w:tcBorders>
            <w:shd w:val="clear" w:color="auto" w:fill="FFFFFF" w:themeFill="background1"/>
            <w:vAlign w:val="center"/>
          </w:tcPr>
          <w:p w14:paraId="7871C3AE" w14:textId="62F7E397" w:rsidR="00561FAD" w:rsidRPr="00C8327F" w:rsidRDefault="00561FAD" w:rsidP="001A0564">
            <w:pPr>
              <w:pStyle w:val="TableTextCentred"/>
              <w:rPr>
                <w:sz w:val="20"/>
                <w:szCs w:val="20"/>
              </w:rPr>
            </w:pPr>
            <w:r w:rsidRPr="00C8327F">
              <w:rPr>
                <w:sz w:val="20"/>
                <w:szCs w:val="20"/>
              </w:rPr>
              <w:t>1</w:t>
            </w:r>
          </w:p>
        </w:tc>
        <w:tc>
          <w:tcPr>
            <w:tcW w:w="999" w:type="dxa"/>
            <w:tcBorders>
              <w:right w:val="single" w:sz="4" w:space="0" w:color="0079C1"/>
            </w:tcBorders>
            <w:shd w:val="clear" w:color="auto" w:fill="FFFFFF" w:themeFill="background1"/>
            <w:vAlign w:val="center"/>
          </w:tcPr>
          <w:p w14:paraId="3F6CF128" w14:textId="519B1199" w:rsidR="00561FAD" w:rsidRPr="00C8327F" w:rsidRDefault="00561FAD" w:rsidP="001A0564">
            <w:pPr>
              <w:pStyle w:val="TableTextCentred"/>
              <w:rPr>
                <w:sz w:val="20"/>
                <w:szCs w:val="20"/>
              </w:rPr>
            </w:pPr>
            <w:r w:rsidRPr="00C8327F">
              <w:rPr>
                <w:sz w:val="20"/>
                <w:szCs w:val="20"/>
              </w:rPr>
              <w:t>5.3%</w:t>
            </w:r>
          </w:p>
        </w:tc>
        <w:tc>
          <w:tcPr>
            <w:tcW w:w="560" w:type="dxa"/>
            <w:tcBorders>
              <w:left w:val="single" w:sz="4" w:space="0" w:color="0079C1"/>
            </w:tcBorders>
            <w:shd w:val="clear" w:color="auto" w:fill="FFFFFF" w:themeFill="background1"/>
            <w:vAlign w:val="center"/>
          </w:tcPr>
          <w:p w14:paraId="516C6A9D" w14:textId="07775C6E" w:rsidR="00561FAD" w:rsidRPr="00C8327F" w:rsidRDefault="00561FAD" w:rsidP="001A0564">
            <w:pPr>
              <w:pStyle w:val="TableTextCentred"/>
              <w:rPr>
                <w:sz w:val="20"/>
                <w:szCs w:val="20"/>
              </w:rPr>
            </w:pPr>
            <w:r w:rsidRPr="00C8327F">
              <w:rPr>
                <w:sz w:val="20"/>
                <w:szCs w:val="20"/>
              </w:rPr>
              <w:t>2</w:t>
            </w:r>
          </w:p>
        </w:tc>
        <w:tc>
          <w:tcPr>
            <w:tcW w:w="993" w:type="dxa"/>
            <w:tcBorders>
              <w:right w:val="single" w:sz="4" w:space="0" w:color="0079C1"/>
            </w:tcBorders>
            <w:shd w:val="clear" w:color="auto" w:fill="FFFFFF" w:themeFill="background1"/>
            <w:vAlign w:val="center"/>
          </w:tcPr>
          <w:p w14:paraId="4742F621" w14:textId="6B6E712C" w:rsidR="00561FAD" w:rsidRPr="00C8327F" w:rsidRDefault="00561FAD" w:rsidP="001A0564">
            <w:pPr>
              <w:pStyle w:val="TableTextCentred"/>
              <w:rPr>
                <w:sz w:val="20"/>
                <w:szCs w:val="20"/>
              </w:rPr>
            </w:pPr>
            <w:r w:rsidRPr="00C8327F">
              <w:rPr>
                <w:sz w:val="20"/>
                <w:szCs w:val="20"/>
              </w:rPr>
              <w:t>2.7%</w:t>
            </w:r>
          </w:p>
        </w:tc>
        <w:tc>
          <w:tcPr>
            <w:tcW w:w="567" w:type="dxa"/>
            <w:tcBorders>
              <w:left w:val="single" w:sz="4" w:space="0" w:color="0079C1"/>
            </w:tcBorders>
            <w:shd w:val="clear" w:color="auto" w:fill="FFFFFF" w:themeFill="background1"/>
            <w:vAlign w:val="center"/>
          </w:tcPr>
          <w:p w14:paraId="6EE93BCF" w14:textId="2F19AA41" w:rsidR="00561FAD" w:rsidRPr="00C8327F" w:rsidRDefault="00561FAD" w:rsidP="001A0564">
            <w:pPr>
              <w:pStyle w:val="TableTextCentred"/>
              <w:rPr>
                <w:sz w:val="20"/>
                <w:szCs w:val="20"/>
              </w:rPr>
            </w:pPr>
            <w:r w:rsidRPr="00C8327F">
              <w:rPr>
                <w:sz w:val="20"/>
                <w:szCs w:val="20"/>
              </w:rPr>
              <w:t>-</w:t>
            </w:r>
          </w:p>
        </w:tc>
        <w:tc>
          <w:tcPr>
            <w:tcW w:w="992" w:type="dxa"/>
            <w:tcBorders>
              <w:right w:val="single" w:sz="4" w:space="0" w:color="0079C1"/>
            </w:tcBorders>
            <w:shd w:val="clear" w:color="auto" w:fill="FFFFFF" w:themeFill="background1"/>
            <w:vAlign w:val="center"/>
          </w:tcPr>
          <w:p w14:paraId="04A85CA7" w14:textId="7A51AE41" w:rsidR="00561FAD" w:rsidRPr="00C8327F" w:rsidRDefault="00561FAD" w:rsidP="001A0564">
            <w:pPr>
              <w:pStyle w:val="TableTextCentred"/>
              <w:rPr>
                <w:sz w:val="20"/>
                <w:szCs w:val="20"/>
              </w:rPr>
            </w:pPr>
            <w:r w:rsidRPr="00C8327F">
              <w:rPr>
                <w:sz w:val="20"/>
                <w:szCs w:val="20"/>
              </w:rPr>
              <w:t>-</w:t>
            </w:r>
          </w:p>
        </w:tc>
        <w:tc>
          <w:tcPr>
            <w:tcW w:w="716" w:type="dxa"/>
            <w:tcBorders>
              <w:left w:val="single" w:sz="4" w:space="0" w:color="0079C1"/>
            </w:tcBorders>
            <w:shd w:val="clear" w:color="auto" w:fill="FFFFFF" w:themeFill="background1"/>
            <w:vAlign w:val="center"/>
          </w:tcPr>
          <w:p w14:paraId="49F72E16" w14:textId="751CCE36" w:rsidR="00561FAD" w:rsidRPr="00C8327F" w:rsidRDefault="00561FAD" w:rsidP="001A0564">
            <w:pPr>
              <w:pStyle w:val="TableTextCentred"/>
              <w:rPr>
                <w:b/>
                <w:sz w:val="20"/>
                <w:szCs w:val="20"/>
              </w:rPr>
            </w:pPr>
            <w:r w:rsidRPr="00C8327F">
              <w:rPr>
                <w:b/>
                <w:sz w:val="20"/>
                <w:szCs w:val="20"/>
              </w:rPr>
              <w:t>8</w:t>
            </w:r>
          </w:p>
        </w:tc>
        <w:tc>
          <w:tcPr>
            <w:tcW w:w="992" w:type="dxa"/>
            <w:shd w:val="clear" w:color="auto" w:fill="FFFFFF" w:themeFill="background1"/>
            <w:vAlign w:val="center"/>
          </w:tcPr>
          <w:p w14:paraId="2AAFDD68" w14:textId="7B301769" w:rsidR="00561FAD" w:rsidRPr="00C8327F" w:rsidRDefault="00561FAD" w:rsidP="001A0564">
            <w:pPr>
              <w:pStyle w:val="TableTextCentred"/>
              <w:rPr>
                <w:rStyle w:val="Strong"/>
                <w:b w:val="0"/>
                <w:sz w:val="20"/>
                <w:szCs w:val="20"/>
              </w:rPr>
            </w:pPr>
            <w:r w:rsidRPr="00C8327F">
              <w:rPr>
                <w:b/>
                <w:sz w:val="20"/>
                <w:szCs w:val="20"/>
              </w:rPr>
              <w:t>3.6%</w:t>
            </w:r>
          </w:p>
        </w:tc>
      </w:tr>
      <w:bookmarkEnd w:id="123"/>
      <w:tr w:rsidR="001A0564" w:rsidRPr="00C8327F" w14:paraId="16E81AF9" w14:textId="77777777" w:rsidTr="00C8327F">
        <w:tc>
          <w:tcPr>
            <w:tcW w:w="1418" w:type="dxa"/>
            <w:tcBorders>
              <w:bottom w:val="single" w:sz="4" w:space="0" w:color="0079C1" w:themeColor="text2"/>
              <w:right w:val="single" w:sz="4" w:space="0" w:color="0079C1"/>
            </w:tcBorders>
            <w:shd w:val="clear" w:color="auto" w:fill="auto"/>
            <w:vAlign w:val="center"/>
          </w:tcPr>
          <w:p w14:paraId="67E617D0" w14:textId="08C75E48" w:rsidR="001A0564" w:rsidRPr="00C8327F" w:rsidRDefault="001A0564" w:rsidP="001A0564">
            <w:pPr>
              <w:pStyle w:val="TableText"/>
              <w:rPr>
                <w:sz w:val="20"/>
                <w:szCs w:val="20"/>
              </w:rPr>
            </w:pPr>
            <w:r w:rsidRPr="00C8327F">
              <w:rPr>
                <w:sz w:val="20"/>
                <w:szCs w:val="20"/>
              </w:rPr>
              <w:t>Not stated/</w:t>
            </w:r>
            <w:r w:rsidRPr="00C8327F">
              <w:rPr>
                <w:rFonts w:asciiTheme="minorHAnsi" w:hAnsiTheme="minorHAnsi"/>
                <w:sz w:val="20"/>
                <w:szCs w:val="20"/>
              </w:rPr>
              <w:t xml:space="preserve"> not applicable </w:t>
            </w:r>
          </w:p>
        </w:tc>
        <w:tc>
          <w:tcPr>
            <w:tcW w:w="567" w:type="dxa"/>
            <w:tcBorders>
              <w:left w:val="single" w:sz="4" w:space="0" w:color="0079C1"/>
              <w:bottom w:val="single" w:sz="4" w:space="0" w:color="0079C1" w:themeColor="text2"/>
            </w:tcBorders>
            <w:shd w:val="clear" w:color="auto" w:fill="auto"/>
            <w:vAlign w:val="center"/>
          </w:tcPr>
          <w:p w14:paraId="012C8306" w14:textId="1C717499" w:rsidR="001A0564" w:rsidRPr="00C8327F" w:rsidRDefault="001A0564" w:rsidP="001A0564">
            <w:pPr>
              <w:pStyle w:val="TableTextCentred"/>
              <w:rPr>
                <w:sz w:val="20"/>
                <w:szCs w:val="20"/>
              </w:rPr>
            </w:pPr>
            <w:r w:rsidRPr="00C8327F">
              <w:rPr>
                <w:sz w:val="20"/>
                <w:szCs w:val="20"/>
              </w:rPr>
              <w:t>61</w:t>
            </w:r>
          </w:p>
        </w:tc>
        <w:tc>
          <w:tcPr>
            <w:tcW w:w="992" w:type="dxa"/>
            <w:tcBorders>
              <w:bottom w:val="single" w:sz="4" w:space="0" w:color="0079C1" w:themeColor="text2"/>
              <w:right w:val="single" w:sz="4" w:space="0" w:color="0079C1"/>
            </w:tcBorders>
            <w:shd w:val="clear" w:color="auto" w:fill="FFFFFF" w:themeFill="background1"/>
            <w:vAlign w:val="center"/>
          </w:tcPr>
          <w:p w14:paraId="23AB2558" w14:textId="656D98CF" w:rsidR="001A0564" w:rsidRPr="00C8327F" w:rsidRDefault="001A0564" w:rsidP="001A0564">
            <w:pPr>
              <w:pStyle w:val="TableTextCentred"/>
              <w:rPr>
                <w:sz w:val="20"/>
                <w:szCs w:val="20"/>
              </w:rPr>
            </w:pPr>
            <w:r w:rsidRPr="00C8327F">
              <w:rPr>
                <w:sz w:val="20"/>
                <w:szCs w:val="20"/>
              </w:rPr>
              <w:t>56.5%</w:t>
            </w:r>
          </w:p>
        </w:tc>
        <w:tc>
          <w:tcPr>
            <w:tcW w:w="567" w:type="dxa"/>
            <w:tcBorders>
              <w:left w:val="single" w:sz="4" w:space="0" w:color="0079C1"/>
              <w:bottom w:val="single" w:sz="4" w:space="0" w:color="0079C1" w:themeColor="text2"/>
            </w:tcBorders>
            <w:shd w:val="clear" w:color="auto" w:fill="FFFFFF" w:themeFill="background1"/>
            <w:vAlign w:val="center"/>
          </w:tcPr>
          <w:p w14:paraId="77C4623B" w14:textId="72D25B7D" w:rsidR="001A0564" w:rsidRPr="00C8327F" w:rsidRDefault="001A0564" w:rsidP="001A0564">
            <w:pPr>
              <w:pStyle w:val="TableTextCentred"/>
              <w:rPr>
                <w:sz w:val="20"/>
                <w:szCs w:val="20"/>
              </w:rPr>
            </w:pPr>
            <w:r w:rsidRPr="00C8327F">
              <w:rPr>
                <w:sz w:val="20"/>
                <w:szCs w:val="20"/>
              </w:rPr>
              <w:t>16</w:t>
            </w:r>
          </w:p>
        </w:tc>
        <w:tc>
          <w:tcPr>
            <w:tcW w:w="999" w:type="dxa"/>
            <w:tcBorders>
              <w:bottom w:val="single" w:sz="4" w:space="0" w:color="0079C1" w:themeColor="text2"/>
              <w:right w:val="single" w:sz="4" w:space="0" w:color="0079C1"/>
            </w:tcBorders>
            <w:shd w:val="clear" w:color="auto" w:fill="FFFFFF" w:themeFill="background1"/>
            <w:vAlign w:val="center"/>
          </w:tcPr>
          <w:p w14:paraId="43F95ECB" w14:textId="04E8393C" w:rsidR="001A0564" w:rsidRPr="00C8327F" w:rsidRDefault="001A0564" w:rsidP="001A0564">
            <w:pPr>
              <w:pStyle w:val="TableTextCentred"/>
              <w:rPr>
                <w:sz w:val="20"/>
                <w:szCs w:val="20"/>
              </w:rPr>
            </w:pPr>
            <w:r w:rsidRPr="00C8327F">
              <w:rPr>
                <w:sz w:val="20"/>
                <w:szCs w:val="20"/>
              </w:rPr>
              <w:t>84.2%</w:t>
            </w:r>
          </w:p>
        </w:tc>
        <w:tc>
          <w:tcPr>
            <w:tcW w:w="560" w:type="dxa"/>
            <w:tcBorders>
              <w:left w:val="single" w:sz="4" w:space="0" w:color="0079C1"/>
              <w:bottom w:val="single" w:sz="4" w:space="0" w:color="0079C1" w:themeColor="text2"/>
            </w:tcBorders>
            <w:shd w:val="clear" w:color="auto" w:fill="FFFFFF" w:themeFill="background1"/>
            <w:vAlign w:val="center"/>
          </w:tcPr>
          <w:p w14:paraId="50B65C73" w14:textId="7CF904FD" w:rsidR="001A0564" w:rsidRPr="00C8327F" w:rsidRDefault="001A0564" w:rsidP="001A0564">
            <w:pPr>
              <w:pStyle w:val="TableTextCentred"/>
              <w:rPr>
                <w:sz w:val="20"/>
                <w:szCs w:val="20"/>
              </w:rPr>
            </w:pPr>
            <w:r w:rsidRPr="00C8327F">
              <w:rPr>
                <w:sz w:val="20"/>
                <w:szCs w:val="20"/>
              </w:rPr>
              <w:t>66</w:t>
            </w:r>
          </w:p>
        </w:tc>
        <w:tc>
          <w:tcPr>
            <w:tcW w:w="993" w:type="dxa"/>
            <w:tcBorders>
              <w:bottom w:val="single" w:sz="4" w:space="0" w:color="0079C1" w:themeColor="text2"/>
              <w:right w:val="single" w:sz="4" w:space="0" w:color="0079C1"/>
            </w:tcBorders>
            <w:shd w:val="clear" w:color="auto" w:fill="FFFFFF" w:themeFill="background1"/>
            <w:vAlign w:val="center"/>
          </w:tcPr>
          <w:p w14:paraId="7F058549" w14:textId="7C20CE98" w:rsidR="001A0564" w:rsidRPr="00C8327F" w:rsidRDefault="001A0564" w:rsidP="001A0564">
            <w:pPr>
              <w:pStyle w:val="TableTextCentred"/>
              <w:rPr>
                <w:sz w:val="20"/>
                <w:szCs w:val="20"/>
              </w:rPr>
            </w:pPr>
            <w:r w:rsidRPr="00C8327F">
              <w:rPr>
                <w:sz w:val="20"/>
                <w:szCs w:val="20"/>
              </w:rPr>
              <w:t>90.4%</w:t>
            </w:r>
          </w:p>
        </w:tc>
        <w:tc>
          <w:tcPr>
            <w:tcW w:w="567" w:type="dxa"/>
            <w:tcBorders>
              <w:left w:val="single" w:sz="4" w:space="0" w:color="0079C1"/>
              <w:bottom w:val="single" w:sz="4" w:space="0" w:color="0079C1" w:themeColor="text2"/>
            </w:tcBorders>
            <w:shd w:val="clear" w:color="auto" w:fill="FFFFFF" w:themeFill="background1"/>
            <w:vAlign w:val="center"/>
          </w:tcPr>
          <w:p w14:paraId="11D735BD" w14:textId="27D6FA77" w:rsidR="001A0564" w:rsidRPr="00C8327F" w:rsidRDefault="001A0564" w:rsidP="001A0564">
            <w:pPr>
              <w:pStyle w:val="TableTextCentred"/>
              <w:rPr>
                <w:sz w:val="20"/>
                <w:szCs w:val="20"/>
              </w:rPr>
            </w:pPr>
            <w:r w:rsidRPr="00C8327F">
              <w:rPr>
                <w:sz w:val="20"/>
                <w:szCs w:val="20"/>
              </w:rPr>
              <w:t>12</w:t>
            </w:r>
          </w:p>
        </w:tc>
        <w:tc>
          <w:tcPr>
            <w:tcW w:w="992" w:type="dxa"/>
            <w:tcBorders>
              <w:bottom w:val="single" w:sz="4" w:space="0" w:color="0079C1" w:themeColor="text2"/>
              <w:right w:val="single" w:sz="4" w:space="0" w:color="0079C1"/>
            </w:tcBorders>
            <w:shd w:val="clear" w:color="auto" w:fill="FFFFFF" w:themeFill="background1"/>
            <w:vAlign w:val="center"/>
          </w:tcPr>
          <w:p w14:paraId="08353CA6" w14:textId="0366B0F0" w:rsidR="001A0564" w:rsidRPr="00C8327F" w:rsidRDefault="001A0564" w:rsidP="001A0564">
            <w:pPr>
              <w:pStyle w:val="TableTextCentred"/>
              <w:rPr>
                <w:sz w:val="20"/>
                <w:szCs w:val="20"/>
              </w:rPr>
            </w:pPr>
            <w:r w:rsidRPr="00C8327F">
              <w:rPr>
                <w:sz w:val="20"/>
                <w:szCs w:val="20"/>
              </w:rPr>
              <w:t>60%</w:t>
            </w:r>
          </w:p>
        </w:tc>
        <w:tc>
          <w:tcPr>
            <w:tcW w:w="716" w:type="dxa"/>
            <w:tcBorders>
              <w:left w:val="single" w:sz="4" w:space="0" w:color="0079C1"/>
              <w:bottom w:val="single" w:sz="4" w:space="0" w:color="0079C1" w:themeColor="text2"/>
            </w:tcBorders>
            <w:shd w:val="clear" w:color="auto" w:fill="FFFFFF" w:themeFill="background1"/>
            <w:vAlign w:val="center"/>
          </w:tcPr>
          <w:p w14:paraId="7D646D7D" w14:textId="7E7E1600" w:rsidR="001A0564" w:rsidRPr="00C8327F" w:rsidRDefault="001A0564" w:rsidP="001A0564">
            <w:pPr>
              <w:pStyle w:val="TableTextCentred"/>
              <w:rPr>
                <w:b/>
                <w:sz w:val="20"/>
                <w:szCs w:val="20"/>
              </w:rPr>
            </w:pPr>
            <w:r w:rsidRPr="00C8327F">
              <w:rPr>
                <w:b/>
                <w:sz w:val="20"/>
                <w:szCs w:val="20"/>
              </w:rPr>
              <w:t>155</w:t>
            </w:r>
          </w:p>
        </w:tc>
        <w:tc>
          <w:tcPr>
            <w:tcW w:w="992" w:type="dxa"/>
            <w:tcBorders>
              <w:bottom w:val="single" w:sz="4" w:space="0" w:color="0079C1" w:themeColor="text2"/>
            </w:tcBorders>
            <w:shd w:val="clear" w:color="auto" w:fill="FFFFFF" w:themeFill="background1"/>
            <w:vAlign w:val="center"/>
          </w:tcPr>
          <w:p w14:paraId="10C955AA" w14:textId="2A958A79" w:rsidR="001A0564" w:rsidRPr="00C8327F" w:rsidRDefault="001A0564" w:rsidP="001A0564">
            <w:pPr>
              <w:pStyle w:val="TableTextCentred"/>
              <w:rPr>
                <w:rStyle w:val="Strong"/>
                <w:b w:val="0"/>
                <w:sz w:val="20"/>
                <w:szCs w:val="20"/>
              </w:rPr>
            </w:pPr>
            <w:r w:rsidRPr="00C8327F">
              <w:rPr>
                <w:b/>
                <w:sz w:val="20"/>
                <w:szCs w:val="20"/>
              </w:rPr>
              <w:t>70.5%</w:t>
            </w:r>
          </w:p>
        </w:tc>
      </w:tr>
      <w:tr w:rsidR="001A0564" w:rsidRPr="00C8327F" w14:paraId="665F7FFD" w14:textId="77777777" w:rsidTr="00C8327F">
        <w:tc>
          <w:tcPr>
            <w:tcW w:w="1418"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615F8F7B" w14:textId="08802C0E" w:rsidR="001A0564" w:rsidRPr="00C8327F" w:rsidRDefault="001A0564" w:rsidP="001A0564">
            <w:pPr>
              <w:pStyle w:val="TableText"/>
              <w:rPr>
                <w:rStyle w:val="Strong"/>
                <w:sz w:val="20"/>
                <w:szCs w:val="20"/>
              </w:rPr>
            </w:pPr>
            <w:r w:rsidRPr="00C8327F">
              <w:rPr>
                <w:rStyle w:val="Strong"/>
                <w:sz w:val="20"/>
                <w:szCs w:val="20"/>
              </w:rPr>
              <w:t>Total</w:t>
            </w:r>
          </w:p>
        </w:tc>
        <w:tc>
          <w:tcPr>
            <w:tcW w:w="567"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2A105766" w14:textId="402FB8B9" w:rsidR="001A0564" w:rsidRPr="00C8327F" w:rsidRDefault="001A0564" w:rsidP="001A0564">
            <w:pPr>
              <w:pStyle w:val="TableTextCentred"/>
              <w:rPr>
                <w:rStyle w:val="Strong"/>
                <w:sz w:val="20"/>
                <w:szCs w:val="20"/>
              </w:rPr>
            </w:pPr>
            <w:r w:rsidRPr="00C8327F">
              <w:rPr>
                <w:rStyle w:val="Strong"/>
                <w:sz w:val="20"/>
                <w:szCs w:val="20"/>
              </w:rPr>
              <w:t>108</w:t>
            </w:r>
          </w:p>
        </w:tc>
        <w:tc>
          <w:tcPr>
            <w:tcW w:w="992"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4FF5A53E" w14:textId="01CE75EA" w:rsidR="001A0564" w:rsidRPr="00C8327F" w:rsidRDefault="001A0564" w:rsidP="001A0564">
            <w:pPr>
              <w:pStyle w:val="TableTextCentred"/>
              <w:rPr>
                <w:rStyle w:val="Strong"/>
                <w:sz w:val="20"/>
                <w:szCs w:val="20"/>
              </w:rPr>
            </w:pPr>
            <w:r w:rsidRPr="00C8327F">
              <w:rPr>
                <w:rStyle w:val="Strong"/>
                <w:sz w:val="20"/>
                <w:szCs w:val="20"/>
              </w:rPr>
              <w:t>100.0%</w:t>
            </w:r>
          </w:p>
        </w:tc>
        <w:tc>
          <w:tcPr>
            <w:tcW w:w="567"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1DD1166A" w14:textId="35C46F72" w:rsidR="001A0564" w:rsidRPr="00C8327F" w:rsidRDefault="001A0564" w:rsidP="001A0564">
            <w:pPr>
              <w:pStyle w:val="TableTextCentred"/>
              <w:rPr>
                <w:rStyle w:val="Strong"/>
                <w:sz w:val="20"/>
                <w:szCs w:val="20"/>
              </w:rPr>
            </w:pPr>
            <w:r w:rsidRPr="00C8327F">
              <w:rPr>
                <w:rStyle w:val="Strong"/>
                <w:sz w:val="20"/>
                <w:szCs w:val="20"/>
              </w:rPr>
              <w:t>19</w:t>
            </w:r>
          </w:p>
        </w:tc>
        <w:tc>
          <w:tcPr>
            <w:tcW w:w="999"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7955A0A5" w14:textId="4BF4373D" w:rsidR="001A0564" w:rsidRPr="00C8327F" w:rsidRDefault="001A0564" w:rsidP="001A0564">
            <w:pPr>
              <w:pStyle w:val="TableTextCentred"/>
              <w:rPr>
                <w:rStyle w:val="Strong"/>
                <w:sz w:val="20"/>
                <w:szCs w:val="20"/>
              </w:rPr>
            </w:pPr>
            <w:r w:rsidRPr="00C8327F">
              <w:rPr>
                <w:rStyle w:val="Strong"/>
                <w:sz w:val="20"/>
                <w:szCs w:val="20"/>
              </w:rPr>
              <w:t>100.0%</w:t>
            </w:r>
          </w:p>
        </w:tc>
        <w:tc>
          <w:tcPr>
            <w:tcW w:w="560"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6500C65C" w14:textId="2E96C0FC" w:rsidR="001A0564" w:rsidRPr="00C8327F" w:rsidRDefault="001A0564" w:rsidP="001A0564">
            <w:pPr>
              <w:pStyle w:val="TableTextCentred"/>
              <w:rPr>
                <w:rStyle w:val="Strong"/>
                <w:sz w:val="20"/>
                <w:szCs w:val="20"/>
              </w:rPr>
            </w:pPr>
            <w:r w:rsidRPr="00C8327F">
              <w:rPr>
                <w:rStyle w:val="Strong"/>
                <w:sz w:val="20"/>
                <w:szCs w:val="20"/>
              </w:rPr>
              <w:t>73</w:t>
            </w:r>
          </w:p>
        </w:tc>
        <w:tc>
          <w:tcPr>
            <w:tcW w:w="993"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69C6B154" w14:textId="68764110" w:rsidR="001A0564" w:rsidRPr="00C8327F" w:rsidRDefault="001A0564" w:rsidP="001A0564">
            <w:pPr>
              <w:pStyle w:val="TableTextCentred"/>
              <w:rPr>
                <w:rStyle w:val="Strong"/>
                <w:sz w:val="20"/>
                <w:szCs w:val="20"/>
              </w:rPr>
            </w:pPr>
            <w:r w:rsidRPr="00C8327F">
              <w:rPr>
                <w:rStyle w:val="Strong"/>
                <w:sz w:val="20"/>
                <w:szCs w:val="20"/>
              </w:rPr>
              <w:t>100.0%</w:t>
            </w:r>
          </w:p>
        </w:tc>
        <w:tc>
          <w:tcPr>
            <w:tcW w:w="567"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068DD1AA" w14:textId="059A9BF0" w:rsidR="001A0564" w:rsidRPr="00C8327F" w:rsidRDefault="001A0564" w:rsidP="001A0564">
            <w:pPr>
              <w:pStyle w:val="TableTextCentred"/>
              <w:rPr>
                <w:rStyle w:val="Strong"/>
                <w:sz w:val="20"/>
                <w:szCs w:val="20"/>
              </w:rPr>
            </w:pPr>
            <w:r w:rsidRPr="00C8327F">
              <w:rPr>
                <w:rStyle w:val="Strong"/>
                <w:sz w:val="20"/>
                <w:szCs w:val="20"/>
              </w:rPr>
              <w:t>20</w:t>
            </w:r>
          </w:p>
        </w:tc>
        <w:tc>
          <w:tcPr>
            <w:tcW w:w="992"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09B11AB0" w14:textId="175CF9E4" w:rsidR="001A0564" w:rsidRPr="00C8327F" w:rsidRDefault="001A0564" w:rsidP="001A0564">
            <w:pPr>
              <w:pStyle w:val="TableTextCentred"/>
              <w:rPr>
                <w:rStyle w:val="Strong"/>
                <w:sz w:val="20"/>
                <w:szCs w:val="20"/>
              </w:rPr>
            </w:pPr>
            <w:r w:rsidRPr="00C8327F">
              <w:rPr>
                <w:rStyle w:val="Strong"/>
                <w:sz w:val="20"/>
                <w:szCs w:val="20"/>
              </w:rPr>
              <w:t>100.0%</w:t>
            </w:r>
          </w:p>
        </w:tc>
        <w:tc>
          <w:tcPr>
            <w:tcW w:w="716"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6A5980B1" w14:textId="34D05306" w:rsidR="001A0564" w:rsidRPr="00C8327F" w:rsidRDefault="001A0564" w:rsidP="001A0564">
            <w:pPr>
              <w:pStyle w:val="TableTextCentred"/>
              <w:rPr>
                <w:rStyle w:val="Strong"/>
                <w:sz w:val="20"/>
                <w:szCs w:val="20"/>
              </w:rPr>
            </w:pPr>
            <w:r w:rsidRPr="00C8327F">
              <w:rPr>
                <w:rStyle w:val="Strong"/>
                <w:sz w:val="20"/>
                <w:szCs w:val="20"/>
              </w:rPr>
              <w:t>220</w:t>
            </w:r>
          </w:p>
        </w:tc>
        <w:tc>
          <w:tcPr>
            <w:tcW w:w="992" w:type="dxa"/>
            <w:tcBorders>
              <w:top w:val="single" w:sz="4" w:space="0" w:color="0079C1" w:themeColor="text2"/>
              <w:bottom w:val="single" w:sz="4" w:space="0" w:color="0079C1" w:themeColor="text2"/>
            </w:tcBorders>
            <w:shd w:val="clear" w:color="auto" w:fill="E2F4FF" w:themeFill="accent1" w:themeFillTint="33"/>
            <w:vAlign w:val="center"/>
          </w:tcPr>
          <w:p w14:paraId="06AAED55" w14:textId="370DDC88" w:rsidR="001A0564" w:rsidRPr="00C8327F" w:rsidRDefault="001A0564" w:rsidP="001A0564">
            <w:pPr>
              <w:pStyle w:val="TableTextCentred"/>
              <w:rPr>
                <w:rStyle w:val="Strong"/>
                <w:sz w:val="20"/>
                <w:szCs w:val="20"/>
              </w:rPr>
            </w:pPr>
            <w:r w:rsidRPr="00C8327F">
              <w:rPr>
                <w:rStyle w:val="Strong"/>
                <w:sz w:val="20"/>
                <w:szCs w:val="20"/>
              </w:rPr>
              <w:t>100.0%</w:t>
            </w:r>
          </w:p>
        </w:tc>
      </w:tr>
    </w:tbl>
    <w:p w14:paraId="0FCF53F5" w14:textId="6CBAFC11" w:rsidR="000C7205" w:rsidRPr="000C7205" w:rsidRDefault="002A3757" w:rsidP="000C7205">
      <w:pPr>
        <w:pStyle w:val="Paragraph"/>
        <w:rPr>
          <w:rStyle w:val="IntenseEmphasis"/>
          <w:b w:val="0"/>
          <w:i w:val="0"/>
        </w:rPr>
      </w:pPr>
      <w:r w:rsidRPr="002A3757">
        <w:rPr>
          <w:rStyle w:val="IntenseEmphasis"/>
          <w:b w:val="0"/>
          <w:i w:val="0"/>
        </w:rPr>
        <w:t xml:space="preserve">When given the opportunity to comment on </w:t>
      </w:r>
      <w:r w:rsidR="000C7205" w:rsidRPr="000C7205">
        <w:rPr>
          <w:rStyle w:val="IntenseEmphasis"/>
          <w:b w:val="0"/>
          <w:i w:val="0"/>
        </w:rPr>
        <w:t>the usefulness of the advice they received about the intercountry adoption proce</w:t>
      </w:r>
      <w:r>
        <w:rPr>
          <w:rStyle w:val="IntenseEmphasis"/>
          <w:b w:val="0"/>
          <w:i w:val="0"/>
        </w:rPr>
        <w:t xml:space="preserve">ss in response to their </w:t>
      </w:r>
      <w:r w:rsidR="000C7205" w:rsidRPr="000C7205">
        <w:rPr>
          <w:rStyle w:val="IntenseEmphasis"/>
          <w:b w:val="0"/>
          <w:i w:val="0"/>
        </w:rPr>
        <w:t>enquiries</w:t>
      </w:r>
      <w:r>
        <w:rPr>
          <w:rStyle w:val="IntenseEmphasis"/>
          <w:b w:val="0"/>
          <w:i w:val="0"/>
        </w:rPr>
        <w:t xml:space="preserve"> made through the online contact form, </w:t>
      </w:r>
      <w:r w:rsidRPr="000C7205">
        <w:rPr>
          <w:rStyle w:val="IntenseEmphasis"/>
          <w:b w:val="0"/>
          <w:i w:val="0"/>
        </w:rPr>
        <w:t xml:space="preserve">45 parental respondents provided a total of </w:t>
      </w:r>
      <w:r>
        <w:rPr>
          <w:rStyle w:val="IntenseEmphasis"/>
          <w:b w:val="0"/>
          <w:i w:val="0"/>
        </w:rPr>
        <w:t>4</w:t>
      </w:r>
      <w:r w:rsidRPr="000C7205">
        <w:rPr>
          <w:rStyle w:val="IntenseEmphasis"/>
          <w:b w:val="0"/>
          <w:i w:val="0"/>
        </w:rPr>
        <w:t>8 free-text comments</w:t>
      </w:r>
      <w:r w:rsidR="000C7205" w:rsidRPr="000C7205">
        <w:rPr>
          <w:rStyle w:val="IntenseEmphasis"/>
          <w:b w:val="0"/>
          <w:i w:val="0"/>
        </w:rPr>
        <w:t xml:space="preserve">.  </w:t>
      </w:r>
      <w:r>
        <w:rPr>
          <w:rStyle w:val="IntenseEmphasis"/>
          <w:b w:val="0"/>
          <w:i w:val="0"/>
        </w:rPr>
        <w:t>M</w:t>
      </w:r>
      <w:r w:rsidR="000C7205" w:rsidRPr="000C7205">
        <w:rPr>
          <w:rStyle w:val="IntenseEmphasis"/>
          <w:b w:val="0"/>
          <w:i w:val="0"/>
        </w:rPr>
        <w:t>ost</w:t>
      </w:r>
      <w:r>
        <w:rPr>
          <w:rStyle w:val="IntenseEmphasis"/>
          <w:b w:val="0"/>
          <w:i w:val="0"/>
        </w:rPr>
        <w:t xml:space="preserve"> (31/48, </w:t>
      </w:r>
      <w:r w:rsidR="000C7205" w:rsidRPr="000C7205">
        <w:rPr>
          <w:rStyle w:val="IntenseEmphasis"/>
          <w:b w:val="0"/>
          <w:i w:val="0"/>
        </w:rPr>
        <w:t>64.6%) said that the service was helpful, that it answered their questions, that contact was timely or they were happy with the service they received.  Those who expressed dissatisfaction with the advice provided did so because:</w:t>
      </w:r>
    </w:p>
    <w:p w14:paraId="1FD4905C" w14:textId="4A4B9827" w:rsidR="000C7205" w:rsidRPr="000C7205" w:rsidRDefault="000C7205" w:rsidP="002A3757">
      <w:pPr>
        <w:pStyle w:val="Bullet1"/>
        <w:rPr>
          <w:rStyle w:val="IntenseEmphasis"/>
          <w:b w:val="0"/>
          <w:i w:val="0"/>
        </w:rPr>
      </w:pPr>
      <w:r w:rsidRPr="000C7205">
        <w:rPr>
          <w:rStyle w:val="IntenseEmphasis"/>
          <w:b w:val="0"/>
          <w:i w:val="0"/>
        </w:rPr>
        <w:t>Their question could not be satisfactorily answered, they received no new information or there were discrepancies in the information they had obtained (9/48, 18.8%)</w:t>
      </w:r>
    </w:p>
    <w:p w14:paraId="2A35928D" w14:textId="736496E2" w:rsidR="000C7205" w:rsidRPr="000C7205" w:rsidRDefault="000C7205" w:rsidP="002A3757">
      <w:pPr>
        <w:pStyle w:val="Bullet1"/>
        <w:rPr>
          <w:rStyle w:val="IntenseEmphasis"/>
          <w:b w:val="0"/>
          <w:i w:val="0"/>
        </w:rPr>
      </w:pPr>
      <w:r w:rsidRPr="000C7205">
        <w:rPr>
          <w:rStyle w:val="IntenseEmphasis"/>
          <w:b w:val="0"/>
          <w:i w:val="0"/>
        </w:rPr>
        <w:t>They were given no hope of adopting a child from overseas (3/48, 6.3%).</w:t>
      </w:r>
    </w:p>
    <w:p w14:paraId="171B2ED7" w14:textId="17015C10" w:rsidR="00AF7660" w:rsidRDefault="00AF7660" w:rsidP="002A3757">
      <w:pPr>
        <w:pStyle w:val="Paragraph"/>
        <w:keepNext/>
        <w:rPr>
          <w:rStyle w:val="IntenseEmphasis"/>
        </w:rPr>
      </w:pPr>
      <w:r w:rsidRPr="00DA1F29">
        <w:rPr>
          <w:rStyle w:val="IntenseEmphasis"/>
        </w:rPr>
        <w:lastRenderedPageBreak/>
        <w:t>Adult adoptees</w:t>
      </w:r>
    </w:p>
    <w:p w14:paraId="08E0BEA8" w14:textId="43EAC0E2" w:rsidR="00AF7660" w:rsidRDefault="00AF7660" w:rsidP="002A3757">
      <w:pPr>
        <w:pStyle w:val="Paragraph"/>
        <w:keepNext/>
      </w:pPr>
      <w:r>
        <w:t>Only one</w:t>
      </w:r>
      <w:r w:rsidRPr="00DA1F29">
        <w:t xml:space="preserve"> </w:t>
      </w:r>
      <w:r>
        <w:t xml:space="preserve">adult adoptee who completed the survey indicated that they had used the online contact form.  They reported being very satisfied with the usefulness of the information provided and the timeliness of the response received. </w:t>
      </w:r>
    </w:p>
    <w:p w14:paraId="1FF67FBC" w14:textId="77777777" w:rsidR="002A3757" w:rsidRPr="00DA1F29" w:rsidRDefault="002A3757" w:rsidP="002A3757">
      <w:pPr>
        <w:pStyle w:val="Paragraph"/>
      </w:pPr>
    </w:p>
    <w:tbl>
      <w:tblPr>
        <w:tblStyle w:val="TableGrid"/>
        <w:tblW w:w="0" w:type="auto"/>
        <w:tblInd w:w="108" w:type="dxa"/>
        <w:tblBorders>
          <w:top w:val="single" w:sz="4" w:space="0" w:color="0079C1" w:themeColor="text2"/>
          <w:left w:val="single" w:sz="4" w:space="0" w:color="0079C1" w:themeColor="text2"/>
          <w:bottom w:val="single" w:sz="4" w:space="0" w:color="0079C1" w:themeColor="text2"/>
          <w:right w:val="single" w:sz="4" w:space="0" w:color="0079C1" w:themeColor="text2"/>
          <w:insideH w:val="none" w:sz="0" w:space="0" w:color="auto"/>
          <w:insideV w:val="none" w:sz="0" w:space="0" w:color="auto"/>
        </w:tblBorders>
        <w:shd w:val="clear" w:color="auto" w:fill="E2F4FF" w:themeFill="accent1" w:themeFillTint="33"/>
        <w:tblLook w:val="04A0" w:firstRow="1" w:lastRow="0" w:firstColumn="1" w:lastColumn="0" w:noHBand="0" w:noVBand="1"/>
        <w:tblCaption w:val="Key findings:"/>
        <w:tblDescription w:val="Key findings:&#10;• IAA website&#10; Overall, almost 60% of the total parental respondents (131/220) had used the IAA website &#10; 61.8% (81/131) of parental respondents who had used the website ranked the website information as very useful or useful&#10;• Online contact form&#10; 29.5% (65/220) of all parental respondents indicated that they had used the online enquiry form&#10; Those who had used the online contact form reported high levels of satisfaction with the timeliness (44/65, 67.7%) and the usefulness (36/65, 55.4%) of the response they received.&#10;"/>
      </w:tblPr>
      <w:tblGrid>
        <w:gridCol w:w="9237"/>
      </w:tblGrid>
      <w:tr w:rsidR="00B43607" w:rsidRPr="00B43607" w14:paraId="1650F182" w14:textId="77777777" w:rsidTr="004E43C8">
        <w:trPr>
          <w:tblHeader/>
        </w:trPr>
        <w:tc>
          <w:tcPr>
            <w:tcW w:w="9349" w:type="dxa"/>
            <w:shd w:val="clear" w:color="auto" w:fill="E2F4FF" w:themeFill="accent1" w:themeFillTint="33"/>
          </w:tcPr>
          <w:p w14:paraId="22AD8F96" w14:textId="763ADDF3" w:rsidR="00B43607" w:rsidRPr="008A1452" w:rsidRDefault="00B43607" w:rsidP="005762AD">
            <w:pPr>
              <w:pStyle w:val="Heading4"/>
              <w:outlineLvl w:val="3"/>
              <w:rPr>
                <w:color w:val="auto"/>
                <w:lang w:val="en-AU"/>
              </w:rPr>
            </w:pPr>
            <w:r w:rsidRPr="008A1452">
              <w:rPr>
                <w:color w:val="auto"/>
                <w:lang w:val="en-AU"/>
              </w:rPr>
              <w:t>Key findings:</w:t>
            </w:r>
          </w:p>
          <w:p w14:paraId="4B9BAE25" w14:textId="2E74A147" w:rsidR="00AF7660" w:rsidRDefault="00AF7660" w:rsidP="005762AD">
            <w:pPr>
              <w:pStyle w:val="Bullet1"/>
              <w:rPr>
                <w:lang w:val="en-AU"/>
              </w:rPr>
            </w:pPr>
            <w:bookmarkStart w:id="131" w:name="_Hlk489962191"/>
            <w:r>
              <w:rPr>
                <w:lang w:val="en-AU"/>
              </w:rPr>
              <w:t>IAA website</w:t>
            </w:r>
          </w:p>
          <w:p w14:paraId="776A3186" w14:textId="4A5998EA" w:rsidR="00B43607" w:rsidRPr="00B43607" w:rsidRDefault="00561FAD" w:rsidP="00561FAD">
            <w:pPr>
              <w:pStyle w:val="Bullet2"/>
              <w:rPr>
                <w:lang w:val="en-AU"/>
              </w:rPr>
            </w:pPr>
            <w:r w:rsidRPr="00561FAD">
              <w:rPr>
                <w:lang w:val="en-AU"/>
              </w:rPr>
              <w:t xml:space="preserve">Overall, </w:t>
            </w:r>
            <w:bookmarkStart w:id="132" w:name="_Hlk490122517"/>
            <w:r w:rsidRPr="00561FAD">
              <w:rPr>
                <w:lang w:val="en-AU"/>
              </w:rPr>
              <w:t xml:space="preserve">almost 60% of the total parental respondents (131/220) had used the IAA website </w:t>
            </w:r>
          </w:p>
          <w:p w14:paraId="3BF5943A" w14:textId="206CF66B" w:rsidR="00B43607" w:rsidRDefault="008A6C81" w:rsidP="008A6C81">
            <w:pPr>
              <w:pStyle w:val="Bullet2"/>
              <w:rPr>
                <w:lang w:val="en-AU"/>
              </w:rPr>
            </w:pPr>
            <w:bookmarkStart w:id="133" w:name="_Hlk489958415"/>
            <w:bookmarkEnd w:id="132"/>
            <w:r w:rsidRPr="008A6C81">
              <w:rPr>
                <w:lang w:val="en-AU"/>
              </w:rPr>
              <w:t>61.8% (81/131) of parental respondents who had used the website ranked the website information as very useful or useful</w:t>
            </w:r>
          </w:p>
          <w:p w14:paraId="665216A0" w14:textId="77777777" w:rsidR="00AF7660" w:rsidRDefault="00AF7660" w:rsidP="00AF7660">
            <w:pPr>
              <w:pStyle w:val="Bullet1"/>
              <w:rPr>
                <w:lang w:val="en-AU"/>
              </w:rPr>
            </w:pPr>
            <w:r>
              <w:rPr>
                <w:lang w:val="en-AU"/>
              </w:rPr>
              <w:t>Online contact form</w:t>
            </w:r>
          </w:p>
          <w:p w14:paraId="5B57ADB0" w14:textId="654E49B2" w:rsidR="00DE5BBB" w:rsidRDefault="008A6C81" w:rsidP="008A6C81">
            <w:pPr>
              <w:pStyle w:val="Bullet2"/>
              <w:rPr>
                <w:lang w:val="en-AU"/>
              </w:rPr>
            </w:pPr>
            <w:r w:rsidRPr="008A6C81">
              <w:rPr>
                <w:lang w:val="en-AU"/>
              </w:rPr>
              <w:t>29.5% (65/220) of all parental respondents indicated that they had used the online enquiry form</w:t>
            </w:r>
          </w:p>
          <w:p w14:paraId="3FFADF2F" w14:textId="401ECE83" w:rsidR="00AF7660" w:rsidRPr="00B43607" w:rsidRDefault="00DE5BBB" w:rsidP="008A6C81">
            <w:pPr>
              <w:pStyle w:val="Bullet2"/>
              <w:rPr>
                <w:lang w:val="en-AU"/>
              </w:rPr>
            </w:pPr>
            <w:r w:rsidRPr="00DE5BBB">
              <w:rPr>
                <w:lang w:val="en-AU"/>
              </w:rPr>
              <w:t xml:space="preserve">Those who had used the online contact form reported high levels of satisfaction with the timeliness </w:t>
            </w:r>
            <w:r w:rsidR="008A6C81" w:rsidRPr="008A6C81">
              <w:rPr>
                <w:lang w:val="en-AU"/>
              </w:rPr>
              <w:t>(44/65, 67.7%) and the usefulness (36/65, 55.4%) of the response they received</w:t>
            </w:r>
            <w:r w:rsidRPr="00DE5BBB">
              <w:rPr>
                <w:lang w:val="en-AU"/>
              </w:rPr>
              <w:t>.</w:t>
            </w:r>
            <w:bookmarkEnd w:id="131"/>
            <w:bookmarkEnd w:id="133"/>
          </w:p>
        </w:tc>
      </w:tr>
    </w:tbl>
    <w:p w14:paraId="535D579B" w14:textId="77777777" w:rsidR="00B43607" w:rsidRPr="00B43607" w:rsidRDefault="00B43607" w:rsidP="00F23C50">
      <w:pPr>
        <w:pStyle w:val="Heading4"/>
      </w:pPr>
      <w:r w:rsidRPr="00B43607">
        <w:t>Measure 2c:  Of all the people who access the service at least 80% report satisfaction with the referral pathways provided by the information line</w:t>
      </w:r>
    </w:p>
    <w:p w14:paraId="23CE557C" w14:textId="2BE3DD32" w:rsidR="00F21509" w:rsidRDefault="00F21509" w:rsidP="00F21509">
      <w:pPr>
        <w:pStyle w:val="Paragraph"/>
        <w:rPr>
          <w:lang w:eastAsia="en-AU"/>
        </w:rPr>
      </w:pPr>
      <w:r>
        <w:rPr>
          <w:lang w:eastAsia="en-AU"/>
        </w:rPr>
        <w:t>As outlined in</w:t>
      </w:r>
      <w:r w:rsidRPr="00B77B94">
        <w:rPr>
          <w:rStyle w:val="Emphasis"/>
        </w:rPr>
        <w:t xml:space="preserve"> </w:t>
      </w:r>
      <w:r w:rsidR="004E6892">
        <w:rPr>
          <w:rStyle w:val="Emphasis"/>
        </w:rPr>
        <w:t>Table 5-7</w:t>
      </w:r>
      <w:r w:rsidR="0044501A">
        <w:rPr>
          <w:rStyle w:val="Emphasis"/>
        </w:rPr>
        <w:t>,</w:t>
      </w:r>
      <w:r w:rsidR="004E6892">
        <w:rPr>
          <w:lang w:eastAsia="en-AU"/>
        </w:rPr>
        <w:t xml:space="preserve"> </w:t>
      </w:r>
      <w:r>
        <w:rPr>
          <w:lang w:eastAsia="en-AU"/>
        </w:rPr>
        <w:t xml:space="preserve">one-third of </w:t>
      </w:r>
      <w:r w:rsidRPr="00940151">
        <w:rPr>
          <w:lang w:eastAsia="en-AU"/>
        </w:rPr>
        <w:t xml:space="preserve">client interactions (34.0%) </w:t>
      </w:r>
      <w:r>
        <w:rPr>
          <w:lang w:eastAsia="en-AU"/>
        </w:rPr>
        <w:t xml:space="preserve">with IAA </w:t>
      </w:r>
      <w:r w:rsidRPr="00940151">
        <w:rPr>
          <w:lang w:eastAsia="en-AU"/>
        </w:rPr>
        <w:t xml:space="preserve">resulted in some form of referral.  </w:t>
      </w:r>
      <w:r w:rsidR="00394227">
        <w:rPr>
          <w:lang w:eastAsia="en-AU"/>
        </w:rPr>
        <w:t xml:space="preserve">However, </w:t>
      </w:r>
      <w:r w:rsidR="00CF71F3">
        <w:rPr>
          <w:lang w:eastAsia="en-AU"/>
        </w:rPr>
        <w:t>the current client data system does not record client satisfaction with referrals and referral up</w:t>
      </w:r>
      <w:r w:rsidR="0044501A">
        <w:rPr>
          <w:lang w:eastAsia="en-AU"/>
        </w:rPr>
        <w:t>tak</w:t>
      </w:r>
      <w:r w:rsidR="00CF71F3">
        <w:rPr>
          <w:lang w:eastAsia="en-AU"/>
        </w:rPr>
        <w:t xml:space="preserve">e or satisfaction information is not later provided by the organisation(s) to which the client is referred.  </w:t>
      </w:r>
    </w:p>
    <w:p w14:paraId="3EF6AD20" w14:textId="6F531B1E" w:rsidR="00B43607" w:rsidRPr="00B43607" w:rsidRDefault="00394227" w:rsidP="00F23C50">
      <w:pPr>
        <w:pStyle w:val="Paragraph"/>
      </w:pPr>
      <w:r>
        <w:rPr>
          <w:lang w:eastAsia="en-AU"/>
        </w:rPr>
        <w:t>S</w:t>
      </w:r>
      <w:r w:rsidR="00F21509" w:rsidRPr="0081080E">
        <w:rPr>
          <w:lang w:eastAsia="en-AU"/>
        </w:rPr>
        <w:t>urvey responses</w:t>
      </w:r>
      <w:r>
        <w:rPr>
          <w:lang w:eastAsia="en-AU"/>
        </w:rPr>
        <w:t xml:space="preserve"> showed that </w:t>
      </w:r>
      <w:r w:rsidR="00F21509" w:rsidRPr="0081080E">
        <w:rPr>
          <w:lang w:eastAsia="en-AU"/>
        </w:rPr>
        <w:t xml:space="preserve">only 9.1% </w:t>
      </w:r>
      <w:r w:rsidR="007D3717">
        <w:rPr>
          <w:lang w:eastAsia="en-AU"/>
        </w:rPr>
        <w:t xml:space="preserve">(20/220) </w:t>
      </w:r>
      <w:r w:rsidR="00F21509" w:rsidRPr="0081080E">
        <w:rPr>
          <w:lang w:eastAsia="en-AU"/>
        </w:rPr>
        <w:t xml:space="preserve">of all parental respondents </w:t>
      </w:r>
      <w:r w:rsidR="00787D75" w:rsidRPr="0081080E">
        <w:rPr>
          <w:lang w:eastAsia="en-AU"/>
        </w:rPr>
        <w:t>indicat</w:t>
      </w:r>
      <w:r w:rsidR="00787D75">
        <w:rPr>
          <w:lang w:eastAsia="en-AU"/>
        </w:rPr>
        <w:t>ed</w:t>
      </w:r>
      <w:r w:rsidR="00787D75" w:rsidRPr="0081080E">
        <w:rPr>
          <w:lang w:eastAsia="en-AU"/>
        </w:rPr>
        <w:t xml:space="preserve"> </w:t>
      </w:r>
      <w:r w:rsidR="00F21509" w:rsidRPr="0081080E">
        <w:rPr>
          <w:lang w:eastAsia="en-AU"/>
        </w:rPr>
        <w:t xml:space="preserve">that they had received a referral to their STCA and only 4.1% </w:t>
      </w:r>
      <w:r w:rsidR="007D3717">
        <w:rPr>
          <w:lang w:eastAsia="en-AU"/>
        </w:rPr>
        <w:t xml:space="preserve">(9/220) </w:t>
      </w:r>
      <w:r w:rsidR="00F21509" w:rsidRPr="0081080E">
        <w:rPr>
          <w:lang w:eastAsia="en-AU"/>
        </w:rPr>
        <w:t>to another service</w:t>
      </w:r>
      <w:r>
        <w:rPr>
          <w:lang w:eastAsia="en-AU"/>
        </w:rPr>
        <w:t xml:space="preserve"> (</w:t>
      </w:r>
      <w:r w:rsidRPr="00394227">
        <w:rPr>
          <w:rStyle w:val="Emphasis"/>
        </w:rPr>
        <w:t xml:space="preserve">Section </w:t>
      </w:r>
      <w:r w:rsidRPr="00394227">
        <w:rPr>
          <w:rStyle w:val="Emphasis"/>
        </w:rPr>
        <w:fldChar w:fldCharType="begin"/>
      </w:r>
      <w:r w:rsidRPr="00394227">
        <w:rPr>
          <w:rStyle w:val="Emphasis"/>
        </w:rPr>
        <w:instrText xml:space="preserve"> REF _Ref463031409 \r \h </w:instrText>
      </w:r>
      <w:r>
        <w:rPr>
          <w:rStyle w:val="Emphasis"/>
        </w:rPr>
        <w:instrText xml:space="preserve"> \* MERGEFORMAT </w:instrText>
      </w:r>
      <w:r w:rsidRPr="00394227">
        <w:rPr>
          <w:rStyle w:val="Emphasis"/>
        </w:rPr>
      </w:r>
      <w:r w:rsidRPr="00394227">
        <w:rPr>
          <w:rStyle w:val="Emphasis"/>
        </w:rPr>
        <w:fldChar w:fldCharType="separate"/>
      </w:r>
      <w:r w:rsidR="00487073">
        <w:rPr>
          <w:rStyle w:val="Emphasis"/>
        </w:rPr>
        <w:t>6.2.2</w:t>
      </w:r>
      <w:r w:rsidRPr="00394227">
        <w:rPr>
          <w:rStyle w:val="Emphasis"/>
        </w:rPr>
        <w:fldChar w:fldCharType="end"/>
      </w:r>
      <w:r>
        <w:rPr>
          <w:lang w:eastAsia="en-AU"/>
        </w:rPr>
        <w:t xml:space="preserve">). </w:t>
      </w:r>
      <w:r w:rsidR="00F21509" w:rsidRPr="0081080E">
        <w:rPr>
          <w:lang w:eastAsia="en-AU"/>
        </w:rPr>
        <w:t xml:space="preserve"> High levels of referral uptake were evident, with 12/20 (60.0%) of those who were referred to their STCA subsequently contacting their STCA</w:t>
      </w:r>
      <w:r w:rsidR="00291A2D">
        <w:rPr>
          <w:lang w:eastAsia="en-AU"/>
        </w:rPr>
        <w:t>,</w:t>
      </w:r>
      <w:r w:rsidR="00F21509" w:rsidRPr="0081080E">
        <w:rPr>
          <w:lang w:eastAsia="en-AU"/>
        </w:rPr>
        <w:t xml:space="preserve"> and 7/</w:t>
      </w:r>
      <w:r w:rsidR="00421866" w:rsidRPr="0081080E">
        <w:rPr>
          <w:lang w:eastAsia="en-AU"/>
        </w:rPr>
        <w:t xml:space="preserve">9 </w:t>
      </w:r>
      <w:r w:rsidR="004E6892">
        <w:rPr>
          <w:lang w:eastAsia="en-AU"/>
        </w:rPr>
        <w:t>(77.</w:t>
      </w:r>
      <w:r w:rsidR="008A6C81">
        <w:rPr>
          <w:lang w:eastAsia="en-AU"/>
        </w:rPr>
        <w:t>8</w:t>
      </w:r>
      <w:r w:rsidR="004E6892">
        <w:rPr>
          <w:lang w:eastAsia="en-AU"/>
        </w:rPr>
        <w:t>%)</w:t>
      </w:r>
      <w:r w:rsidR="00421866" w:rsidRPr="0081080E">
        <w:rPr>
          <w:lang w:eastAsia="en-AU"/>
        </w:rPr>
        <w:t>of</w:t>
      </w:r>
      <w:r w:rsidR="00F21509" w:rsidRPr="0081080E">
        <w:rPr>
          <w:lang w:eastAsia="en-AU"/>
        </w:rPr>
        <w:t xml:space="preserve"> those referred to another</w:t>
      </w:r>
      <w:r>
        <w:rPr>
          <w:lang w:eastAsia="en-AU"/>
        </w:rPr>
        <w:t xml:space="preserve"> service </w:t>
      </w:r>
      <w:r w:rsidR="00291A2D">
        <w:rPr>
          <w:lang w:eastAsia="en-AU"/>
        </w:rPr>
        <w:t xml:space="preserve">subsequently </w:t>
      </w:r>
      <w:r>
        <w:rPr>
          <w:lang w:eastAsia="en-AU"/>
        </w:rPr>
        <w:t>contacting that service.</w:t>
      </w:r>
      <w:r w:rsidR="008E7495" w:rsidRPr="00B43607">
        <w:t xml:space="preserve"> </w:t>
      </w:r>
    </w:p>
    <w:tbl>
      <w:tblPr>
        <w:tblStyle w:val="TableGrid"/>
        <w:tblW w:w="0" w:type="auto"/>
        <w:tblInd w:w="108" w:type="dxa"/>
        <w:tblBorders>
          <w:top w:val="single" w:sz="4" w:space="0" w:color="0079C1" w:themeColor="text2"/>
          <w:left w:val="single" w:sz="4" w:space="0" w:color="0079C1" w:themeColor="text2"/>
          <w:bottom w:val="single" w:sz="4" w:space="0" w:color="0079C1" w:themeColor="text2"/>
          <w:right w:val="single" w:sz="4" w:space="0" w:color="0079C1" w:themeColor="text2"/>
          <w:insideH w:val="none" w:sz="0" w:space="0" w:color="auto"/>
          <w:insideV w:val="none" w:sz="0" w:space="0" w:color="auto"/>
        </w:tblBorders>
        <w:shd w:val="clear" w:color="auto" w:fill="E2F4FF" w:themeFill="accent1" w:themeFillTint="33"/>
        <w:tblLook w:val="04A0" w:firstRow="1" w:lastRow="0" w:firstColumn="1" w:lastColumn="0" w:noHBand="0" w:noVBand="1"/>
        <w:tblCaption w:val="Key finding:"/>
        <w:tblDescription w:val="Key finding:&#10;• One-third of client interactions (34.0%) with IAA resulted in some form of referral (Table 5-7).  However, information on client satisfaction with these referrals is not available from internal or external sources&#10;• Survey responses showed that only 9.1% of all parental respondents indicated that they had received a referral to their STCA and only 4.1% to another service (Section 6.2.2).  High levels of referral uptake were evident, with 12/20 (60.0%) of those who were referred to their STCA subsequently contacting their STCA and 7/9 (77.8%) of those referred to another service contacting that service.  &#10;"/>
      </w:tblPr>
      <w:tblGrid>
        <w:gridCol w:w="9237"/>
      </w:tblGrid>
      <w:tr w:rsidR="00B43607" w:rsidRPr="00B43607" w14:paraId="5F66F4B5" w14:textId="77777777" w:rsidTr="004E43C8">
        <w:trPr>
          <w:tblHeader/>
        </w:trPr>
        <w:tc>
          <w:tcPr>
            <w:tcW w:w="9349" w:type="dxa"/>
            <w:shd w:val="clear" w:color="auto" w:fill="C6E9FF" w:themeFill="accent1" w:themeFillTint="66"/>
          </w:tcPr>
          <w:p w14:paraId="1519E1DF" w14:textId="592E836B" w:rsidR="00B43607" w:rsidRPr="008A1452" w:rsidRDefault="00B43607" w:rsidP="005762AD">
            <w:pPr>
              <w:pStyle w:val="Heading4"/>
              <w:outlineLvl w:val="3"/>
              <w:rPr>
                <w:color w:val="auto"/>
                <w:lang w:val="en-AU"/>
              </w:rPr>
            </w:pPr>
            <w:r w:rsidRPr="008A1452">
              <w:rPr>
                <w:color w:val="auto"/>
                <w:lang w:val="en-AU"/>
              </w:rPr>
              <w:lastRenderedPageBreak/>
              <w:t>Key finding:</w:t>
            </w:r>
          </w:p>
          <w:p w14:paraId="14401C8D" w14:textId="4908A3C8" w:rsidR="00394227" w:rsidRDefault="00394227" w:rsidP="00394227">
            <w:pPr>
              <w:pStyle w:val="Bullet1"/>
            </w:pPr>
            <w:r w:rsidRPr="00BB05AF">
              <w:t>One-third of client interactions (34.0%) with IAA resulted in some form of referral (</w:t>
            </w:r>
            <w:r w:rsidR="008A6C81">
              <w:rPr>
                <w:rStyle w:val="Emphasis"/>
              </w:rPr>
              <w:t>Table 5-7</w:t>
            </w:r>
            <w:r w:rsidRPr="00BB05AF">
              <w:rPr>
                <w:rStyle w:val="Emphasis"/>
              </w:rPr>
              <w:t>)</w:t>
            </w:r>
            <w:r w:rsidRPr="00BB05AF">
              <w:t xml:space="preserve">.  However, </w:t>
            </w:r>
            <w:r w:rsidR="00CF71F3">
              <w:t xml:space="preserve">information on </w:t>
            </w:r>
            <w:r w:rsidRPr="00BB05AF">
              <w:t xml:space="preserve">client </w:t>
            </w:r>
            <w:r w:rsidRPr="004C4DA2">
              <w:t>satisfaction with these referrals</w:t>
            </w:r>
            <w:r w:rsidR="00CF71F3" w:rsidRPr="004C4DA2">
              <w:t xml:space="preserve"> is not available from internal or external sources</w:t>
            </w:r>
          </w:p>
          <w:p w14:paraId="1CFADFC3" w14:textId="6F7B23F3" w:rsidR="00B43607" w:rsidRPr="002F6F1C" w:rsidRDefault="004C4DA2" w:rsidP="002F6F1C">
            <w:pPr>
              <w:pStyle w:val="Bullet1"/>
            </w:pPr>
            <w:r w:rsidRPr="004C4DA2">
              <w:t>Survey responses showed that only 9.1% of all parental respondents indicat</w:t>
            </w:r>
            <w:r w:rsidR="00AA60D0">
              <w:t>ed</w:t>
            </w:r>
            <w:r w:rsidRPr="004C4DA2">
              <w:t xml:space="preserve"> that they had received a referral to their STCA and only 4.1% to another service (</w:t>
            </w:r>
            <w:r w:rsidRPr="004C4DA2">
              <w:rPr>
                <w:rStyle w:val="Emphasis"/>
              </w:rPr>
              <w:t xml:space="preserve">Section </w:t>
            </w:r>
            <w:r w:rsidRPr="004C4DA2">
              <w:rPr>
                <w:rStyle w:val="Emphasis"/>
              </w:rPr>
              <w:fldChar w:fldCharType="begin"/>
            </w:r>
            <w:r w:rsidRPr="005A4ECF">
              <w:rPr>
                <w:rStyle w:val="Emphasis"/>
              </w:rPr>
              <w:instrText xml:space="preserve"> REF _Ref463031409 \r \h  \* MERGEFORMAT </w:instrText>
            </w:r>
            <w:r w:rsidRPr="004C4DA2">
              <w:rPr>
                <w:rStyle w:val="Emphasis"/>
              </w:rPr>
            </w:r>
            <w:r w:rsidRPr="004C4DA2">
              <w:rPr>
                <w:rStyle w:val="Emphasis"/>
              </w:rPr>
              <w:fldChar w:fldCharType="separate"/>
            </w:r>
            <w:r w:rsidR="00487073">
              <w:rPr>
                <w:rStyle w:val="Emphasis"/>
              </w:rPr>
              <w:t>6.2.2</w:t>
            </w:r>
            <w:r w:rsidRPr="004C4DA2">
              <w:rPr>
                <w:rStyle w:val="Emphasis"/>
              </w:rPr>
              <w:fldChar w:fldCharType="end"/>
            </w:r>
            <w:r w:rsidRPr="004C4DA2">
              <w:t>).  High levels of referral uptake w</w:t>
            </w:r>
            <w:r w:rsidRPr="005A4ECF">
              <w:t xml:space="preserve">ere evident, with 12/20 (60.0%) of those who were referred to their STCA subsequently </w:t>
            </w:r>
            <w:r w:rsidRPr="00012D1D">
              <w:t>c</w:t>
            </w:r>
            <w:r w:rsidRPr="00394227">
              <w:t xml:space="preserve">ontacting their STCA and 7/9 </w:t>
            </w:r>
            <w:r w:rsidR="008A6C81">
              <w:t xml:space="preserve">(77.8%) </w:t>
            </w:r>
            <w:r w:rsidRPr="00394227">
              <w:t>of those referred to another service contacting that service.</w:t>
            </w:r>
            <w:r>
              <w:t xml:space="preserve">  </w:t>
            </w:r>
          </w:p>
        </w:tc>
      </w:tr>
    </w:tbl>
    <w:p w14:paraId="62920899" w14:textId="77777777" w:rsidR="00B43607" w:rsidRPr="00B43607" w:rsidRDefault="00B43607" w:rsidP="00F23C50">
      <w:pPr>
        <w:pStyle w:val="Heading4"/>
      </w:pPr>
      <w:r w:rsidRPr="00B43607">
        <w:t>Measure 3:  Fewer than 5% of calls or emails are complaints about the service</w:t>
      </w:r>
    </w:p>
    <w:p w14:paraId="1760BEC9" w14:textId="77777777" w:rsidR="00B43607" w:rsidRPr="00B43607" w:rsidRDefault="00B43607" w:rsidP="00F23C50">
      <w:pPr>
        <w:pStyle w:val="Paragraph"/>
      </w:pPr>
      <w:r w:rsidRPr="00B43607">
        <w:t>IAA client data indicates that no complaints were received about the IAA service between May 2015 and May 2016.</w:t>
      </w:r>
    </w:p>
    <w:tbl>
      <w:tblPr>
        <w:tblStyle w:val="TableGrid"/>
        <w:tblW w:w="0" w:type="auto"/>
        <w:tblInd w:w="108" w:type="dxa"/>
        <w:tblBorders>
          <w:top w:val="single" w:sz="4" w:space="0" w:color="0079C1" w:themeColor="text2"/>
          <w:left w:val="single" w:sz="4" w:space="0" w:color="0079C1" w:themeColor="text2"/>
          <w:bottom w:val="single" w:sz="4" w:space="0" w:color="0079C1" w:themeColor="text2"/>
          <w:right w:val="single" w:sz="4" w:space="0" w:color="0079C1" w:themeColor="text2"/>
          <w:insideH w:val="none" w:sz="0" w:space="0" w:color="auto"/>
          <w:insideV w:val="none" w:sz="0" w:space="0" w:color="auto"/>
        </w:tblBorders>
        <w:shd w:val="clear" w:color="auto" w:fill="E2F4FF" w:themeFill="accent1" w:themeFillTint="33"/>
        <w:tblLook w:val="04A0" w:firstRow="1" w:lastRow="0" w:firstColumn="1" w:lastColumn="0" w:noHBand="0" w:noVBand="1"/>
        <w:tblCaption w:val="Key findings:"/>
        <w:tblDescription w:val="Key findings:&#10;• No complaints were received about the IAA service between May 2015 and May 2016&#10;"/>
      </w:tblPr>
      <w:tblGrid>
        <w:gridCol w:w="9237"/>
      </w:tblGrid>
      <w:tr w:rsidR="00B43607" w:rsidRPr="00B43607" w14:paraId="1E3D426E" w14:textId="77777777" w:rsidTr="004E43C8">
        <w:trPr>
          <w:tblHeader/>
        </w:trPr>
        <w:tc>
          <w:tcPr>
            <w:tcW w:w="9349" w:type="dxa"/>
            <w:shd w:val="clear" w:color="auto" w:fill="E2F4FF" w:themeFill="accent1" w:themeFillTint="33"/>
          </w:tcPr>
          <w:p w14:paraId="7583D964" w14:textId="77777777" w:rsidR="00B43607" w:rsidRPr="008A1452" w:rsidRDefault="00B43607" w:rsidP="005762AD">
            <w:pPr>
              <w:pStyle w:val="Heading4"/>
              <w:outlineLvl w:val="3"/>
              <w:rPr>
                <w:color w:val="auto"/>
                <w:lang w:val="en-AU"/>
              </w:rPr>
            </w:pPr>
            <w:r w:rsidRPr="008A1452">
              <w:rPr>
                <w:color w:val="auto"/>
                <w:lang w:val="en-AU"/>
              </w:rPr>
              <w:t>Key findings:</w:t>
            </w:r>
          </w:p>
          <w:p w14:paraId="5E37D041" w14:textId="77777777" w:rsidR="00B43607" w:rsidRPr="00B43607" w:rsidRDefault="00B43607" w:rsidP="005762AD">
            <w:pPr>
              <w:pStyle w:val="Bullet1"/>
              <w:rPr>
                <w:lang w:val="en-AU"/>
              </w:rPr>
            </w:pPr>
            <w:r w:rsidRPr="00B43607">
              <w:rPr>
                <w:lang w:val="en-AU"/>
              </w:rPr>
              <w:t>No complaints were received about the IAA service between May 2015 and May 2016</w:t>
            </w:r>
          </w:p>
        </w:tc>
      </w:tr>
    </w:tbl>
    <w:p w14:paraId="008A1398" w14:textId="77777777" w:rsidR="00B43607" w:rsidRPr="00B43607" w:rsidRDefault="00B43607" w:rsidP="005762AD">
      <w:pPr>
        <w:pStyle w:val="Heading4"/>
      </w:pPr>
      <w:r w:rsidRPr="00B43607">
        <w:t>Measure 4:  Fewer than 10% of calls and emails are complaints about ICA processes</w:t>
      </w:r>
    </w:p>
    <w:p w14:paraId="4C1E69DC" w14:textId="6874785C" w:rsidR="00B43607" w:rsidRPr="00B43607" w:rsidRDefault="00B43607" w:rsidP="00C4255F">
      <w:pPr>
        <w:pStyle w:val="Paragraph"/>
      </w:pPr>
      <w:r w:rsidRPr="00B43607">
        <w:t>IAA client data indicates that three calls/emails were received from one client which were complaints about the ICA processes (0.07% overall)</w:t>
      </w:r>
      <w:r w:rsidR="006E5B34">
        <w:t>.</w:t>
      </w:r>
    </w:p>
    <w:tbl>
      <w:tblPr>
        <w:tblStyle w:val="TableGrid"/>
        <w:tblW w:w="9392" w:type="dxa"/>
        <w:tblInd w:w="108" w:type="dxa"/>
        <w:tblBorders>
          <w:top w:val="single" w:sz="4" w:space="0" w:color="0079C1" w:themeColor="text2"/>
          <w:left w:val="single" w:sz="4" w:space="0" w:color="0079C1" w:themeColor="text2"/>
          <w:bottom w:val="single" w:sz="4" w:space="0" w:color="0079C1" w:themeColor="text2"/>
          <w:right w:val="single" w:sz="4" w:space="0" w:color="0079C1" w:themeColor="text2"/>
          <w:insideH w:val="none" w:sz="0" w:space="0" w:color="auto"/>
          <w:insideV w:val="none" w:sz="0" w:space="0" w:color="auto"/>
        </w:tblBorders>
        <w:shd w:val="clear" w:color="auto" w:fill="E2F4FF" w:themeFill="accent1" w:themeFillTint="33"/>
        <w:tblLook w:val="04A0" w:firstRow="1" w:lastRow="0" w:firstColumn="1" w:lastColumn="0" w:noHBand="0" w:noVBand="1"/>
        <w:tblCaption w:val="Key findings:"/>
        <w:tblDescription w:val="Key findings:&#10;• Less than 1% of calls and emails are complaints about ICA processes&#10;"/>
      </w:tblPr>
      <w:tblGrid>
        <w:gridCol w:w="9392"/>
      </w:tblGrid>
      <w:tr w:rsidR="00B43607" w:rsidRPr="00B43607" w14:paraId="56042664" w14:textId="77777777" w:rsidTr="004E43C8">
        <w:trPr>
          <w:cantSplit/>
          <w:tblHeader/>
        </w:trPr>
        <w:tc>
          <w:tcPr>
            <w:tcW w:w="9392" w:type="dxa"/>
            <w:shd w:val="clear" w:color="auto" w:fill="E2F4FF" w:themeFill="accent1" w:themeFillTint="33"/>
          </w:tcPr>
          <w:p w14:paraId="45D00D3E" w14:textId="77777777" w:rsidR="00B43607" w:rsidRPr="008A1452" w:rsidRDefault="00B43607" w:rsidP="005762AD">
            <w:pPr>
              <w:pStyle w:val="Heading4"/>
              <w:outlineLvl w:val="3"/>
              <w:rPr>
                <w:color w:val="auto"/>
                <w:lang w:val="en-AU"/>
              </w:rPr>
            </w:pPr>
            <w:r w:rsidRPr="008A1452">
              <w:rPr>
                <w:color w:val="auto"/>
                <w:lang w:val="en-AU"/>
              </w:rPr>
              <w:t>Key findings:</w:t>
            </w:r>
          </w:p>
          <w:p w14:paraId="5998CD2D" w14:textId="4F2A2090" w:rsidR="00B43607" w:rsidRPr="00B43607" w:rsidRDefault="00443D9C" w:rsidP="00443D9C">
            <w:pPr>
              <w:pStyle w:val="Bullet1"/>
              <w:rPr>
                <w:lang w:val="en-AU"/>
              </w:rPr>
            </w:pPr>
            <w:r>
              <w:rPr>
                <w:lang w:val="en-AU"/>
              </w:rPr>
              <w:t>Less than 1% of</w:t>
            </w:r>
            <w:r w:rsidRPr="00443D9C">
              <w:rPr>
                <w:lang w:val="en-AU"/>
              </w:rPr>
              <w:t xml:space="preserve"> calls and emails are complaints about ICA processes</w:t>
            </w:r>
          </w:p>
        </w:tc>
      </w:tr>
    </w:tbl>
    <w:p w14:paraId="0A5D8A9F" w14:textId="1EE17984" w:rsidR="00B43607" w:rsidRPr="00B43607" w:rsidRDefault="00B43607" w:rsidP="005F4486">
      <w:pPr>
        <w:pStyle w:val="Heading3"/>
      </w:pPr>
      <w:r w:rsidRPr="00B43607">
        <w:t>STCA feedback</w:t>
      </w:r>
    </w:p>
    <w:p w14:paraId="419BBAEC" w14:textId="6E1C6386" w:rsidR="00B43607" w:rsidRPr="00B43607" w:rsidRDefault="00B43607" w:rsidP="005F4486">
      <w:pPr>
        <w:pStyle w:val="Paragraph"/>
        <w:rPr>
          <w:lang w:eastAsia="en-AU"/>
        </w:rPr>
      </w:pPr>
      <w:r w:rsidRPr="00B43607">
        <w:rPr>
          <w:lang w:eastAsia="en-AU"/>
        </w:rPr>
        <w:t>Representatives from all eight STCAs provided input to the evaluation</w:t>
      </w:r>
      <w:r w:rsidR="000F33B0">
        <w:rPr>
          <w:lang w:eastAsia="en-AU"/>
        </w:rPr>
        <w:t xml:space="preserve"> in June/July 2016</w:t>
      </w:r>
      <w:r w:rsidRPr="00B43607">
        <w:rPr>
          <w:lang w:eastAsia="en-AU"/>
        </w:rPr>
        <w:t xml:space="preserve">.  </w:t>
      </w:r>
    </w:p>
    <w:p w14:paraId="0E5EBC50" w14:textId="77777777" w:rsidR="00B43607" w:rsidRPr="00B43607" w:rsidRDefault="00B43607" w:rsidP="005F4486">
      <w:pPr>
        <w:pStyle w:val="ParagraphKeep"/>
        <w:rPr>
          <w:lang w:eastAsia="en-AU"/>
        </w:rPr>
      </w:pPr>
      <w:r w:rsidRPr="00B43607">
        <w:rPr>
          <w:lang w:eastAsia="en-AU"/>
        </w:rPr>
        <w:t>Consultations with STCA representatives indicated that at jurisdictional level:</w:t>
      </w:r>
    </w:p>
    <w:p w14:paraId="636B14F7" w14:textId="5FC45876" w:rsidR="00B43607" w:rsidRPr="00B43607" w:rsidRDefault="00B43607" w:rsidP="005F4486">
      <w:pPr>
        <w:pStyle w:val="Bullet1"/>
      </w:pPr>
      <w:r w:rsidRPr="00B43607">
        <w:t xml:space="preserve">STCA functions </w:t>
      </w:r>
      <w:r w:rsidR="006E5B34">
        <w:t xml:space="preserve">are </w:t>
      </w:r>
      <w:r w:rsidRPr="00B43607">
        <w:t>located within different sections of the jurisdictional structure (</w:t>
      </w:r>
      <w:r w:rsidRPr="000F33B0">
        <w:rPr>
          <w:rStyle w:val="Emphasis"/>
        </w:rPr>
        <w:t>Section</w:t>
      </w:r>
      <w:r w:rsidR="000F33B0" w:rsidRPr="000F33B0">
        <w:rPr>
          <w:rStyle w:val="Emphasis"/>
        </w:rPr>
        <w:t xml:space="preserve"> </w:t>
      </w:r>
      <w:r w:rsidR="000F33B0" w:rsidRPr="000F33B0">
        <w:rPr>
          <w:rStyle w:val="Emphasis"/>
        </w:rPr>
        <w:fldChar w:fldCharType="begin"/>
      </w:r>
      <w:r w:rsidR="000F33B0" w:rsidRPr="000F33B0">
        <w:rPr>
          <w:rStyle w:val="Emphasis"/>
        </w:rPr>
        <w:instrText xml:space="preserve"> REF _Ref463004488 \r \h </w:instrText>
      </w:r>
      <w:r w:rsidR="000F33B0">
        <w:rPr>
          <w:rStyle w:val="Emphasis"/>
        </w:rPr>
        <w:instrText xml:space="preserve"> \* MERGEFORMAT </w:instrText>
      </w:r>
      <w:r w:rsidR="000F33B0" w:rsidRPr="000F33B0">
        <w:rPr>
          <w:rStyle w:val="Emphasis"/>
        </w:rPr>
      </w:r>
      <w:r w:rsidR="000F33B0" w:rsidRPr="000F33B0">
        <w:rPr>
          <w:rStyle w:val="Emphasis"/>
        </w:rPr>
        <w:fldChar w:fldCharType="separate"/>
      </w:r>
      <w:r w:rsidR="00487073">
        <w:rPr>
          <w:rStyle w:val="Emphasis"/>
        </w:rPr>
        <w:t>3.3.3</w:t>
      </w:r>
      <w:r w:rsidR="000F33B0" w:rsidRPr="000F33B0">
        <w:rPr>
          <w:rStyle w:val="Emphasis"/>
        </w:rPr>
        <w:fldChar w:fldCharType="end"/>
      </w:r>
      <w:r w:rsidRPr="00B43607">
        <w:t xml:space="preserve">) </w:t>
      </w:r>
    </w:p>
    <w:p w14:paraId="1E1021A6" w14:textId="77777777" w:rsidR="00B43607" w:rsidRPr="00B43607" w:rsidRDefault="00B43607" w:rsidP="005F4486">
      <w:pPr>
        <w:pStyle w:val="Bullet1"/>
      </w:pPr>
      <w:r w:rsidRPr="00B43607">
        <w:t>Responsibility for ICA ranged from individual staff members to small teams, depending on the size of the jurisdiction</w:t>
      </w:r>
    </w:p>
    <w:p w14:paraId="6BE78F94" w14:textId="27DEBFC2" w:rsidR="00B43607" w:rsidRPr="00B43607" w:rsidRDefault="00B43607" w:rsidP="005F4486">
      <w:pPr>
        <w:pStyle w:val="Bullet1"/>
      </w:pPr>
      <w:r w:rsidRPr="00B43607">
        <w:t>Duration in role of representatives who participated also differed, ranging from th</w:t>
      </w:r>
      <w:r w:rsidR="00393CB6">
        <w:t>ose who have been involved in IC</w:t>
      </w:r>
      <w:r w:rsidRPr="00B43607">
        <w:t>A for over 10 years to those who were only two weeks in</w:t>
      </w:r>
      <w:r w:rsidR="00393CB6">
        <w:t>to</w:t>
      </w:r>
      <w:r w:rsidRPr="00B43607">
        <w:t xml:space="preserve"> their role.</w:t>
      </w:r>
    </w:p>
    <w:p w14:paraId="2D7C1C66" w14:textId="3764A67D" w:rsidR="00B43607" w:rsidRPr="00B43607" w:rsidRDefault="00B43607" w:rsidP="005F4486">
      <w:pPr>
        <w:pStyle w:val="Bullet1"/>
      </w:pPr>
      <w:r w:rsidRPr="00B43607">
        <w:t>Staff turnover at STCA level meant that</w:t>
      </w:r>
      <w:r w:rsidR="00291A2D">
        <w:t>,</w:t>
      </w:r>
      <w:r w:rsidRPr="00B43607">
        <w:t xml:space="preserve"> in some jurisdictions</w:t>
      </w:r>
      <w:r w:rsidR="00291A2D">
        <w:t>,</w:t>
      </w:r>
      <w:r w:rsidRPr="00B43607">
        <w:t xml:space="preserve"> staff involved in the initial implementation of IAA were no longer in these roles and were therefore unable to contribute to the evaluation.</w:t>
      </w:r>
    </w:p>
    <w:p w14:paraId="0D5A43CF" w14:textId="1F8CC9A1" w:rsidR="00B43607" w:rsidRPr="00B43607" w:rsidRDefault="00B43607" w:rsidP="005F4486">
      <w:pPr>
        <w:pStyle w:val="Paragraph"/>
        <w:rPr>
          <w:lang w:eastAsia="en-AU"/>
        </w:rPr>
      </w:pPr>
      <w:r w:rsidRPr="00B43607">
        <w:rPr>
          <w:lang w:eastAsia="en-AU"/>
        </w:rPr>
        <w:t>These contextual differences impacted both the scale and depth of STCA responses</w:t>
      </w:r>
      <w:r w:rsidR="006626DA">
        <w:rPr>
          <w:lang w:eastAsia="en-AU"/>
        </w:rPr>
        <w:t xml:space="preserve"> as respondents had different levels of knowledge and understanding of IAA and its role</w:t>
      </w:r>
      <w:r w:rsidRPr="00B43607">
        <w:rPr>
          <w:lang w:eastAsia="en-AU"/>
        </w:rPr>
        <w:t xml:space="preserve">.  </w:t>
      </w:r>
    </w:p>
    <w:p w14:paraId="5AE80C01" w14:textId="77777777" w:rsidR="00B43607" w:rsidRPr="00B43607" w:rsidRDefault="00B43607" w:rsidP="005F4486">
      <w:pPr>
        <w:pStyle w:val="Paragraph"/>
        <w:rPr>
          <w:lang w:eastAsia="en-AU"/>
        </w:rPr>
      </w:pPr>
      <w:r w:rsidRPr="00B43607">
        <w:rPr>
          <w:lang w:eastAsia="en-AU"/>
        </w:rPr>
        <w:lastRenderedPageBreak/>
        <w:t xml:space="preserve">Findings associated with each of the two STCA-related measures are discussed in the following sections. </w:t>
      </w:r>
    </w:p>
    <w:p w14:paraId="132157DC" w14:textId="02CFA983" w:rsidR="00B43607" w:rsidRPr="00B43607" w:rsidRDefault="00B43607" w:rsidP="005F4486">
      <w:pPr>
        <w:pStyle w:val="Heading4"/>
      </w:pPr>
      <w:r w:rsidRPr="00B43607">
        <w:t xml:space="preserve">Measure </w:t>
      </w:r>
      <w:r w:rsidR="00443D9C">
        <w:t>B</w:t>
      </w:r>
      <w:r w:rsidRPr="00B43607">
        <w:t>1</w:t>
      </w:r>
      <w:r w:rsidR="00443D9C">
        <w:t>a</w:t>
      </w:r>
      <w:r w:rsidRPr="00B43607">
        <w:t>:  STCAs report the service is improving people’s understanding and expectations about ICA</w:t>
      </w:r>
    </w:p>
    <w:p w14:paraId="01345011" w14:textId="292CC5EF" w:rsidR="00B43607" w:rsidRPr="00B43607" w:rsidRDefault="00B43607" w:rsidP="005F4486">
      <w:pPr>
        <w:pStyle w:val="ParagraphKeep"/>
      </w:pPr>
      <w:r w:rsidRPr="00B43607">
        <w:t xml:space="preserve">Discussions with STCA representatives highlighted a lack of clarity at STCA and client level regarding the role of IAA in ICA.  This perception </w:t>
      </w:r>
      <w:r w:rsidR="00F84C68">
        <w:t xml:space="preserve">may have been </w:t>
      </w:r>
      <w:r w:rsidR="00CC7FFC">
        <w:t>influenced</w:t>
      </w:r>
      <w:r w:rsidR="00CC7FFC" w:rsidRPr="00B43607">
        <w:t xml:space="preserve"> </w:t>
      </w:r>
      <w:r w:rsidRPr="00B43607">
        <w:t>by:</w:t>
      </w:r>
    </w:p>
    <w:p w14:paraId="4EF0580B" w14:textId="433FE45D" w:rsidR="00B43607" w:rsidRPr="00B43607" w:rsidRDefault="006130F3" w:rsidP="004577BC">
      <w:pPr>
        <w:pStyle w:val="Bullet1"/>
      </w:pPr>
      <w:r>
        <w:t>A</w:t>
      </w:r>
      <w:r w:rsidR="00393CB6">
        <w:t xml:space="preserve"> Commonwealth-s</w:t>
      </w:r>
      <w:r w:rsidR="00B43607" w:rsidRPr="00B43607">
        <w:t xml:space="preserve">tate agreement </w:t>
      </w:r>
      <w:r>
        <w:t xml:space="preserve">that pre-dated the establishment of IAA and which did not </w:t>
      </w:r>
      <w:r w:rsidR="00B43607" w:rsidRPr="00B43607">
        <w:t>document IAA’s role</w:t>
      </w:r>
      <w:r>
        <w:t xml:space="preserve"> or</w:t>
      </w:r>
      <w:r w:rsidR="00B43607" w:rsidRPr="00B43607">
        <w:t xml:space="preserve"> govern relationships between stakeholders</w:t>
      </w:r>
      <w:r w:rsidR="004577BC">
        <w:t>.</w:t>
      </w:r>
      <w:r w:rsidR="00B43607" w:rsidRPr="00B43607">
        <w:t xml:space="preserve"> </w:t>
      </w:r>
      <w:r w:rsidR="007E0AFC" w:rsidRPr="007E0AFC">
        <w:t xml:space="preserve"> </w:t>
      </w:r>
      <w:r w:rsidR="007E0AFC" w:rsidRPr="00B43607">
        <w:t xml:space="preserve">It should be noted that in </w:t>
      </w:r>
      <w:r w:rsidR="007E0AFC">
        <w:t>April 2016</w:t>
      </w:r>
      <w:r w:rsidR="007E0AFC" w:rsidRPr="00B43607">
        <w:t>, an agreement was made to review the Commonwealth-state agreement and thus develop a process to formalise IAA’s role.</w:t>
      </w:r>
    </w:p>
    <w:p w14:paraId="756E7CDB" w14:textId="01E967CC" w:rsidR="00B43607" w:rsidRPr="00B43607" w:rsidRDefault="00B43607" w:rsidP="005F4486">
      <w:pPr>
        <w:pStyle w:val="Bullet1"/>
      </w:pPr>
      <w:r w:rsidRPr="00B43607">
        <w:t xml:space="preserve">Media coverage during the early implementation phase that generated unrealistic expectations of ICA processes. </w:t>
      </w:r>
    </w:p>
    <w:p w14:paraId="2AB8C137" w14:textId="77777777" w:rsidR="00B43607" w:rsidRPr="00B43607" w:rsidRDefault="00B43607" w:rsidP="005F4486">
      <w:pPr>
        <w:pStyle w:val="ParagraphKeep"/>
      </w:pPr>
      <w:r w:rsidRPr="00B43607">
        <w:t>Nonetheless, a number of STCA representatives acknowledged IAA’s dual role in improving their understanding of ICA as well as the understanding of their clients:</w:t>
      </w:r>
    </w:p>
    <w:p w14:paraId="0CD924F0" w14:textId="41292FBE" w:rsidR="00B43607" w:rsidRPr="00B43607" w:rsidRDefault="00B43607" w:rsidP="005F4486">
      <w:pPr>
        <w:pStyle w:val="Quote"/>
        <w:rPr>
          <w:lang w:eastAsia="en-AU"/>
        </w:rPr>
      </w:pPr>
      <w:r w:rsidRPr="00B43607">
        <w:rPr>
          <w:lang w:eastAsia="en-AU"/>
        </w:rPr>
        <w:t xml:space="preserve">“From a </w:t>
      </w:r>
      <w:r w:rsidR="004577BC" w:rsidRPr="00B43607">
        <w:rPr>
          <w:lang w:eastAsia="en-AU"/>
        </w:rPr>
        <w:t>worker’s</w:t>
      </w:r>
      <w:r w:rsidRPr="00B43607">
        <w:rPr>
          <w:lang w:eastAsia="en-AU"/>
        </w:rPr>
        <w:t xml:space="preserve"> point of </w:t>
      </w:r>
      <w:r w:rsidR="004577BC" w:rsidRPr="00B43607">
        <w:rPr>
          <w:lang w:eastAsia="en-AU"/>
        </w:rPr>
        <w:t>view,</w:t>
      </w:r>
      <w:r w:rsidRPr="00B43607">
        <w:rPr>
          <w:lang w:eastAsia="en-AU"/>
        </w:rPr>
        <w:t xml:space="preserve"> we find it useful.  We direct everyone who enquires to the website at the early stages.  I think having all the program information in one central spot is very useful rather than every state and territory having their own version” </w:t>
      </w:r>
    </w:p>
    <w:p w14:paraId="016AC962" w14:textId="77777777" w:rsidR="00B43607" w:rsidRPr="00B43607" w:rsidRDefault="00B43607" w:rsidP="005F4486">
      <w:pPr>
        <w:pStyle w:val="Quote"/>
      </w:pPr>
      <w:r w:rsidRPr="00B43607">
        <w:t>“I</w:t>
      </w:r>
      <w:r w:rsidRPr="00B43607">
        <w:rPr>
          <w:lang w:eastAsia="en-AU"/>
        </w:rPr>
        <w:t>t’s great for me as there are so many countries to know all the criteria for</w:t>
      </w:r>
      <w:r w:rsidRPr="00B43607">
        <w:t>”</w:t>
      </w:r>
    </w:p>
    <w:p w14:paraId="78BC5EEF" w14:textId="77777777" w:rsidR="00B43607" w:rsidRPr="00B43607" w:rsidRDefault="00B43607" w:rsidP="005F4486">
      <w:pPr>
        <w:pStyle w:val="Quote"/>
      </w:pPr>
      <w:r w:rsidRPr="00B43607">
        <w:t>“It’s been supportive.  It provides good information for my clients and for me.  I’m quite happy with it”</w:t>
      </w:r>
    </w:p>
    <w:p w14:paraId="6D92E8B7" w14:textId="77777777" w:rsidR="00B43607" w:rsidRPr="00B43607" w:rsidRDefault="00B43607" w:rsidP="005F4486">
      <w:pPr>
        <w:pStyle w:val="Quote"/>
      </w:pPr>
      <w:r w:rsidRPr="00B43607">
        <w:t xml:space="preserve">“We now have one place they can send clients to regarding the Commonwealth’s policy position”. </w:t>
      </w:r>
    </w:p>
    <w:p w14:paraId="0B03576A" w14:textId="4BB90348" w:rsidR="00B43607" w:rsidRDefault="00B43607" w:rsidP="005F4486">
      <w:pPr>
        <w:pStyle w:val="Paragraph"/>
      </w:pPr>
      <w:r w:rsidRPr="00B43607">
        <w:t xml:space="preserve">Overall, those based in the smaller jurisdictions tended to express more positive assessments of the role and contribution of the IAA than their larger counterparts.  </w:t>
      </w:r>
    </w:p>
    <w:tbl>
      <w:tblPr>
        <w:tblStyle w:val="TableGrid"/>
        <w:tblW w:w="0" w:type="auto"/>
        <w:tblInd w:w="108" w:type="dxa"/>
        <w:tblBorders>
          <w:top w:val="single" w:sz="4" w:space="0" w:color="0079C1" w:themeColor="text2"/>
          <w:left w:val="single" w:sz="4" w:space="0" w:color="0079C1" w:themeColor="text2"/>
          <w:bottom w:val="single" w:sz="4" w:space="0" w:color="0079C1" w:themeColor="text2"/>
          <w:right w:val="single" w:sz="4" w:space="0" w:color="0079C1" w:themeColor="text2"/>
          <w:insideH w:val="none" w:sz="0" w:space="0" w:color="auto"/>
          <w:insideV w:val="none" w:sz="0" w:space="0" w:color="auto"/>
        </w:tblBorders>
        <w:shd w:val="clear" w:color="auto" w:fill="E2F4FF" w:themeFill="accent1" w:themeFillTint="33"/>
        <w:tblLook w:val="04A0" w:firstRow="1" w:lastRow="0" w:firstColumn="1" w:lastColumn="0" w:noHBand="0" w:noVBand="1"/>
        <w:tblCaption w:val="Key findings:"/>
        <w:tblDescription w:val="Key findings:&#10;• Discussions with STCA representatives highlighted a lack of clarity at STCA and client levels regarding the role of IAA in ICA.  Possible reasons for this may include:&#10; The absence of a Commonwealth-state agreement to document IAA’s role and govern relationships between stakeholders &#10; Media coverage during the early implementation phase that generated unrealistic expectations of ICA processes &#10;• A number of STCA representatives acknowledged IAA’s dual role in improving their understanding of ICA as well as the understanding of their clients&#10;• Overall, those based in the smaller jurisdictions tended to express more positive assessments of the role and contribution of the IAA than their larger counterparts.  &#10;"/>
      </w:tblPr>
      <w:tblGrid>
        <w:gridCol w:w="9237"/>
      </w:tblGrid>
      <w:tr w:rsidR="00443D9C" w:rsidRPr="00B43607" w14:paraId="4CF11D55" w14:textId="77777777" w:rsidTr="004E43C8">
        <w:trPr>
          <w:tblHeader/>
        </w:trPr>
        <w:tc>
          <w:tcPr>
            <w:tcW w:w="9349" w:type="dxa"/>
            <w:shd w:val="clear" w:color="auto" w:fill="E2F4FF" w:themeFill="accent1" w:themeFillTint="33"/>
          </w:tcPr>
          <w:p w14:paraId="7DC6ED00" w14:textId="117C9192" w:rsidR="00443D9C" w:rsidRPr="008A1452" w:rsidRDefault="00443D9C" w:rsidP="00443D9C">
            <w:pPr>
              <w:pStyle w:val="Heading4"/>
              <w:outlineLvl w:val="3"/>
              <w:rPr>
                <w:color w:val="auto"/>
                <w:lang w:val="en-AU"/>
              </w:rPr>
            </w:pPr>
            <w:r w:rsidRPr="008A1452">
              <w:rPr>
                <w:color w:val="auto"/>
                <w:lang w:val="en-AU"/>
              </w:rPr>
              <w:lastRenderedPageBreak/>
              <w:t>Key findings:</w:t>
            </w:r>
          </w:p>
          <w:p w14:paraId="2235B32F" w14:textId="6C284EBC" w:rsidR="00443D9C" w:rsidRDefault="00443D9C" w:rsidP="00443D9C">
            <w:pPr>
              <w:pStyle w:val="Bullet1"/>
              <w:rPr>
                <w:lang w:val="en-AU"/>
              </w:rPr>
            </w:pPr>
            <w:r w:rsidRPr="00443D9C">
              <w:rPr>
                <w:lang w:val="en-AU"/>
              </w:rPr>
              <w:t>Discussions with STCA representatives highlighted a lack of clarity at STCA and client levels regarding the role of IAA in ICA</w:t>
            </w:r>
            <w:r w:rsidR="00CC7FFC">
              <w:rPr>
                <w:lang w:val="en-AU"/>
              </w:rPr>
              <w:t>.</w:t>
            </w:r>
            <w:r w:rsidR="00EB10C8">
              <w:rPr>
                <w:lang w:val="en-AU"/>
              </w:rPr>
              <w:t xml:space="preserve"> </w:t>
            </w:r>
            <w:r w:rsidR="00CC7FFC">
              <w:rPr>
                <w:lang w:val="en-AU"/>
              </w:rPr>
              <w:t xml:space="preserve"> Possible reasons for this may include:</w:t>
            </w:r>
          </w:p>
          <w:p w14:paraId="10426D1C" w14:textId="1E322830" w:rsidR="00443D9C" w:rsidRPr="00443D9C" w:rsidRDefault="00443D9C" w:rsidP="003A46CF">
            <w:pPr>
              <w:pStyle w:val="Bullet2"/>
              <w:rPr>
                <w:lang w:val="en-AU"/>
              </w:rPr>
            </w:pPr>
            <w:r w:rsidRPr="00443D9C">
              <w:rPr>
                <w:lang w:val="en-AU"/>
              </w:rPr>
              <w:t xml:space="preserve">The absence of a Commonwealth-state agreement to document IAA’s role and govern relationships between stakeholders </w:t>
            </w:r>
          </w:p>
          <w:p w14:paraId="5F607E7F" w14:textId="053C748F" w:rsidR="00443D9C" w:rsidRPr="00443D9C" w:rsidRDefault="00443D9C" w:rsidP="003A46CF">
            <w:pPr>
              <w:pStyle w:val="Bullet2"/>
              <w:rPr>
                <w:lang w:val="en-AU"/>
              </w:rPr>
            </w:pPr>
            <w:r w:rsidRPr="00443D9C">
              <w:rPr>
                <w:lang w:val="en-AU"/>
              </w:rPr>
              <w:t xml:space="preserve">Media coverage during the early implementation phase that generated unrealistic expectations of ICA processes </w:t>
            </w:r>
          </w:p>
          <w:p w14:paraId="2784A7A6" w14:textId="2F9FB2CC" w:rsidR="00443D9C" w:rsidRDefault="00443D9C" w:rsidP="00443D9C">
            <w:pPr>
              <w:pStyle w:val="Bullet1"/>
              <w:rPr>
                <w:lang w:val="en-AU"/>
              </w:rPr>
            </w:pPr>
            <w:r>
              <w:rPr>
                <w:lang w:val="en-AU"/>
              </w:rPr>
              <w:t>A</w:t>
            </w:r>
            <w:r w:rsidRPr="00443D9C">
              <w:rPr>
                <w:lang w:val="en-AU"/>
              </w:rPr>
              <w:t xml:space="preserve"> number of STCA representatives acknowledged IAA’s dual role in improving their understanding of ICA as well as the understanding of their clients</w:t>
            </w:r>
          </w:p>
          <w:p w14:paraId="537F1262" w14:textId="439F9E45" w:rsidR="00443D9C" w:rsidRPr="007E0AFC" w:rsidRDefault="00443D9C" w:rsidP="007E0AFC">
            <w:pPr>
              <w:pStyle w:val="Bullet1"/>
              <w:rPr>
                <w:lang w:val="en-AU"/>
              </w:rPr>
            </w:pPr>
            <w:r w:rsidRPr="00443D9C">
              <w:rPr>
                <w:lang w:val="en-AU"/>
              </w:rPr>
              <w:t xml:space="preserve">Overall, those based in the smaller jurisdictions tended to express more positive assessments of the role and contribution of the IAA than their larger counterparts.  </w:t>
            </w:r>
          </w:p>
        </w:tc>
      </w:tr>
    </w:tbl>
    <w:p w14:paraId="1A3D430B" w14:textId="5FF79BEF" w:rsidR="00B43607" w:rsidRPr="00B43607" w:rsidRDefault="00B43607" w:rsidP="00AF4FA4">
      <w:pPr>
        <w:pStyle w:val="Heading4"/>
      </w:pPr>
      <w:r w:rsidRPr="00B43607">
        <w:t xml:space="preserve">Measure </w:t>
      </w:r>
      <w:r w:rsidR="00443D9C">
        <w:t>B1b</w:t>
      </w:r>
      <w:r w:rsidRPr="00B43607">
        <w:t>:  STCAs report an improvement in their experience of working with the Commonwealth government agencies</w:t>
      </w:r>
    </w:p>
    <w:p w14:paraId="3B41C60D" w14:textId="4C7F06B1" w:rsidR="00B43607" w:rsidRPr="00B43607" w:rsidRDefault="006E5B34" w:rsidP="00AF4FA4">
      <w:pPr>
        <w:pStyle w:val="Paragraph"/>
        <w:rPr>
          <w:lang w:eastAsia="en-AU"/>
        </w:rPr>
      </w:pPr>
      <w:r>
        <w:rPr>
          <w:lang w:eastAsia="en-AU"/>
        </w:rPr>
        <w:t xml:space="preserve">During IAA’s </w:t>
      </w:r>
      <w:r w:rsidR="00B43607" w:rsidRPr="00B43607">
        <w:rPr>
          <w:lang w:eastAsia="en-AU"/>
        </w:rPr>
        <w:t xml:space="preserve">early implementation phase, working relationships between IAA and </w:t>
      </w:r>
      <w:r w:rsidR="00B43607" w:rsidRPr="00191894">
        <w:rPr>
          <w:bCs/>
        </w:rPr>
        <w:t>STCAs</w:t>
      </w:r>
      <w:r w:rsidR="00B43607" w:rsidRPr="00B43607">
        <w:rPr>
          <w:lang w:eastAsia="en-AU"/>
        </w:rPr>
        <w:t xml:space="preserve"> were </w:t>
      </w:r>
      <w:r w:rsidR="00F84C68">
        <w:rPr>
          <w:lang w:eastAsia="en-AU"/>
        </w:rPr>
        <w:t>influenced</w:t>
      </w:r>
      <w:r w:rsidR="00CC7FFC" w:rsidRPr="00B43607">
        <w:rPr>
          <w:lang w:eastAsia="en-AU"/>
        </w:rPr>
        <w:t xml:space="preserve"> </w:t>
      </w:r>
      <w:r w:rsidR="00B43607" w:rsidRPr="00B43607">
        <w:rPr>
          <w:lang w:eastAsia="en-AU"/>
        </w:rPr>
        <w:t>by</w:t>
      </w:r>
      <w:r w:rsidR="00B43607" w:rsidRPr="00B43607">
        <w:t xml:space="preserve"> </w:t>
      </w:r>
      <w:r w:rsidR="00B43607" w:rsidRPr="00B43607">
        <w:rPr>
          <w:lang w:eastAsia="en-AU"/>
        </w:rPr>
        <w:t>the lack of clarity regarding IAA’s role.  STCAs were particularly concerned about service duplication</w:t>
      </w:r>
      <w:r w:rsidR="00291A2D">
        <w:rPr>
          <w:lang w:eastAsia="en-AU"/>
        </w:rPr>
        <w:t>,</w:t>
      </w:r>
      <w:r w:rsidR="00B43607" w:rsidRPr="00B43607">
        <w:rPr>
          <w:lang w:eastAsia="en-AU"/>
        </w:rPr>
        <w:t xml:space="preserve"> given that those interested in ICA would ultimately have to contact and process their application through their STCA.  Some STCA</w:t>
      </w:r>
      <w:r w:rsidR="00393CB6">
        <w:rPr>
          <w:lang w:eastAsia="en-AU"/>
        </w:rPr>
        <w:t>s</w:t>
      </w:r>
      <w:r w:rsidR="00B43607" w:rsidRPr="00B43607">
        <w:rPr>
          <w:lang w:eastAsia="en-AU"/>
        </w:rPr>
        <w:t xml:space="preserve"> reported a lack of understanding/differentiation between IAA’s role and that of AGD, thus making transitioning from AGD to IAA as the central information/contact point problematic in some cases.  As outlined in </w:t>
      </w:r>
      <w:r w:rsidR="00B43607" w:rsidRPr="00B43607">
        <w:rPr>
          <w:i/>
          <w:iCs/>
        </w:rPr>
        <w:t xml:space="preserve">Section </w:t>
      </w:r>
      <w:r w:rsidR="00B43607" w:rsidRPr="00B43607">
        <w:rPr>
          <w:i/>
          <w:iCs/>
        </w:rPr>
        <w:fldChar w:fldCharType="begin"/>
      </w:r>
      <w:r w:rsidR="00B43607" w:rsidRPr="00B43607">
        <w:rPr>
          <w:i/>
          <w:iCs/>
        </w:rPr>
        <w:instrText xml:space="preserve"> REF _Ref462900523 \r \h  \* MERGEFORMAT </w:instrText>
      </w:r>
      <w:r w:rsidR="00B43607" w:rsidRPr="00B43607">
        <w:rPr>
          <w:i/>
          <w:iCs/>
        </w:rPr>
      </w:r>
      <w:r w:rsidR="00B43607" w:rsidRPr="00B43607">
        <w:rPr>
          <w:i/>
          <w:iCs/>
        </w:rPr>
        <w:fldChar w:fldCharType="separate"/>
      </w:r>
      <w:r w:rsidR="00487073">
        <w:rPr>
          <w:i/>
          <w:iCs/>
        </w:rPr>
        <w:t>5.4</w:t>
      </w:r>
      <w:r w:rsidR="00B43607" w:rsidRPr="00B43607">
        <w:rPr>
          <w:i/>
          <w:iCs/>
        </w:rPr>
        <w:fldChar w:fldCharType="end"/>
      </w:r>
      <w:r w:rsidR="00B43607" w:rsidRPr="00B43607">
        <w:rPr>
          <w:lang w:eastAsia="en-AU"/>
        </w:rPr>
        <w:t>, IAA has</w:t>
      </w:r>
      <w:r w:rsidR="00CC7FFC">
        <w:rPr>
          <w:lang w:eastAsia="en-AU"/>
        </w:rPr>
        <w:t xml:space="preserve"> since-</w:t>
      </w:r>
      <w:r w:rsidR="00B43607" w:rsidRPr="00B43607">
        <w:rPr>
          <w:lang w:eastAsia="en-AU"/>
        </w:rPr>
        <w:t xml:space="preserve"> invested a considerable</w:t>
      </w:r>
      <w:r w:rsidR="00393CB6">
        <w:rPr>
          <w:lang w:eastAsia="en-AU"/>
        </w:rPr>
        <w:t xml:space="preserve"> amount of</w:t>
      </w:r>
      <w:r w:rsidR="00B43607" w:rsidRPr="00B43607">
        <w:rPr>
          <w:lang w:eastAsia="en-AU"/>
        </w:rPr>
        <w:t xml:space="preserve"> time in recent months in developing and improving working relationships with STCAs. </w:t>
      </w:r>
    </w:p>
    <w:p w14:paraId="6557BE62" w14:textId="77777777" w:rsidR="00B43607" w:rsidRPr="00B43607" w:rsidRDefault="00B43607" w:rsidP="00AF4FA4">
      <w:pPr>
        <w:pStyle w:val="ParagraphKeep"/>
        <w:rPr>
          <w:lang w:eastAsia="en-AU"/>
        </w:rPr>
      </w:pPr>
      <w:r w:rsidRPr="00B43607">
        <w:rPr>
          <w:lang w:eastAsia="en-AU"/>
        </w:rPr>
        <w:t xml:space="preserve">From a </w:t>
      </w:r>
      <w:r w:rsidRPr="000F33B0">
        <w:rPr>
          <w:rStyle w:val="Strong"/>
        </w:rPr>
        <w:t>Commonwealth agency perspective</w:t>
      </w:r>
      <w:r w:rsidRPr="00B43607">
        <w:rPr>
          <w:lang w:eastAsia="en-AU"/>
        </w:rPr>
        <w:t>, IAA was seen as instrumental in improving working relationships and in clarifying roles in the ICA process:</w:t>
      </w:r>
    </w:p>
    <w:p w14:paraId="722F9163" w14:textId="1EBCD626" w:rsidR="00B43607" w:rsidRPr="00B43607" w:rsidRDefault="00B43607" w:rsidP="00AF4FA4">
      <w:pPr>
        <w:pStyle w:val="Quote"/>
      </w:pPr>
      <w:r w:rsidRPr="00B43607">
        <w:t xml:space="preserve">“The development of the IAA service has been a very positive one for us.  It is really good that agencies can work collaboratively to improve the process for our clients.  In speaking with our staff and staff from the other agencies as well, we all want the same thing and that is to serve the public better by providing a better service for our ICA parents...  It was the first time that this number of </w:t>
      </w:r>
      <w:r w:rsidR="00C6246A">
        <w:t>federal agencies (AGD, DFAT, PM</w:t>
      </w:r>
      <w:r w:rsidRPr="00B43607">
        <w:t>&amp;C, DIBP, DSS) worked together collaboratively to provide seamless ongoing support for ICA clients.  It was a very positive experience at the executive level”</w:t>
      </w:r>
    </w:p>
    <w:p w14:paraId="25E9705D" w14:textId="77777777" w:rsidR="00B43607" w:rsidRPr="00B43607" w:rsidRDefault="00B43607" w:rsidP="00AF4FA4">
      <w:pPr>
        <w:pStyle w:val="Quote"/>
      </w:pPr>
      <w:r w:rsidRPr="00B43607">
        <w:t xml:space="preserve">“An unintended benefit is the service has sharpened our focus on our roles and how it translates through the various departments for ICA.  It has helped us to clarify what is and what isn’t our role” </w:t>
      </w:r>
    </w:p>
    <w:p w14:paraId="07885AC2" w14:textId="7534FCEF" w:rsidR="00B43607" w:rsidRPr="00B43607" w:rsidRDefault="00B43607" w:rsidP="00AF4FA4">
      <w:pPr>
        <w:pStyle w:val="Quote"/>
      </w:pPr>
      <w:r w:rsidRPr="00B43607">
        <w:t>“</w:t>
      </w:r>
      <w:r w:rsidR="003A65E8" w:rsidRPr="00B43607">
        <w:t>Yes,</w:t>
      </w:r>
      <w:r w:rsidRPr="00B43607">
        <w:t xml:space="preserve"> absolutely the relationships have become smoother sin</w:t>
      </w:r>
      <w:r w:rsidR="00C6246A">
        <w:t>ce IAA, I think IAA, DSS, AGD, I</w:t>
      </w:r>
      <w:r w:rsidRPr="00B43607">
        <w:t>mmigration, a team of us that are doing the best we can to expedite issues or provide guidance ASAP.  IAA have been really helpful when it comes to the communiqué they’ve updated on their website re the changes to citizenship stuff“</w:t>
      </w:r>
    </w:p>
    <w:p w14:paraId="150E7615" w14:textId="65E8830C" w:rsidR="00B43607" w:rsidRPr="00B43607" w:rsidRDefault="00B43607" w:rsidP="00AF4FA4">
      <w:pPr>
        <w:pStyle w:val="Quote"/>
      </w:pPr>
      <w:r w:rsidRPr="00B43607">
        <w:t xml:space="preserve">“The more recent ICA stuff has been running smoothly since the inception of IAA and the </w:t>
      </w:r>
      <w:r w:rsidR="0096287B">
        <w:t>mandate to work closer together”.</w:t>
      </w:r>
    </w:p>
    <w:p w14:paraId="66D4C08B" w14:textId="551BCC88" w:rsidR="00B43607" w:rsidRPr="00B43607" w:rsidRDefault="006E5B34" w:rsidP="00171D9E">
      <w:pPr>
        <w:pStyle w:val="Paragraph"/>
      </w:pPr>
      <w:r>
        <w:t xml:space="preserve">While the </w:t>
      </w:r>
      <w:r w:rsidR="00B43607" w:rsidRPr="00B43607">
        <w:t>C</w:t>
      </w:r>
      <w:r w:rsidR="00291A2D">
        <w:t xml:space="preserve">entral </w:t>
      </w:r>
      <w:r w:rsidR="00B43607" w:rsidRPr="00B43607">
        <w:t>A</w:t>
      </w:r>
      <w:r w:rsidR="00291A2D">
        <w:t>uthorities</w:t>
      </w:r>
      <w:r w:rsidR="00B43607" w:rsidRPr="00B43607">
        <w:t xml:space="preserve"> meeting was seen as a valuable means of communication between stakeholders, individual departments reported having additional meetings with IAA.  It was also apparent that considerable engagement occurred between Commonwealth departments and STCAs, </w:t>
      </w:r>
      <w:r w:rsidR="00B43607" w:rsidRPr="00B43607">
        <w:lastRenderedPageBreak/>
        <w:t xml:space="preserve">independent of the </w:t>
      </w:r>
      <w:r w:rsidR="00D27343">
        <w:t>AGD</w:t>
      </w:r>
      <w:r w:rsidR="00B43607" w:rsidRPr="00B43607">
        <w:t>-</w:t>
      </w:r>
      <w:r w:rsidR="00B43607" w:rsidRPr="00A107EE">
        <w:t xml:space="preserve">convened </w:t>
      </w:r>
      <w:r w:rsidR="00A107EE" w:rsidRPr="00A107EE">
        <w:t>ST</w:t>
      </w:r>
      <w:r w:rsidR="00B43607" w:rsidRPr="00A107EE">
        <w:t>CA</w:t>
      </w:r>
      <w:r w:rsidR="00B43607" w:rsidRPr="00B43607">
        <w:t xml:space="preserve"> meetings.  Communication between IAA and the Commonwealth departments was described as being more frequent during the establishment phase. </w:t>
      </w:r>
    </w:p>
    <w:tbl>
      <w:tblPr>
        <w:tblStyle w:val="TableGrid"/>
        <w:tblW w:w="0" w:type="auto"/>
        <w:tblInd w:w="108" w:type="dxa"/>
        <w:tblBorders>
          <w:top w:val="single" w:sz="4" w:space="0" w:color="0079C1" w:themeColor="text2"/>
          <w:left w:val="single" w:sz="4" w:space="0" w:color="0079C1" w:themeColor="text2"/>
          <w:bottom w:val="single" w:sz="4" w:space="0" w:color="0079C1" w:themeColor="text2"/>
          <w:right w:val="single" w:sz="4" w:space="0" w:color="0079C1" w:themeColor="text2"/>
          <w:insideH w:val="none" w:sz="0" w:space="0" w:color="auto"/>
          <w:insideV w:val="none" w:sz="0" w:space="0" w:color="auto"/>
        </w:tblBorders>
        <w:shd w:val="clear" w:color="auto" w:fill="E2F4FF" w:themeFill="accent1" w:themeFillTint="33"/>
        <w:tblLook w:val="04A0" w:firstRow="1" w:lastRow="0" w:firstColumn="1" w:lastColumn="0" w:noHBand="0" w:noVBand="1"/>
        <w:tblCaption w:val="Key findings:"/>
        <w:tblDescription w:val="Key findings:&#10;• During IAA’s early implementation phase, working relationships between IAA and STCAs may have been influenced by the lack of clarity regarding IAA’s role:&#10; STCAs were particularly concerned about service duplication &#10; Some STCAs reported a lack of understanding/differentiation between IAA’s role and that of AGD, thus making transitioning from AGD to IAA as the central information/contact point problematic in some cases&#10;• From a Commonwealth agency perspective, IAA was seen as instrumental in improving working relationships and in clarifying roles in the ICA process&#10;"/>
      </w:tblPr>
      <w:tblGrid>
        <w:gridCol w:w="9237"/>
      </w:tblGrid>
      <w:tr w:rsidR="00B43607" w:rsidRPr="00B43607" w14:paraId="38703B37" w14:textId="77777777" w:rsidTr="004E43C8">
        <w:trPr>
          <w:tblHeader/>
        </w:trPr>
        <w:tc>
          <w:tcPr>
            <w:tcW w:w="9349" w:type="dxa"/>
            <w:shd w:val="clear" w:color="auto" w:fill="E2F4FF" w:themeFill="accent1" w:themeFillTint="33"/>
          </w:tcPr>
          <w:p w14:paraId="563260AD" w14:textId="77777777" w:rsidR="00B43607" w:rsidRPr="008A1452" w:rsidRDefault="00B43607" w:rsidP="005762AD">
            <w:pPr>
              <w:pStyle w:val="Heading4"/>
              <w:outlineLvl w:val="3"/>
              <w:rPr>
                <w:color w:val="auto"/>
                <w:lang w:val="en-AU"/>
              </w:rPr>
            </w:pPr>
            <w:r w:rsidRPr="008A1452">
              <w:rPr>
                <w:color w:val="auto"/>
                <w:lang w:val="en-AU"/>
              </w:rPr>
              <w:t>Key findings:</w:t>
            </w:r>
          </w:p>
          <w:p w14:paraId="01C2BDFD" w14:textId="0D593B57" w:rsidR="003A46CF" w:rsidRDefault="003A46CF" w:rsidP="003A46CF">
            <w:pPr>
              <w:pStyle w:val="Bullet1"/>
              <w:rPr>
                <w:lang w:val="en-AU"/>
              </w:rPr>
            </w:pPr>
            <w:r w:rsidRPr="003A46CF">
              <w:rPr>
                <w:lang w:val="en-AU"/>
              </w:rPr>
              <w:t>During</w:t>
            </w:r>
            <w:r w:rsidR="006E5B34">
              <w:rPr>
                <w:lang w:val="en-AU"/>
              </w:rPr>
              <w:t xml:space="preserve"> IAA’s</w:t>
            </w:r>
            <w:r w:rsidRPr="003A46CF">
              <w:rPr>
                <w:lang w:val="en-AU"/>
              </w:rPr>
              <w:t xml:space="preserve"> early implementation phase, working relationships between IAA and STCAs </w:t>
            </w:r>
            <w:r w:rsidR="00F84C68">
              <w:rPr>
                <w:lang w:val="en-AU"/>
              </w:rPr>
              <w:t>may have been influenced</w:t>
            </w:r>
            <w:r w:rsidR="00CC7FFC" w:rsidRPr="003A46CF">
              <w:rPr>
                <w:lang w:val="en-AU"/>
              </w:rPr>
              <w:t xml:space="preserve"> </w:t>
            </w:r>
            <w:r w:rsidRPr="003A46CF">
              <w:rPr>
                <w:lang w:val="en-AU"/>
              </w:rPr>
              <w:t>by the lack o</w:t>
            </w:r>
            <w:r>
              <w:rPr>
                <w:lang w:val="en-AU"/>
              </w:rPr>
              <w:t>f clarity regarding IAA’s role:</w:t>
            </w:r>
          </w:p>
          <w:p w14:paraId="26D67CB6" w14:textId="77777777" w:rsidR="003A46CF" w:rsidRDefault="003A46CF" w:rsidP="003A46CF">
            <w:pPr>
              <w:pStyle w:val="Bullet2"/>
              <w:rPr>
                <w:lang w:val="en-AU"/>
              </w:rPr>
            </w:pPr>
            <w:r w:rsidRPr="003A46CF">
              <w:rPr>
                <w:lang w:val="en-AU"/>
              </w:rPr>
              <w:t xml:space="preserve">STCAs were particularly concerned about service duplication </w:t>
            </w:r>
          </w:p>
          <w:p w14:paraId="45E56F1F" w14:textId="77777777" w:rsidR="00B43607" w:rsidRDefault="003A46CF" w:rsidP="003A46CF">
            <w:pPr>
              <w:pStyle w:val="Bullet2"/>
              <w:rPr>
                <w:lang w:val="en-AU"/>
              </w:rPr>
            </w:pPr>
            <w:r w:rsidRPr="003A46CF">
              <w:rPr>
                <w:lang w:val="en-AU"/>
              </w:rPr>
              <w:t>Some STCAs reported a lack of understanding/differentiation between IAA’s role and that of AGD, thus making transitioning from AGD to IAA as the central information/contact point problematic in some cases</w:t>
            </w:r>
          </w:p>
          <w:p w14:paraId="65B3A93B" w14:textId="718AA749" w:rsidR="003A46CF" w:rsidRPr="00B43607" w:rsidRDefault="003A46CF" w:rsidP="003A46CF">
            <w:pPr>
              <w:pStyle w:val="Bullet1"/>
              <w:rPr>
                <w:lang w:val="en-AU"/>
              </w:rPr>
            </w:pPr>
            <w:r w:rsidRPr="003A46CF">
              <w:rPr>
                <w:lang w:val="en-AU"/>
              </w:rPr>
              <w:t>From a Commonwealth agency perspective, IAA was seen as instrumental in improving working relationships and in clarifying roles in the ICA process</w:t>
            </w:r>
          </w:p>
        </w:tc>
      </w:tr>
    </w:tbl>
    <w:p w14:paraId="2B9F0F1F" w14:textId="77777777" w:rsidR="00B43607" w:rsidRDefault="00B43607" w:rsidP="00FE09A8">
      <w:pPr>
        <w:pStyle w:val="Heading2"/>
      </w:pPr>
      <w:bookmarkStart w:id="134" w:name="_Ref462841736"/>
      <w:bookmarkStart w:id="135" w:name="_Ref462897453"/>
      <w:bookmarkStart w:id="136" w:name="_Ref462900523"/>
      <w:bookmarkStart w:id="137" w:name="_Toc490481627"/>
      <w:r w:rsidRPr="00B43607">
        <w:t>Post-implementation IAA service delivery developments</w:t>
      </w:r>
      <w:bookmarkEnd w:id="134"/>
      <w:bookmarkEnd w:id="135"/>
      <w:bookmarkEnd w:id="136"/>
      <w:bookmarkEnd w:id="137"/>
    </w:p>
    <w:p w14:paraId="3534562E" w14:textId="57DFB9CE" w:rsidR="000F33B0" w:rsidRDefault="000F33B0" w:rsidP="000F33B0">
      <w:pPr>
        <w:pStyle w:val="Paragraph"/>
        <w:rPr>
          <w:lang w:eastAsia="en-AU"/>
        </w:rPr>
      </w:pPr>
      <w:r>
        <w:rPr>
          <w:lang w:eastAsia="en-AU"/>
        </w:rPr>
        <w:t xml:space="preserve">Since its initial implementation, the IAA has evolved beyond the original parameters specified in the </w:t>
      </w:r>
      <w:r w:rsidR="008B0955">
        <w:t>Reform</w:t>
      </w:r>
      <w:r w:rsidR="008B0955">
        <w:rPr>
          <w:lang w:eastAsia="en-AU"/>
        </w:rPr>
        <w:t xml:space="preserve"> </w:t>
      </w:r>
      <w:r>
        <w:rPr>
          <w:lang w:eastAsia="en-AU"/>
        </w:rPr>
        <w:t xml:space="preserve">Implementation Plan </w:t>
      </w:r>
      <w:r w:rsidR="00F5093A">
        <w:fldChar w:fldCharType="begin" w:fldLock="1"/>
      </w:r>
      <w:r w:rsidR="00F5093A">
        <w:instrText>ADDIN CSL_CITATION { "citationItems" : [ { "id" : "ITEM-1", "itemData" : { "author" : [ { "dropping-particle" : "", "family" : "Department", "given" : "Australian Government Department of Social Services and Attorney-General's", "non-dropping-particle" : "", "parse-names" : false, "suffix" : "" } ], "id" : "ITEM-1", "issued" : { "date-parts" : [ [ "2015" ] ] }, "publisher-place" : "Canberra", "title" : "Intercountry Adoption Reform: Implementation Plan", "type" : "report" }, "prefix" : "Intercountry Adoption Reform: Implementation Plan", "suppress-author" : 1, "uris" : [ "http://www.mendeley.com/documents/?uuid=c63de2ba-0b90-4802-a065-fb47ac7ca77f" ] } ], "mendeley" : { "formattedCitation" : "(Intercountry Adoption Reform: Implementation Plan 2015)", "plainTextFormattedCitation" : "(Intercountry Adoption Reform: Implementation Plan 2015)", "previouslyFormattedCitation" : "(Intercountry Adoption Reform: Implementation Plan 2015)" }, "properties" : { "noteIndex" : 0 }, "schema" : "https://github.com/citation-style-language/schema/raw/master/csl-citation.json" }</w:instrText>
      </w:r>
      <w:r w:rsidR="00F5093A">
        <w:fldChar w:fldCharType="separate"/>
      </w:r>
      <w:r w:rsidR="00F5093A" w:rsidRPr="006812F2">
        <w:rPr>
          <w:i/>
          <w:noProof/>
        </w:rPr>
        <w:t xml:space="preserve">(Intercountry Adoption Reform: Implementation Plan </w:t>
      </w:r>
      <w:r w:rsidR="00F5093A" w:rsidRPr="006812F2">
        <w:rPr>
          <w:noProof/>
        </w:rPr>
        <w:t>2015)</w:t>
      </w:r>
      <w:r w:rsidR="00F5093A">
        <w:fldChar w:fldCharType="end"/>
      </w:r>
      <w:r>
        <w:rPr>
          <w:lang w:eastAsia="en-AU"/>
        </w:rPr>
        <w:t xml:space="preserve">.  As outlined in </w:t>
      </w:r>
      <w:r w:rsidRPr="003A46CF">
        <w:rPr>
          <w:rStyle w:val="Emphasis"/>
          <w:lang w:eastAsia="en-AU"/>
        </w:rPr>
        <w:t xml:space="preserve">Sections </w:t>
      </w:r>
      <w:r w:rsidR="003A46CF" w:rsidRPr="003A46CF">
        <w:rPr>
          <w:rStyle w:val="Emphasis"/>
          <w:lang w:eastAsia="en-AU"/>
        </w:rPr>
        <w:fldChar w:fldCharType="begin"/>
      </w:r>
      <w:r w:rsidR="003A46CF" w:rsidRPr="003A46CF">
        <w:rPr>
          <w:rStyle w:val="Emphasis"/>
          <w:lang w:eastAsia="en-AU"/>
        </w:rPr>
        <w:instrText xml:space="preserve"> REF _Ref463012299 \r \h </w:instrText>
      </w:r>
      <w:r w:rsidR="003A46CF">
        <w:rPr>
          <w:rStyle w:val="Emphasis"/>
          <w:lang w:eastAsia="en-AU"/>
        </w:rPr>
        <w:instrText xml:space="preserve"> \* MERGEFORMAT </w:instrText>
      </w:r>
      <w:r w:rsidR="003A46CF" w:rsidRPr="003A46CF">
        <w:rPr>
          <w:rStyle w:val="Emphasis"/>
          <w:lang w:eastAsia="en-AU"/>
        </w:rPr>
      </w:r>
      <w:r w:rsidR="003A46CF" w:rsidRPr="003A46CF">
        <w:rPr>
          <w:rStyle w:val="Emphasis"/>
          <w:lang w:eastAsia="en-AU"/>
        </w:rPr>
        <w:fldChar w:fldCharType="separate"/>
      </w:r>
      <w:r w:rsidR="00487073">
        <w:rPr>
          <w:rStyle w:val="Emphasis"/>
          <w:lang w:eastAsia="en-AU"/>
        </w:rPr>
        <w:t>5.2</w:t>
      </w:r>
      <w:r w:rsidR="003A46CF" w:rsidRPr="003A46CF">
        <w:rPr>
          <w:rStyle w:val="Emphasis"/>
          <w:lang w:eastAsia="en-AU"/>
        </w:rPr>
        <w:fldChar w:fldCharType="end"/>
      </w:r>
      <w:r w:rsidR="003A46CF" w:rsidRPr="003A46CF">
        <w:rPr>
          <w:rStyle w:val="Emphasis"/>
          <w:lang w:eastAsia="en-AU"/>
        </w:rPr>
        <w:t xml:space="preserve"> and </w:t>
      </w:r>
      <w:r w:rsidR="003A46CF" w:rsidRPr="003A46CF">
        <w:rPr>
          <w:rStyle w:val="Emphasis"/>
          <w:lang w:eastAsia="en-AU"/>
        </w:rPr>
        <w:fldChar w:fldCharType="begin"/>
      </w:r>
      <w:r w:rsidR="003A46CF" w:rsidRPr="003A46CF">
        <w:rPr>
          <w:rStyle w:val="Emphasis"/>
          <w:lang w:eastAsia="en-AU"/>
        </w:rPr>
        <w:instrText xml:space="preserve"> REF _Ref463005123 \r \h </w:instrText>
      </w:r>
      <w:r w:rsidR="003A46CF">
        <w:rPr>
          <w:rStyle w:val="Emphasis"/>
          <w:lang w:eastAsia="en-AU"/>
        </w:rPr>
        <w:instrText xml:space="preserve"> \* MERGEFORMAT </w:instrText>
      </w:r>
      <w:r w:rsidR="003A46CF" w:rsidRPr="003A46CF">
        <w:rPr>
          <w:rStyle w:val="Emphasis"/>
          <w:lang w:eastAsia="en-AU"/>
        </w:rPr>
      </w:r>
      <w:r w:rsidR="003A46CF" w:rsidRPr="003A46CF">
        <w:rPr>
          <w:rStyle w:val="Emphasis"/>
          <w:lang w:eastAsia="en-AU"/>
        </w:rPr>
        <w:fldChar w:fldCharType="separate"/>
      </w:r>
      <w:r w:rsidR="00487073">
        <w:rPr>
          <w:rStyle w:val="Emphasis"/>
          <w:lang w:eastAsia="en-AU"/>
        </w:rPr>
        <w:t>5.3</w:t>
      </w:r>
      <w:r w:rsidR="003A46CF" w:rsidRPr="003A46CF">
        <w:rPr>
          <w:rStyle w:val="Emphasis"/>
          <w:lang w:eastAsia="en-AU"/>
        </w:rPr>
        <w:fldChar w:fldCharType="end"/>
      </w:r>
      <w:r w:rsidRPr="003A46CF">
        <w:rPr>
          <w:lang w:eastAsia="en-AU"/>
        </w:rPr>
        <w:t>, these development</w:t>
      </w:r>
      <w:r w:rsidR="006E5B34">
        <w:rPr>
          <w:lang w:eastAsia="en-AU"/>
        </w:rPr>
        <w:t>s</w:t>
      </w:r>
      <w:r w:rsidRPr="003A46CF">
        <w:rPr>
          <w:lang w:eastAsia="en-AU"/>
        </w:rPr>
        <w:t xml:space="preserve"> have not only resulted in IAA exceeding some of its initial KPIs</w:t>
      </w:r>
      <w:r>
        <w:rPr>
          <w:lang w:eastAsia="en-AU"/>
        </w:rPr>
        <w:t xml:space="preserve"> but also in several of these KPIs becoming redundant because of the client interaction patterns and client needs that emerged when the service was operationalised.  Over time, this has resulted in a number of key actual and planned changes that are summarised in this section.</w:t>
      </w:r>
    </w:p>
    <w:p w14:paraId="33DAE2A0" w14:textId="77777777" w:rsidR="000F33B0" w:rsidRDefault="000F33B0" w:rsidP="000F33B0">
      <w:pPr>
        <w:pStyle w:val="Heading3"/>
      </w:pPr>
      <w:r>
        <w:t>Developments to date</w:t>
      </w:r>
    </w:p>
    <w:p w14:paraId="6F34EBA4" w14:textId="77777777" w:rsidR="000F33B0" w:rsidRDefault="000F33B0" w:rsidP="000F33B0">
      <w:pPr>
        <w:pStyle w:val="Paragraph"/>
        <w:rPr>
          <w:lang w:eastAsia="en-AU"/>
        </w:rPr>
      </w:pPr>
      <w:r>
        <w:rPr>
          <w:lang w:eastAsia="en-AU"/>
        </w:rPr>
        <w:t>Developments to date have been categorised into three categories:</w:t>
      </w:r>
    </w:p>
    <w:p w14:paraId="5C40D269" w14:textId="0445924F" w:rsidR="000F33B0" w:rsidRDefault="000F33B0" w:rsidP="000F33B0">
      <w:pPr>
        <w:pStyle w:val="Bullet1"/>
      </w:pPr>
      <w:r>
        <w:t>Structural changes</w:t>
      </w:r>
    </w:p>
    <w:p w14:paraId="3DD4EC46" w14:textId="60ACDAFA" w:rsidR="000F33B0" w:rsidRDefault="000F33B0" w:rsidP="000F33B0">
      <w:pPr>
        <w:pStyle w:val="Bullet1"/>
      </w:pPr>
      <w:r>
        <w:t>Expansion of client focus</w:t>
      </w:r>
    </w:p>
    <w:p w14:paraId="2C790303" w14:textId="5C1C87E1" w:rsidR="000F33B0" w:rsidRDefault="000F33B0" w:rsidP="000F33B0">
      <w:pPr>
        <w:pStyle w:val="Bullet1"/>
      </w:pPr>
      <w:r>
        <w:t>Stakeholder engagement.</w:t>
      </w:r>
    </w:p>
    <w:p w14:paraId="39754BCD" w14:textId="77777777" w:rsidR="000F33B0" w:rsidRDefault="000F33B0" w:rsidP="000F33B0">
      <w:pPr>
        <w:pStyle w:val="Heading4"/>
      </w:pPr>
      <w:r>
        <w:t>Structural changes</w:t>
      </w:r>
    </w:p>
    <w:p w14:paraId="63E9DCC6" w14:textId="05C7FDEB" w:rsidR="000F33B0" w:rsidRDefault="000F33B0" w:rsidP="000F33B0">
      <w:pPr>
        <w:pStyle w:val="Paragraph"/>
        <w:rPr>
          <w:lang w:eastAsia="en-AU"/>
        </w:rPr>
      </w:pPr>
      <w:r>
        <w:rPr>
          <w:lang w:eastAsia="en-AU"/>
        </w:rPr>
        <w:t xml:space="preserve">When IAA was initially established, ICA processes within DSS spanned two distinct teams –service </w:t>
      </w:r>
      <w:r w:rsidR="006E5B34">
        <w:rPr>
          <w:lang w:eastAsia="en-AU"/>
        </w:rPr>
        <w:t xml:space="preserve">delivery </w:t>
      </w:r>
      <w:r>
        <w:rPr>
          <w:lang w:eastAsia="en-AU"/>
        </w:rPr>
        <w:t xml:space="preserve">and policy </w:t>
      </w:r>
      <w:r w:rsidR="006E5B34">
        <w:rPr>
          <w:lang w:eastAsia="en-AU"/>
        </w:rPr>
        <w:t>development</w:t>
      </w:r>
      <w:r>
        <w:rPr>
          <w:lang w:eastAsia="en-AU"/>
        </w:rPr>
        <w:t xml:space="preserve">.  These teams have been restructured so that there is now one team which includes the IAA service and the policy function, the latter focussing on the department’s policy interest in matters such as domestic adoption and permanency planning. </w:t>
      </w:r>
      <w:r w:rsidR="00BB05AF">
        <w:rPr>
          <w:lang w:eastAsia="en-AU"/>
        </w:rPr>
        <w:t xml:space="preserve"> This restructuring is expected to </w:t>
      </w:r>
      <w:r w:rsidR="00A91077">
        <w:rPr>
          <w:lang w:eastAsia="en-AU"/>
        </w:rPr>
        <w:t>result in closer</w:t>
      </w:r>
      <w:r w:rsidR="006626DA">
        <w:rPr>
          <w:lang w:eastAsia="en-AU"/>
        </w:rPr>
        <w:t xml:space="preserve"> linkages between </w:t>
      </w:r>
      <w:r w:rsidR="00A91077">
        <w:rPr>
          <w:lang w:eastAsia="en-AU"/>
        </w:rPr>
        <w:t xml:space="preserve">service </w:t>
      </w:r>
      <w:r w:rsidR="006626DA">
        <w:rPr>
          <w:lang w:eastAsia="en-AU"/>
        </w:rPr>
        <w:t>delivery and policy</w:t>
      </w:r>
      <w:r w:rsidR="00B77C50">
        <w:rPr>
          <w:lang w:eastAsia="en-AU"/>
        </w:rPr>
        <w:t>.</w:t>
      </w:r>
      <w:r w:rsidR="00BB05AF">
        <w:rPr>
          <w:lang w:eastAsia="en-AU"/>
        </w:rPr>
        <w:t xml:space="preserve"> </w:t>
      </w:r>
    </w:p>
    <w:p w14:paraId="1DC787F3" w14:textId="77777777" w:rsidR="000F33B0" w:rsidRDefault="000F33B0" w:rsidP="000F33B0">
      <w:pPr>
        <w:pStyle w:val="Heading4"/>
      </w:pPr>
      <w:r>
        <w:t>Expansion of client focus</w:t>
      </w:r>
    </w:p>
    <w:p w14:paraId="0AB73DF6" w14:textId="031A49D4" w:rsidR="000F33B0" w:rsidRDefault="000F33B0" w:rsidP="000F33B0">
      <w:pPr>
        <w:pStyle w:val="Paragraph"/>
        <w:rPr>
          <w:lang w:eastAsia="en-AU"/>
        </w:rPr>
      </w:pPr>
      <w:r>
        <w:rPr>
          <w:lang w:eastAsia="en-AU"/>
        </w:rPr>
        <w:t>During the early stages of IAA operations, there was a general perception among external stakeholders that IAA was primarily focussed on serving the need</w:t>
      </w:r>
      <w:r w:rsidR="00C47685">
        <w:rPr>
          <w:lang w:eastAsia="en-AU"/>
        </w:rPr>
        <w:t>s</w:t>
      </w:r>
      <w:r>
        <w:rPr>
          <w:lang w:eastAsia="en-AU"/>
        </w:rPr>
        <w:t xml:space="preserve"> of prospective adoptive parent</w:t>
      </w:r>
      <w:r w:rsidR="008A7E2B">
        <w:rPr>
          <w:lang w:eastAsia="en-AU"/>
        </w:rPr>
        <w:t>s</w:t>
      </w:r>
      <w:r>
        <w:rPr>
          <w:lang w:eastAsia="en-AU"/>
        </w:rPr>
        <w:t xml:space="preserve">.  This was a prevailing theme during consultations with all stakeholder groups.  Feedback provided by targeted clients (survey and follow-up in-depth interviews, consultations with parent support and advocacy </w:t>
      </w:r>
      <w:r>
        <w:rPr>
          <w:lang w:eastAsia="en-AU"/>
        </w:rPr>
        <w:lastRenderedPageBreak/>
        <w:t>groups) indicated considerable gaps in the service provision in the early stages for adult adoptees, ex</w:t>
      </w:r>
      <w:r w:rsidR="008A7E2B">
        <w:rPr>
          <w:lang w:eastAsia="en-AU"/>
        </w:rPr>
        <w:t>-</w:t>
      </w:r>
      <w:r>
        <w:rPr>
          <w:lang w:eastAsia="en-AU"/>
        </w:rPr>
        <w:t>pat</w:t>
      </w:r>
      <w:r w:rsidR="007E0AFC">
        <w:rPr>
          <w:lang w:eastAsia="en-AU"/>
        </w:rPr>
        <w:t>riate</w:t>
      </w:r>
      <w:r>
        <w:rPr>
          <w:lang w:eastAsia="en-AU"/>
        </w:rPr>
        <w:t xml:space="preserve">, relative and ad hoc adoptions, and post-adoption support.  </w:t>
      </w:r>
      <w:r w:rsidR="00D27343">
        <w:rPr>
          <w:lang w:eastAsia="en-AU"/>
        </w:rPr>
        <w:t>These latter groups were not part of IAA’s initial remit.</w:t>
      </w:r>
    </w:p>
    <w:p w14:paraId="0D901878" w14:textId="29F1A7DF" w:rsidR="000F33B0" w:rsidRDefault="000F33B0" w:rsidP="000F33B0">
      <w:pPr>
        <w:pStyle w:val="Paragraph"/>
        <w:rPr>
          <w:lang w:eastAsia="en-AU"/>
        </w:rPr>
      </w:pPr>
      <w:r>
        <w:rPr>
          <w:lang w:eastAsia="en-AU"/>
        </w:rPr>
        <w:t>During its first year of operation, IAA’s client profile confirmed the complexity of service needs within the ICA community and the team actively sought to address these needs (see</w:t>
      </w:r>
      <w:r w:rsidRPr="000F33B0">
        <w:rPr>
          <w:rStyle w:val="Emphasis"/>
        </w:rPr>
        <w:t xml:space="preserve"> Section </w:t>
      </w:r>
      <w:r w:rsidRPr="000F33B0">
        <w:rPr>
          <w:rStyle w:val="Emphasis"/>
        </w:rPr>
        <w:fldChar w:fldCharType="begin"/>
      </w:r>
      <w:r w:rsidRPr="000F33B0">
        <w:rPr>
          <w:rStyle w:val="Emphasis"/>
        </w:rPr>
        <w:instrText xml:space="preserve"> REF _Ref462938878 \r \h </w:instrText>
      </w:r>
      <w:r>
        <w:rPr>
          <w:rStyle w:val="Emphasis"/>
        </w:rPr>
        <w:instrText xml:space="preserve"> \* MERGEFORMAT </w:instrText>
      </w:r>
      <w:r w:rsidRPr="000F33B0">
        <w:rPr>
          <w:rStyle w:val="Emphasis"/>
        </w:rPr>
      </w:r>
      <w:r w:rsidRPr="000F33B0">
        <w:rPr>
          <w:rStyle w:val="Emphasis"/>
        </w:rPr>
        <w:fldChar w:fldCharType="separate"/>
      </w:r>
      <w:r w:rsidR="00487073">
        <w:rPr>
          <w:rStyle w:val="Emphasis"/>
        </w:rPr>
        <w:t>6.5.2</w:t>
      </w:r>
      <w:r w:rsidRPr="000F33B0">
        <w:rPr>
          <w:rStyle w:val="Emphasis"/>
        </w:rPr>
        <w:fldChar w:fldCharType="end"/>
      </w:r>
      <w:r>
        <w:rPr>
          <w:lang w:eastAsia="en-AU"/>
        </w:rPr>
        <w:t xml:space="preserve"> for further discussion).</w:t>
      </w:r>
    </w:p>
    <w:p w14:paraId="6C0778C0" w14:textId="1F248D7F" w:rsidR="000F33B0" w:rsidRDefault="000F33B0" w:rsidP="000F33B0">
      <w:pPr>
        <w:pStyle w:val="Paragraph"/>
        <w:rPr>
          <w:lang w:eastAsia="en-AU"/>
        </w:rPr>
      </w:pPr>
      <w:r>
        <w:rPr>
          <w:lang w:eastAsia="en-AU"/>
        </w:rPr>
        <w:t>New are</w:t>
      </w:r>
      <w:r w:rsidR="00C47685">
        <w:rPr>
          <w:lang w:eastAsia="en-AU"/>
        </w:rPr>
        <w:t>as of emerging information need</w:t>
      </w:r>
      <w:r>
        <w:rPr>
          <w:lang w:eastAsia="en-AU"/>
        </w:rPr>
        <w:t>s have also been identified (e.g. surrogacy).</w:t>
      </w:r>
    </w:p>
    <w:p w14:paraId="75B050B0" w14:textId="77777777" w:rsidR="000F33B0" w:rsidRDefault="000F33B0" w:rsidP="000F33B0">
      <w:pPr>
        <w:pStyle w:val="Heading4"/>
      </w:pPr>
      <w:r>
        <w:t>Face-to-face stakeholder engagement</w:t>
      </w:r>
    </w:p>
    <w:p w14:paraId="08146235" w14:textId="3565E21A" w:rsidR="000F33B0" w:rsidRDefault="000F33B0" w:rsidP="000F33B0">
      <w:pPr>
        <w:pStyle w:val="Paragraph"/>
        <w:rPr>
          <w:lang w:eastAsia="en-AU"/>
        </w:rPr>
      </w:pPr>
      <w:r>
        <w:rPr>
          <w:lang w:eastAsia="en-AU"/>
        </w:rPr>
        <w:t>To date, much of IAA’s face-to-face engagement with STCAs has been through the quarterly C</w:t>
      </w:r>
      <w:r w:rsidR="008A7E2B">
        <w:rPr>
          <w:lang w:eastAsia="en-AU"/>
        </w:rPr>
        <w:t xml:space="preserve">entral </w:t>
      </w:r>
      <w:r>
        <w:rPr>
          <w:lang w:eastAsia="en-AU"/>
        </w:rPr>
        <w:t>A</w:t>
      </w:r>
      <w:r w:rsidR="008A7E2B">
        <w:rPr>
          <w:lang w:eastAsia="en-AU"/>
        </w:rPr>
        <w:t>uthorities</w:t>
      </w:r>
      <w:r>
        <w:rPr>
          <w:lang w:eastAsia="en-AU"/>
        </w:rPr>
        <w:t xml:space="preserve"> meetings.  During consultations with STCAs, this limited mode of face-to-face communication was seen as inadequate and </w:t>
      </w:r>
      <w:r w:rsidR="00CC7FFC">
        <w:rPr>
          <w:lang w:eastAsia="en-AU"/>
        </w:rPr>
        <w:t>not sufficient</w:t>
      </w:r>
      <w:r>
        <w:rPr>
          <w:lang w:eastAsia="en-AU"/>
        </w:rPr>
        <w:t xml:space="preserve"> to resolve the lack of clarify about IAA’s role discussed in earlier sections of this report.</w:t>
      </w:r>
    </w:p>
    <w:p w14:paraId="11083EE2" w14:textId="77777777" w:rsidR="000F33B0" w:rsidRDefault="000F33B0" w:rsidP="000F33B0">
      <w:pPr>
        <w:pStyle w:val="Paragraph"/>
        <w:rPr>
          <w:lang w:eastAsia="en-AU"/>
        </w:rPr>
      </w:pPr>
      <w:r>
        <w:rPr>
          <w:lang w:eastAsia="en-AU"/>
        </w:rPr>
        <w:t>In July and August 2016, IAA undertook service visits to the STCAs in New South Wales, Queensland, South Australia, and Western Australia.  These visits were undertaken in conjunction with Lifeworks representatives and served as a means of:</w:t>
      </w:r>
    </w:p>
    <w:p w14:paraId="04611D5A" w14:textId="1FA0BC1A" w:rsidR="000F33B0" w:rsidRDefault="000F33B0" w:rsidP="000F33B0">
      <w:pPr>
        <w:pStyle w:val="Bullet1"/>
      </w:pPr>
      <w:r>
        <w:t>Building relationships between IAA and STCAs</w:t>
      </w:r>
    </w:p>
    <w:p w14:paraId="1CAFB07B" w14:textId="5128941C" w:rsidR="000F33B0" w:rsidRDefault="000F33B0" w:rsidP="000F33B0">
      <w:pPr>
        <w:pStyle w:val="Bullet1"/>
      </w:pPr>
      <w:r>
        <w:t>Clarifying the role of IAA</w:t>
      </w:r>
    </w:p>
    <w:p w14:paraId="1B122DA9" w14:textId="58A13EE1" w:rsidR="000F33B0" w:rsidRDefault="000F33B0" w:rsidP="000F33B0">
      <w:pPr>
        <w:pStyle w:val="Bullet1"/>
      </w:pPr>
      <w:r>
        <w:t>Identifying opportunities for IAA to support STCA activities</w:t>
      </w:r>
    </w:p>
    <w:p w14:paraId="236E711B" w14:textId="490CF083" w:rsidR="000F33B0" w:rsidRDefault="008A7E2B" w:rsidP="000F33B0">
      <w:pPr>
        <w:pStyle w:val="Bullet1"/>
      </w:pPr>
      <w:r>
        <w:t xml:space="preserve">Promoting </w:t>
      </w:r>
      <w:r w:rsidR="000F33B0">
        <w:t>referral of clients to Lifeworks by STCA</w:t>
      </w:r>
      <w:r>
        <w:t>s</w:t>
      </w:r>
      <w:r w:rsidR="000F33B0">
        <w:t xml:space="preserve"> (see </w:t>
      </w:r>
      <w:r w:rsidR="000F33B0" w:rsidRPr="00661352">
        <w:rPr>
          <w:rStyle w:val="Emphasis"/>
        </w:rPr>
        <w:t xml:space="preserve">Section </w:t>
      </w:r>
      <w:r w:rsidR="00661352" w:rsidRPr="00661352">
        <w:rPr>
          <w:rStyle w:val="Emphasis"/>
        </w:rPr>
        <w:fldChar w:fldCharType="begin"/>
      </w:r>
      <w:r w:rsidR="00661352" w:rsidRPr="00661352">
        <w:rPr>
          <w:rStyle w:val="Emphasis"/>
        </w:rPr>
        <w:instrText xml:space="preserve"> REF _Ref462938878 \r \h </w:instrText>
      </w:r>
      <w:r w:rsidR="00661352">
        <w:rPr>
          <w:rStyle w:val="Emphasis"/>
        </w:rPr>
        <w:instrText xml:space="preserve"> \* MERGEFORMAT </w:instrText>
      </w:r>
      <w:r w:rsidR="00661352" w:rsidRPr="00661352">
        <w:rPr>
          <w:rStyle w:val="Emphasis"/>
        </w:rPr>
      </w:r>
      <w:r w:rsidR="00661352" w:rsidRPr="00661352">
        <w:rPr>
          <w:rStyle w:val="Emphasis"/>
        </w:rPr>
        <w:fldChar w:fldCharType="separate"/>
      </w:r>
      <w:r w:rsidR="00487073">
        <w:rPr>
          <w:rStyle w:val="Emphasis"/>
        </w:rPr>
        <w:t>6.5.2</w:t>
      </w:r>
      <w:r w:rsidR="00661352" w:rsidRPr="00661352">
        <w:rPr>
          <w:rStyle w:val="Emphasis"/>
        </w:rPr>
        <w:fldChar w:fldCharType="end"/>
      </w:r>
      <w:r w:rsidR="00661352">
        <w:t xml:space="preserve"> </w:t>
      </w:r>
      <w:r w:rsidR="000F33B0">
        <w:t>for details of Lifeworks role).</w:t>
      </w:r>
    </w:p>
    <w:p w14:paraId="5EF5E1F0" w14:textId="4044792F" w:rsidR="000F33B0" w:rsidRDefault="000F33B0" w:rsidP="000F33B0">
      <w:pPr>
        <w:pStyle w:val="Paragraph"/>
        <w:rPr>
          <w:lang w:eastAsia="en-AU"/>
        </w:rPr>
      </w:pPr>
      <w:r>
        <w:rPr>
          <w:lang w:eastAsia="en-AU"/>
        </w:rPr>
        <w:t xml:space="preserve">IAA staff reported that these visits </w:t>
      </w:r>
      <w:r w:rsidR="008A7E2B">
        <w:rPr>
          <w:lang w:eastAsia="en-AU"/>
        </w:rPr>
        <w:t xml:space="preserve">have </w:t>
      </w:r>
      <w:r>
        <w:rPr>
          <w:lang w:eastAsia="en-AU"/>
        </w:rPr>
        <w:t xml:space="preserve">been highly successful and </w:t>
      </w:r>
      <w:r w:rsidR="008A7E2B">
        <w:rPr>
          <w:lang w:eastAsia="en-AU"/>
        </w:rPr>
        <w:t xml:space="preserve">have </w:t>
      </w:r>
      <w:r>
        <w:rPr>
          <w:lang w:eastAsia="en-AU"/>
        </w:rPr>
        <w:t>resulted in enhanced engagement with IAA by a number of STCAs.  For example, NSW is now encouraging clients in the early enquiry stages of the ICA process to contact IAA</w:t>
      </w:r>
      <w:r w:rsidR="008A7E2B">
        <w:rPr>
          <w:lang w:eastAsia="en-AU"/>
        </w:rPr>
        <w:t xml:space="preserve">, </w:t>
      </w:r>
      <w:r>
        <w:rPr>
          <w:lang w:eastAsia="en-AU"/>
        </w:rPr>
        <w:t xml:space="preserve">and more regular discussion opportunities between IAA and </w:t>
      </w:r>
      <w:r w:rsidR="00661352">
        <w:rPr>
          <w:lang w:eastAsia="en-AU"/>
        </w:rPr>
        <w:t xml:space="preserve">the </w:t>
      </w:r>
      <w:r>
        <w:rPr>
          <w:lang w:eastAsia="en-AU"/>
        </w:rPr>
        <w:t xml:space="preserve">NSW </w:t>
      </w:r>
      <w:r w:rsidR="00661352">
        <w:rPr>
          <w:lang w:eastAsia="en-AU"/>
        </w:rPr>
        <w:t xml:space="preserve">STCA </w:t>
      </w:r>
      <w:r>
        <w:rPr>
          <w:lang w:eastAsia="en-AU"/>
        </w:rPr>
        <w:t xml:space="preserve">are being explored. </w:t>
      </w:r>
    </w:p>
    <w:p w14:paraId="19E998D2" w14:textId="56B432DA" w:rsidR="000F33B0" w:rsidRDefault="000F33B0" w:rsidP="000F33B0">
      <w:pPr>
        <w:pStyle w:val="Paragraph"/>
        <w:rPr>
          <w:lang w:eastAsia="en-AU"/>
        </w:rPr>
      </w:pPr>
      <w:r>
        <w:rPr>
          <w:lang w:eastAsia="en-AU"/>
        </w:rPr>
        <w:t xml:space="preserve">Service visits were also used </w:t>
      </w:r>
      <w:r w:rsidR="008A7E2B">
        <w:rPr>
          <w:lang w:eastAsia="en-AU"/>
        </w:rPr>
        <w:t xml:space="preserve">as </w:t>
      </w:r>
      <w:r>
        <w:rPr>
          <w:lang w:eastAsia="en-AU"/>
        </w:rPr>
        <w:t>an opportunity for IAA to engage with locally based non-STCA stakeholders.  Example</w:t>
      </w:r>
      <w:r w:rsidR="00661352">
        <w:rPr>
          <w:lang w:eastAsia="en-AU"/>
        </w:rPr>
        <w:t>s</w:t>
      </w:r>
      <w:r>
        <w:rPr>
          <w:lang w:eastAsia="en-AU"/>
        </w:rPr>
        <w:t xml:space="preserve"> include</w:t>
      </w:r>
      <w:r w:rsidR="000D13D0">
        <w:rPr>
          <w:lang w:eastAsia="en-AU"/>
        </w:rPr>
        <w:t>d</w:t>
      </w:r>
      <w:r>
        <w:rPr>
          <w:lang w:eastAsia="en-AU"/>
        </w:rPr>
        <w:t xml:space="preserve"> </w:t>
      </w:r>
      <w:r w:rsidR="008A7E2B">
        <w:rPr>
          <w:lang w:eastAsia="en-AU"/>
        </w:rPr>
        <w:t xml:space="preserve">a </w:t>
      </w:r>
      <w:r>
        <w:rPr>
          <w:lang w:eastAsia="en-AU"/>
        </w:rPr>
        <w:t>visit to Jigsaw and the Benevolent Society in Queensland, meetings with adoptive parents and adult adoptees in South Australia, and meeting with the Adoption Research and Counselling Service (ARCS), a specialist adoption trauma counselling service in Western Australia.</w:t>
      </w:r>
    </w:p>
    <w:tbl>
      <w:tblPr>
        <w:tblStyle w:val="TableGrid"/>
        <w:tblW w:w="0" w:type="auto"/>
        <w:tblInd w:w="108" w:type="dxa"/>
        <w:tblBorders>
          <w:top w:val="single" w:sz="4" w:space="0" w:color="0079C1" w:themeColor="text2"/>
          <w:left w:val="single" w:sz="4" w:space="0" w:color="0079C1" w:themeColor="text2"/>
          <w:bottom w:val="single" w:sz="4" w:space="0" w:color="0079C1" w:themeColor="text2"/>
          <w:right w:val="single" w:sz="4" w:space="0" w:color="0079C1" w:themeColor="text2"/>
          <w:insideH w:val="none" w:sz="0" w:space="0" w:color="auto"/>
          <w:insideV w:val="none" w:sz="0" w:space="0" w:color="auto"/>
        </w:tblBorders>
        <w:shd w:val="clear" w:color="auto" w:fill="E2F4FF" w:themeFill="accent1" w:themeFillTint="33"/>
        <w:tblLook w:val="04A0" w:firstRow="1" w:lastRow="0" w:firstColumn="1" w:lastColumn="0" w:noHBand="0" w:noVBand="1"/>
        <w:tblCaption w:val="Key findings:"/>
        <w:tblDescription w:val="Key findings:&#10;• Since its initial implementation, the IAA has evolved beyond the original parameters specified in the Reform Implementation Plan &#10;• Developments to date have been categorised into three groups:&#10; Structural changes - teams have been restructured so that there is now one team which includes the IAA service and the policy function&#10; Expansion of client focus to include greater focus on all stages in the ICA process &#10; Stakeholder engagement - In July and August 2016, IAA undertook service visits to the STCAs and local service providers to increase face-to-face engagement and clarify the role of IAA&#10;"/>
      </w:tblPr>
      <w:tblGrid>
        <w:gridCol w:w="9237"/>
      </w:tblGrid>
      <w:tr w:rsidR="00D413DD" w:rsidRPr="00B43607" w14:paraId="723CDB9F" w14:textId="77777777" w:rsidTr="004E43C8">
        <w:trPr>
          <w:tblHeader/>
        </w:trPr>
        <w:tc>
          <w:tcPr>
            <w:tcW w:w="9349" w:type="dxa"/>
            <w:shd w:val="clear" w:color="auto" w:fill="E2F4FF" w:themeFill="accent1" w:themeFillTint="33"/>
          </w:tcPr>
          <w:p w14:paraId="4A6A8398" w14:textId="77777777" w:rsidR="00D413DD" w:rsidRPr="008A1452" w:rsidRDefault="00D413DD" w:rsidP="00B356FC">
            <w:pPr>
              <w:pStyle w:val="Heading4"/>
              <w:outlineLvl w:val="3"/>
              <w:rPr>
                <w:color w:val="auto"/>
                <w:lang w:val="en-AU"/>
              </w:rPr>
            </w:pPr>
            <w:r w:rsidRPr="008A1452">
              <w:rPr>
                <w:color w:val="auto"/>
                <w:lang w:val="en-AU"/>
              </w:rPr>
              <w:lastRenderedPageBreak/>
              <w:t>Key findings:</w:t>
            </w:r>
          </w:p>
          <w:p w14:paraId="4F1E77DE" w14:textId="1E550839" w:rsidR="00D413DD" w:rsidRDefault="00D413DD" w:rsidP="00D413DD">
            <w:pPr>
              <w:pStyle w:val="Bullet1"/>
              <w:rPr>
                <w:lang w:val="en-AU"/>
              </w:rPr>
            </w:pPr>
            <w:r w:rsidRPr="00D413DD">
              <w:rPr>
                <w:lang w:val="en-AU"/>
              </w:rPr>
              <w:t xml:space="preserve">Since its initial implementation, the IAA has evolved beyond the original parameters specified in the </w:t>
            </w:r>
            <w:r w:rsidR="008B0955">
              <w:t>Reform</w:t>
            </w:r>
            <w:r w:rsidR="008B0955" w:rsidRPr="00D413DD">
              <w:rPr>
                <w:lang w:val="en-AU"/>
              </w:rPr>
              <w:t xml:space="preserve"> </w:t>
            </w:r>
            <w:r w:rsidRPr="00D413DD">
              <w:rPr>
                <w:lang w:val="en-AU"/>
              </w:rPr>
              <w:t xml:space="preserve">Implementation Plan </w:t>
            </w:r>
          </w:p>
          <w:p w14:paraId="56D90FDE" w14:textId="7E811C37" w:rsidR="00D413DD" w:rsidRPr="00D413DD" w:rsidRDefault="00D413DD" w:rsidP="00D413DD">
            <w:pPr>
              <w:pStyle w:val="Bullet1"/>
              <w:rPr>
                <w:lang w:val="en-AU"/>
              </w:rPr>
            </w:pPr>
            <w:r w:rsidRPr="00D413DD">
              <w:rPr>
                <w:lang w:val="en-AU"/>
              </w:rPr>
              <w:t xml:space="preserve">Developments to date have been categorised into three </w:t>
            </w:r>
            <w:r w:rsidR="00661352">
              <w:rPr>
                <w:lang w:val="en-AU"/>
              </w:rPr>
              <w:t>group</w:t>
            </w:r>
            <w:r w:rsidRPr="00D413DD">
              <w:rPr>
                <w:lang w:val="en-AU"/>
              </w:rPr>
              <w:t>s:</w:t>
            </w:r>
          </w:p>
          <w:p w14:paraId="6042977B" w14:textId="1DE9CCCE" w:rsidR="00D413DD" w:rsidRPr="00D413DD" w:rsidRDefault="00D413DD" w:rsidP="00D413DD">
            <w:pPr>
              <w:pStyle w:val="Bullet2"/>
              <w:rPr>
                <w:lang w:val="en-AU"/>
              </w:rPr>
            </w:pPr>
            <w:r w:rsidRPr="00D413DD">
              <w:rPr>
                <w:lang w:val="en-AU"/>
              </w:rPr>
              <w:t>Structural changes</w:t>
            </w:r>
            <w:r>
              <w:rPr>
                <w:lang w:val="en-AU"/>
              </w:rPr>
              <w:t xml:space="preserve"> - </w:t>
            </w:r>
            <w:r>
              <w:t>teams have been restructured so that there is now one team which includes the IAA service and the policy function</w:t>
            </w:r>
          </w:p>
          <w:p w14:paraId="75BA2FBC" w14:textId="7CBDF551" w:rsidR="00D413DD" w:rsidRPr="00D413DD" w:rsidRDefault="00D413DD" w:rsidP="00D413DD">
            <w:pPr>
              <w:pStyle w:val="Bullet2"/>
              <w:rPr>
                <w:lang w:val="en-AU"/>
              </w:rPr>
            </w:pPr>
            <w:r w:rsidRPr="00D413DD">
              <w:rPr>
                <w:lang w:val="en-AU"/>
              </w:rPr>
              <w:t>Expansion of client focus</w:t>
            </w:r>
            <w:r>
              <w:rPr>
                <w:lang w:val="en-AU"/>
              </w:rPr>
              <w:t xml:space="preserve"> to include greater focus on all stages in the ICA process</w:t>
            </w:r>
            <w:r w:rsidR="006626DA">
              <w:rPr>
                <w:lang w:val="en-AU"/>
              </w:rPr>
              <w:t xml:space="preserve"> </w:t>
            </w:r>
          </w:p>
          <w:p w14:paraId="6DC9CFFC" w14:textId="735AEEC1" w:rsidR="00D413DD" w:rsidRPr="00B43607" w:rsidRDefault="00D413DD" w:rsidP="00D413DD">
            <w:pPr>
              <w:pStyle w:val="Bullet2"/>
              <w:rPr>
                <w:lang w:val="en-AU"/>
              </w:rPr>
            </w:pPr>
            <w:r>
              <w:rPr>
                <w:lang w:val="en-AU"/>
              </w:rPr>
              <w:t xml:space="preserve">Stakeholder engagement - </w:t>
            </w:r>
            <w:r>
              <w:t>In July and August 2016, IAA undertook service visits to the STCAs and local service providers to increase face-to-face engagement and clarify the role of IAA</w:t>
            </w:r>
          </w:p>
        </w:tc>
      </w:tr>
    </w:tbl>
    <w:p w14:paraId="31986198" w14:textId="77777777" w:rsidR="000F33B0" w:rsidRDefault="000F33B0" w:rsidP="008D4831">
      <w:pPr>
        <w:pStyle w:val="Heading3"/>
      </w:pPr>
      <w:r>
        <w:t xml:space="preserve">In progress or planned changes </w:t>
      </w:r>
    </w:p>
    <w:p w14:paraId="3DE4CBA0" w14:textId="66A21575" w:rsidR="000F33B0" w:rsidRDefault="000F33B0" w:rsidP="000F33B0">
      <w:pPr>
        <w:pStyle w:val="Paragraph"/>
        <w:rPr>
          <w:lang w:eastAsia="en-AU"/>
        </w:rPr>
      </w:pPr>
      <w:r>
        <w:rPr>
          <w:lang w:eastAsia="en-AU"/>
        </w:rPr>
        <w:t xml:space="preserve">The following </w:t>
      </w:r>
      <w:r w:rsidR="000D13D0">
        <w:rPr>
          <w:lang w:eastAsia="en-AU"/>
        </w:rPr>
        <w:t xml:space="preserve">activities </w:t>
      </w:r>
      <w:r>
        <w:rPr>
          <w:lang w:eastAsia="en-AU"/>
        </w:rPr>
        <w:t>were reported to be currently underway:</w:t>
      </w:r>
    </w:p>
    <w:p w14:paraId="0D6496F0" w14:textId="4AD7B6DF" w:rsidR="000F33B0" w:rsidRDefault="000F33B0" w:rsidP="008D4831">
      <w:pPr>
        <w:pStyle w:val="Bullet1"/>
      </w:pPr>
      <w:r w:rsidRPr="008D4831">
        <w:rPr>
          <w:rStyle w:val="Strong"/>
        </w:rPr>
        <w:t>Addressing specific stakeholder needs</w:t>
      </w:r>
      <w:r>
        <w:t>:</w:t>
      </w:r>
    </w:p>
    <w:p w14:paraId="66FF388C" w14:textId="76E61B68" w:rsidR="000F33B0" w:rsidRPr="002536F7" w:rsidRDefault="000F33B0" w:rsidP="008D4831">
      <w:pPr>
        <w:pStyle w:val="Bullet2"/>
      </w:pPr>
      <w:r w:rsidRPr="002536F7">
        <w:t xml:space="preserve">Expatriate stakeholders.  Consultations are currently underway between DSS and </w:t>
      </w:r>
      <w:r w:rsidR="000D13D0" w:rsidRPr="002536F7">
        <w:t>a working group comprised of STCAs, DIBP, AGD, DFACT and AIHW</w:t>
      </w:r>
      <w:r w:rsidRPr="002536F7">
        <w:t xml:space="preserve"> to obtain feedback on new information for the IAA website</w:t>
      </w:r>
    </w:p>
    <w:p w14:paraId="68293803" w14:textId="4D39ADE2" w:rsidR="000F33B0" w:rsidRDefault="000F33B0" w:rsidP="008D4831">
      <w:pPr>
        <w:pStyle w:val="Bullet2"/>
      </w:pPr>
      <w:r>
        <w:t xml:space="preserve">Improved post-adoption support.  DSS </w:t>
      </w:r>
      <w:r w:rsidR="000D13D0">
        <w:t>is considering options to</w:t>
      </w:r>
      <w:r>
        <w:t xml:space="preserve"> improve the IAA’s information on tracing and reunification, and post adoption support </w:t>
      </w:r>
    </w:p>
    <w:p w14:paraId="1056AD2D" w14:textId="7E799140" w:rsidR="000F33B0" w:rsidRDefault="000F33B0" w:rsidP="008D4831">
      <w:pPr>
        <w:pStyle w:val="Bullet1"/>
      </w:pPr>
      <w:r w:rsidRPr="008D4831">
        <w:rPr>
          <w:rStyle w:val="Strong"/>
        </w:rPr>
        <w:t>Development of an online eligibility tool</w:t>
      </w:r>
      <w:r>
        <w:t>.  An interactive online eligibility tool is currently being developed to help people considering ICA navigate the myriad of options and information on the IAA website</w:t>
      </w:r>
    </w:p>
    <w:p w14:paraId="683E41E8" w14:textId="7712E58D" w:rsidR="000F33B0" w:rsidRPr="002536F7" w:rsidRDefault="000F33B0" w:rsidP="008D4831">
      <w:pPr>
        <w:pStyle w:val="Bullet1"/>
      </w:pPr>
      <w:r w:rsidRPr="002536F7">
        <w:rPr>
          <w:rStyle w:val="Strong"/>
        </w:rPr>
        <w:t>Consideration of a new client record management system</w:t>
      </w:r>
      <w:r w:rsidRPr="002536F7">
        <w:t xml:space="preserve">.  It is envisaged </w:t>
      </w:r>
      <w:r w:rsidR="000D13D0" w:rsidRPr="002536F7">
        <w:t>a new</w:t>
      </w:r>
      <w:r w:rsidRPr="002536F7">
        <w:t xml:space="preserve"> system</w:t>
      </w:r>
      <w:r w:rsidR="000D13D0" w:rsidRPr="002536F7">
        <w:t xml:space="preserve"> could</w:t>
      </w:r>
      <w:r w:rsidR="002536F7" w:rsidRPr="002536F7">
        <w:t xml:space="preserve"> </w:t>
      </w:r>
      <w:r w:rsidRPr="002536F7">
        <w:t xml:space="preserve">respond to changing information needs and enable more streamlined data entry, as well as avoiding duplication. </w:t>
      </w:r>
    </w:p>
    <w:tbl>
      <w:tblPr>
        <w:tblStyle w:val="TableGrid"/>
        <w:tblW w:w="0" w:type="auto"/>
        <w:tblInd w:w="108" w:type="dxa"/>
        <w:tblBorders>
          <w:top w:val="single" w:sz="4" w:space="0" w:color="0079C1" w:themeColor="text2"/>
          <w:left w:val="single" w:sz="4" w:space="0" w:color="0079C1" w:themeColor="text2"/>
          <w:bottom w:val="single" w:sz="4" w:space="0" w:color="0079C1" w:themeColor="text2"/>
          <w:right w:val="single" w:sz="4" w:space="0" w:color="0079C1" w:themeColor="text2"/>
          <w:insideH w:val="none" w:sz="0" w:space="0" w:color="auto"/>
          <w:insideV w:val="none" w:sz="0" w:space="0" w:color="auto"/>
        </w:tblBorders>
        <w:shd w:val="clear" w:color="auto" w:fill="E2F4FF" w:themeFill="accent1" w:themeFillTint="33"/>
        <w:tblLook w:val="04A0" w:firstRow="1" w:lastRow="0" w:firstColumn="1" w:lastColumn="0" w:noHBand="0" w:noVBand="1"/>
        <w:tblCaption w:val="Key findings:"/>
        <w:tblDescription w:val="Key findings:&#10;The following activities were reported to be currently underway:&#10;• Addressing specific stakeholder needs including expatriate stakeholders and post-adoption support &#10;• Development of an online eligibility tool  &#10;• Consideration of a new client record management system.  &#10;"/>
      </w:tblPr>
      <w:tblGrid>
        <w:gridCol w:w="9237"/>
      </w:tblGrid>
      <w:tr w:rsidR="008D4831" w:rsidRPr="00B43607" w14:paraId="43780541" w14:textId="77777777" w:rsidTr="004E43C8">
        <w:trPr>
          <w:tblHeader/>
        </w:trPr>
        <w:tc>
          <w:tcPr>
            <w:tcW w:w="9349" w:type="dxa"/>
            <w:shd w:val="clear" w:color="auto" w:fill="E2F4FF" w:themeFill="accent1" w:themeFillTint="33"/>
          </w:tcPr>
          <w:p w14:paraId="6988F2F0" w14:textId="77777777" w:rsidR="008D4831" w:rsidRPr="008A1452" w:rsidRDefault="008D4831" w:rsidP="00D2747A">
            <w:pPr>
              <w:pStyle w:val="Heading4"/>
              <w:outlineLvl w:val="3"/>
              <w:rPr>
                <w:color w:val="auto"/>
                <w:lang w:val="en-AU"/>
              </w:rPr>
            </w:pPr>
            <w:r w:rsidRPr="008A1452">
              <w:rPr>
                <w:color w:val="auto"/>
                <w:lang w:val="en-AU"/>
              </w:rPr>
              <w:t>Key findings:</w:t>
            </w:r>
          </w:p>
          <w:p w14:paraId="0E64A96A" w14:textId="1E5E78E9" w:rsidR="00D413DD" w:rsidRPr="00D413DD" w:rsidRDefault="00D413DD" w:rsidP="006C05A5">
            <w:pPr>
              <w:pStyle w:val="Bullet1"/>
              <w:numPr>
                <w:ilvl w:val="0"/>
                <w:numId w:val="0"/>
              </w:numPr>
              <w:rPr>
                <w:lang w:val="en-AU"/>
              </w:rPr>
            </w:pPr>
            <w:r w:rsidRPr="00D413DD">
              <w:rPr>
                <w:lang w:val="en-AU"/>
              </w:rPr>
              <w:t xml:space="preserve">The following </w:t>
            </w:r>
            <w:r w:rsidR="000D13D0">
              <w:rPr>
                <w:lang w:val="en-AU"/>
              </w:rPr>
              <w:t>activities</w:t>
            </w:r>
            <w:r w:rsidR="000D13D0" w:rsidRPr="00D413DD">
              <w:rPr>
                <w:lang w:val="en-AU"/>
              </w:rPr>
              <w:t xml:space="preserve"> </w:t>
            </w:r>
            <w:r w:rsidRPr="00D413DD">
              <w:rPr>
                <w:lang w:val="en-AU"/>
              </w:rPr>
              <w:t>were reported to be currently underway:</w:t>
            </w:r>
          </w:p>
          <w:p w14:paraId="76ED2FAC" w14:textId="1F97BB04" w:rsidR="00D413DD" w:rsidRPr="00D413DD" w:rsidRDefault="00D413DD" w:rsidP="006C05A5">
            <w:pPr>
              <w:pStyle w:val="Bullet1"/>
              <w:rPr>
                <w:lang w:val="en-AU"/>
              </w:rPr>
            </w:pPr>
            <w:r w:rsidRPr="006C05A5">
              <w:rPr>
                <w:lang w:val="en-AU"/>
              </w:rPr>
              <w:t xml:space="preserve">Addressing specific stakeholder </w:t>
            </w:r>
            <w:r w:rsidR="00661352">
              <w:rPr>
                <w:lang w:val="en-AU"/>
              </w:rPr>
              <w:t xml:space="preserve">needs </w:t>
            </w:r>
            <w:r w:rsidR="006C05A5" w:rsidRPr="006C05A5">
              <w:rPr>
                <w:lang w:val="en-AU"/>
              </w:rPr>
              <w:t xml:space="preserve">including </w:t>
            </w:r>
            <w:r w:rsidR="006C05A5">
              <w:rPr>
                <w:lang w:val="en-AU"/>
              </w:rPr>
              <w:t>e</w:t>
            </w:r>
            <w:r w:rsidRPr="006C05A5">
              <w:rPr>
                <w:lang w:val="en-AU"/>
              </w:rPr>
              <w:t>xpatriate stakeholders</w:t>
            </w:r>
            <w:r w:rsidR="006C05A5">
              <w:rPr>
                <w:lang w:val="en-AU"/>
              </w:rPr>
              <w:t xml:space="preserve"> and post-adoption support</w:t>
            </w:r>
            <w:r w:rsidRPr="00D413DD">
              <w:rPr>
                <w:lang w:val="en-AU"/>
              </w:rPr>
              <w:t xml:space="preserve"> </w:t>
            </w:r>
          </w:p>
          <w:p w14:paraId="044AE228" w14:textId="171BEBCB" w:rsidR="00D413DD" w:rsidRPr="00D413DD" w:rsidRDefault="00D413DD" w:rsidP="00D413DD">
            <w:pPr>
              <w:pStyle w:val="Bullet1"/>
              <w:rPr>
                <w:lang w:val="en-AU"/>
              </w:rPr>
            </w:pPr>
            <w:r w:rsidRPr="00D413DD">
              <w:rPr>
                <w:lang w:val="en-AU"/>
              </w:rPr>
              <w:t>Developmen</w:t>
            </w:r>
            <w:r w:rsidR="006C05A5">
              <w:rPr>
                <w:lang w:val="en-AU"/>
              </w:rPr>
              <w:t>t of an online eligibility tool</w:t>
            </w:r>
            <w:r w:rsidRPr="00D413DD">
              <w:rPr>
                <w:lang w:val="en-AU"/>
              </w:rPr>
              <w:t xml:space="preserve">  </w:t>
            </w:r>
          </w:p>
          <w:p w14:paraId="45DCD22E" w14:textId="088EF656" w:rsidR="008D4831" w:rsidRPr="00B43607" w:rsidRDefault="00D413DD" w:rsidP="006C05A5">
            <w:pPr>
              <w:pStyle w:val="Bullet1"/>
              <w:rPr>
                <w:lang w:val="en-AU"/>
              </w:rPr>
            </w:pPr>
            <w:r w:rsidRPr="00D413DD">
              <w:rPr>
                <w:lang w:val="en-AU"/>
              </w:rPr>
              <w:t xml:space="preserve">Consideration of a new client record management system.  </w:t>
            </w:r>
          </w:p>
        </w:tc>
      </w:tr>
    </w:tbl>
    <w:p w14:paraId="64DB147A" w14:textId="77777777" w:rsidR="000F33B0" w:rsidRDefault="000F33B0" w:rsidP="008D4831">
      <w:pPr>
        <w:pStyle w:val="Heading3"/>
      </w:pPr>
      <w:r>
        <w:t>Key challenges (ongoing)</w:t>
      </w:r>
    </w:p>
    <w:p w14:paraId="43AD7479" w14:textId="2D62AE50" w:rsidR="000F33B0" w:rsidRDefault="000F33B0" w:rsidP="000F33B0">
      <w:pPr>
        <w:pStyle w:val="Paragraph"/>
        <w:rPr>
          <w:lang w:eastAsia="en-AU"/>
        </w:rPr>
      </w:pPr>
      <w:r>
        <w:rPr>
          <w:lang w:eastAsia="en-AU"/>
        </w:rPr>
        <w:t>IAA reported a number of key on-going challenges in their delivery of services:</w:t>
      </w:r>
    </w:p>
    <w:p w14:paraId="705A0BDD" w14:textId="623DC5E6" w:rsidR="000F33B0" w:rsidRDefault="0098010A" w:rsidP="008D4831">
      <w:pPr>
        <w:pStyle w:val="Bullet1"/>
      </w:pPr>
      <w:r>
        <w:rPr>
          <w:rStyle w:val="Strong"/>
        </w:rPr>
        <w:t>Size of the t</w:t>
      </w:r>
      <w:r w:rsidR="0014298A">
        <w:rPr>
          <w:rStyle w:val="Strong"/>
        </w:rPr>
        <w:t>eam</w:t>
      </w:r>
      <w:r w:rsidR="000F33B0">
        <w:t xml:space="preserve">.  The IAA team comprises </w:t>
      </w:r>
      <w:r w:rsidR="00D27343">
        <w:t>5.3</w:t>
      </w:r>
      <w:r w:rsidR="000F33B0">
        <w:t xml:space="preserve"> FTE staff</w:t>
      </w:r>
      <w:r w:rsidR="000A5B15">
        <w:t xml:space="preserve"> working within the parameters of staffing the service from 9am to 5pm each work day</w:t>
      </w:r>
      <w:r w:rsidR="000F33B0">
        <w:t>.  The small team size poses considerable challenges to:</w:t>
      </w:r>
    </w:p>
    <w:p w14:paraId="4986092E" w14:textId="4246C058" w:rsidR="000F33B0" w:rsidRDefault="000F33B0" w:rsidP="008D4831">
      <w:pPr>
        <w:pStyle w:val="Bullet2"/>
      </w:pPr>
      <w:r>
        <w:lastRenderedPageBreak/>
        <w:t>Engaging in relationship building with the broad range of</w:t>
      </w:r>
      <w:r w:rsidR="00661352">
        <w:t xml:space="preserve"> stakeholders involved in ICA,</w:t>
      </w:r>
      <w:r>
        <w:t xml:space="preserve"> particularly face-to-face engagement</w:t>
      </w:r>
      <w:r w:rsidR="00661352">
        <w:t>,</w:t>
      </w:r>
      <w:r>
        <w:t xml:space="preserve"> when key stakeholders are geographically spread around Australia</w:t>
      </w:r>
      <w:r w:rsidR="00626DB3">
        <w:t xml:space="preserve"> </w:t>
      </w:r>
    </w:p>
    <w:p w14:paraId="361B1921" w14:textId="4F891267" w:rsidR="000F33B0" w:rsidRDefault="000F33B0" w:rsidP="008D4831">
      <w:pPr>
        <w:pStyle w:val="Bullet2"/>
      </w:pPr>
      <w:r>
        <w:t xml:space="preserve">Participating in key stakeholder events </w:t>
      </w:r>
    </w:p>
    <w:p w14:paraId="489FE4A6" w14:textId="3AD4D65C" w:rsidR="000F33B0" w:rsidRDefault="00F0332B" w:rsidP="008D4831">
      <w:pPr>
        <w:pStyle w:val="Bullet2"/>
      </w:pPr>
      <w:r>
        <w:t xml:space="preserve">Sustaining the current level of engagement with or </w:t>
      </w:r>
      <w:r w:rsidR="00E63656">
        <w:t>on behalf</w:t>
      </w:r>
      <w:r>
        <w:t xml:space="preserve"> of clients</w:t>
      </w:r>
      <w:r w:rsidR="000F33B0">
        <w:t xml:space="preserve">.  Staff expressed concern that as the service </w:t>
      </w:r>
      <w:r w:rsidR="0066612E">
        <w:t xml:space="preserve">gets </w:t>
      </w:r>
      <w:r w:rsidR="000F33B0">
        <w:t xml:space="preserve">busier, their capacity to </w:t>
      </w:r>
      <w:r>
        <w:t>engage</w:t>
      </w:r>
      <w:r w:rsidR="00E63656">
        <w:t xml:space="preserve"> with clients for long periods of time </w:t>
      </w:r>
      <w:r>
        <w:t xml:space="preserve">by phone and to undertake the extent of follow up currently </w:t>
      </w:r>
      <w:r w:rsidR="00E63656">
        <w:t>provide</w:t>
      </w:r>
      <w:r w:rsidR="0066612E">
        <w:t>d</w:t>
      </w:r>
      <w:r w:rsidR="00E63656">
        <w:t xml:space="preserve"> </w:t>
      </w:r>
      <w:r w:rsidR="000F33B0">
        <w:t>could be limited:</w:t>
      </w:r>
      <w:r w:rsidR="0066612E">
        <w:t xml:space="preserve"> </w:t>
      </w:r>
    </w:p>
    <w:p w14:paraId="39139018" w14:textId="6A67DBC8" w:rsidR="000F33B0" w:rsidRDefault="000F33B0" w:rsidP="008D4831">
      <w:pPr>
        <w:pStyle w:val="Quote"/>
        <w:ind w:left="1276"/>
        <w:rPr>
          <w:lang w:eastAsia="en-AU"/>
        </w:rPr>
      </w:pPr>
      <w:r>
        <w:rPr>
          <w:lang w:eastAsia="en-AU"/>
        </w:rPr>
        <w:t>“Clients can have lengthy el</w:t>
      </w:r>
      <w:r w:rsidR="00661352">
        <w:rPr>
          <w:lang w:eastAsia="en-AU"/>
        </w:rPr>
        <w:t>igibility conversations with us</w:t>
      </w:r>
      <w:r>
        <w:rPr>
          <w:lang w:eastAsia="en-AU"/>
        </w:rPr>
        <w:t>”</w:t>
      </w:r>
    </w:p>
    <w:p w14:paraId="3E8BAFC0" w14:textId="59EC704D" w:rsidR="000F33B0" w:rsidRDefault="000F33B0" w:rsidP="008D4831">
      <w:pPr>
        <w:pStyle w:val="Quote"/>
        <w:ind w:left="1276"/>
        <w:rPr>
          <w:lang w:eastAsia="en-AU"/>
        </w:rPr>
      </w:pPr>
      <w:r>
        <w:rPr>
          <w:lang w:eastAsia="en-AU"/>
        </w:rPr>
        <w:t>“Time is a limitation, we’ve been lucky, we’ve always been allowed to follow up with people, take time to learn, research.  We’ve never been given a time limit to wrap up a call or been told sorry you can’t help with that, it’s outside scope.  Sometimes it’s a straight forward referral, but often might be out of scope but sometimes there might not be anyone else for them to talk to.  We’ve always been able to approach supervisors to talk about how far we go.  I haven’t felt restricted or told to stop helping someone or to wrap it up in timeframes.  That’s been harder as we’ve gotten busier; we need to prioritise the cli</w:t>
      </w:r>
      <w:r w:rsidR="00661352">
        <w:rPr>
          <w:lang w:eastAsia="en-AU"/>
        </w:rPr>
        <w:t>ents</w:t>
      </w:r>
      <w:r>
        <w:rPr>
          <w:lang w:eastAsia="en-AU"/>
        </w:rPr>
        <w:t>”</w:t>
      </w:r>
      <w:r w:rsidR="00661352">
        <w:rPr>
          <w:lang w:eastAsia="en-AU"/>
        </w:rPr>
        <w:t>.</w:t>
      </w:r>
    </w:p>
    <w:p w14:paraId="0FE23A16" w14:textId="1E4841C4" w:rsidR="000F33B0" w:rsidRDefault="000D13D0" w:rsidP="008D4831">
      <w:pPr>
        <w:pStyle w:val="Bullet1"/>
      </w:pPr>
      <w:r>
        <w:rPr>
          <w:rStyle w:val="Strong"/>
        </w:rPr>
        <w:t>Adequacy of</w:t>
      </w:r>
      <w:r w:rsidRPr="008D4831">
        <w:rPr>
          <w:rStyle w:val="Strong"/>
        </w:rPr>
        <w:t xml:space="preserve"> </w:t>
      </w:r>
      <w:r w:rsidR="000F33B0" w:rsidRPr="008D4831">
        <w:rPr>
          <w:rStyle w:val="Strong"/>
        </w:rPr>
        <w:t>resources</w:t>
      </w:r>
      <w:r w:rsidR="000F33B0">
        <w:t xml:space="preserve"> (personnel and financial) </w:t>
      </w:r>
      <w:r>
        <w:t>for</w:t>
      </w:r>
      <w:r w:rsidR="000F33B0">
        <w:t xml:space="preserve"> the ongoing development of the website and other online applications in DSS such as the eligibility tool listed above</w:t>
      </w:r>
      <w:r w:rsidR="00661352">
        <w:t>.</w:t>
      </w:r>
    </w:p>
    <w:p w14:paraId="74DB0F98" w14:textId="3AA5E5E4" w:rsidR="000F33B0" w:rsidRDefault="000F33B0" w:rsidP="008D4831">
      <w:pPr>
        <w:pStyle w:val="Bullet1"/>
      </w:pPr>
      <w:r w:rsidRPr="008D4831">
        <w:rPr>
          <w:rStyle w:val="Strong"/>
        </w:rPr>
        <w:t>Meetings the diversity of client needs</w:t>
      </w:r>
      <w:r>
        <w:t>.  Staff highlighted three key elements in this regard:</w:t>
      </w:r>
    </w:p>
    <w:p w14:paraId="12F21D80" w14:textId="3EBF6CF0" w:rsidR="000F33B0" w:rsidRDefault="000F33B0" w:rsidP="005768A5">
      <w:pPr>
        <w:pStyle w:val="Bullet2"/>
      </w:pPr>
      <w:r w:rsidRPr="008D4831">
        <w:rPr>
          <w:rStyle w:val="Strong"/>
        </w:rPr>
        <w:t>Level of advice that can be provided to service users</w:t>
      </w:r>
      <w:r>
        <w:t xml:space="preserve">.  Staff reported that </w:t>
      </w:r>
      <w:r w:rsidR="005768A5">
        <w:t xml:space="preserve">some </w:t>
      </w:r>
      <w:r>
        <w:t>clients have the expectation that IAA can provide advice regarding policies that are under the remit of other Commonwealth departments.  A key example in this regard is immigration and passport advice.  While</w:t>
      </w:r>
      <w:r w:rsidR="005768A5" w:rsidRPr="005768A5">
        <w:t xml:space="preserve"> </w:t>
      </w:r>
      <w:r w:rsidR="005768A5">
        <w:t xml:space="preserve">IAA can </w:t>
      </w:r>
      <w:r w:rsidR="005768A5" w:rsidRPr="005768A5">
        <w:t xml:space="preserve">provide general guidance/information tailored to ICA adoption issues </w:t>
      </w:r>
      <w:r w:rsidR="00A12C64">
        <w:t xml:space="preserve">and provide </w:t>
      </w:r>
      <w:r>
        <w:t>facilitate</w:t>
      </w:r>
      <w:r w:rsidR="005768A5">
        <w:t>d</w:t>
      </w:r>
      <w:r>
        <w:t xml:space="preserve"> referrals </w:t>
      </w:r>
      <w:r w:rsidR="00A12C64">
        <w:t xml:space="preserve">to </w:t>
      </w:r>
      <w:r w:rsidR="005768A5">
        <w:t xml:space="preserve">Commonwealth departments for ICA-related clients, </w:t>
      </w:r>
      <w:r w:rsidR="0066612E">
        <w:t>immigration advice can only be provided by agents authorised by the Migration Agents Registration Authority (MARA)</w:t>
      </w:r>
      <w:r w:rsidR="00761DE8">
        <w:t>.</w:t>
      </w:r>
      <w:r w:rsidR="0066612E">
        <w:t xml:space="preserve">  </w:t>
      </w:r>
    </w:p>
    <w:p w14:paraId="6D6284E6" w14:textId="77777777" w:rsidR="000F33B0" w:rsidRDefault="000F33B0" w:rsidP="008D4831">
      <w:pPr>
        <w:pStyle w:val="Quote"/>
        <w:ind w:left="1276"/>
        <w:rPr>
          <w:lang w:eastAsia="en-AU"/>
        </w:rPr>
      </w:pPr>
      <w:r>
        <w:rPr>
          <w:lang w:eastAsia="en-AU"/>
        </w:rPr>
        <w:t xml:space="preserve">“The challenge for us is that we’re providing people advice on policy areas that sit in another agency, we’re regularly in communication with AGD and it’s hard because they’re not physically here.” </w:t>
      </w:r>
    </w:p>
    <w:p w14:paraId="77915DBE" w14:textId="50C30D67" w:rsidR="000F33B0" w:rsidRDefault="000F33B0" w:rsidP="008D4831">
      <w:pPr>
        <w:pStyle w:val="Bullet2"/>
      </w:pPr>
      <w:r w:rsidRPr="008D4831">
        <w:rPr>
          <w:rStyle w:val="Strong"/>
        </w:rPr>
        <w:t>The diversity of client needs</w:t>
      </w:r>
      <w:r>
        <w:t>.  Staff deal with calls from clients at all stages of the</w:t>
      </w:r>
      <w:r w:rsidR="005768A5">
        <w:t xml:space="preserve"> </w:t>
      </w:r>
      <w:r w:rsidR="009F0CD1">
        <w:t xml:space="preserve">intercountry adoption </w:t>
      </w:r>
      <w:r>
        <w:t>journey, many of whom are in an emotionally vulnerable state.  This can result in personal and professional challenges for staff.</w:t>
      </w:r>
    </w:p>
    <w:p w14:paraId="1EC63B56" w14:textId="77777777" w:rsidR="000F33B0" w:rsidRDefault="000F33B0" w:rsidP="008D4831">
      <w:pPr>
        <w:pStyle w:val="Quote"/>
        <w:ind w:left="1276"/>
        <w:rPr>
          <w:lang w:eastAsia="en-AU"/>
        </w:rPr>
      </w:pPr>
      <w:r>
        <w:rPr>
          <w:lang w:eastAsia="en-AU"/>
        </w:rPr>
        <w:t xml:space="preserve">“One struggle is that adoption is such a difficult space… you never know if you’re going to get a really traumatised couple who want to adopt and thinking adoption is their last option, and you try to be sympathetic and help them through that, and bringing them back to the Hague, making sure it’s in the best interest of the child, or… you might have a really traumatised person from an adult adoptee who was traumatised by the journey of adoption and the life that has resulted from adoption. “ </w:t>
      </w:r>
    </w:p>
    <w:p w14:paraId="35DF08B7" w14:textId="4D5E0998" w:rsidR="000F33B0" w:rsidRDefault="000F33B0" w:rsidP="008D4831">
      <w:pPr>
        <w:pStyle w:val="Bullet2"/>
      </w:pPr>
      <w:r w:rsidRPr="008D4831">
        <w:rPr>
          <w:rStyle w:val="Strong"/>
        </w:rPr>
        <w:t>Maintaining a child-focus</w:t>
      </w:r>
      <w:r>
        <w:t>.  Staff reported that parental clients often focus on their needs as parents rather than those of the child.  This can result in difficult conversations with clients.</w:t>
      </w:r>
    </w:p>
    <w:p w14:paraId="485E3058" w14:textId="50D5A909" w:rsidR="000F33B0" w:rsidRDefault="000F33B0" w:rsidP="008D4831">
      <w:pPr>
        <w:pStyle w:val="Quote"/>
        <w:ind w:left="1276"/>
        <w:rPr>
          <w:lang w:eastAsia="en-AU"/>
        </w:rPr>
      </w:pPr>
      <w:r>
        <w:rPr>
          <w:lang w:eastAsia="en-AU"/>
        </w:rPr>
        <w:lastRenderedPageBreak/>
        <w:t xml:space="preserve">“You have to remember you’re an advocate for the child not for the person calling you.  We see ourselves as here to uphold the convention, doing that sensitively is a daily challenge.  It’s a struggle.  As a social </w:t>
      </w:r>
      <w:r w:rsidR="00914083">
        <w:rPr>
          <w:lang w:eastAsia="en-AU"/>
        </w:rPr>
        <w:t>worker,</w:t>
      </w:r>
      <w:r>
        <w:rPr>
          <w:lang w:eastAsia="en-AU"/>
        </w:rPr>
        <w:t xml:space="preserve"> you’re always working for the client but here above all else you’re working for the child.”</w:t>
      </w:r>
    </w:p>
    <w:p w14:paraId="60716DF8" w14:textId="19CCE3BF" w:rsidR="000F33B0" w:rsidRDefault="000F33B0" w:rsidP="008D4831">
      <w:pPr>
        <w:pStyle w:val="Bullet1"/>
      </w:pPr>
      <w:r w:rsidRPr="008D4831">
        <w:rPr>
          <w:rStyle w:val="Strong"/>
        </w:rPr>
        <w:t>Data collection and managemen</w:t>
      </w:r>
      <w:r>
        <w:t xml:space="preserve">t.  Current data collection by staff was described as </w:t>
      </w:r>
      <w:r w:rsidRPr="008D4831">
        <w:rPr>
          <w:rStyle w:val="Emphasis"/>
        </w:rPr>
        <w:t>“very convoluted</w:t>
      </w:r>
      <w:r w:rsidR="008A7E2B">
        <w:rPr>
          <w:rStyle w:val="Emphasis"/>
        </w:rPr>
        <w:t>”</w:t>
      </w:r>
      <w:r>
        <w:t xml:space="preserve">, involving a </w:t>
      </w:r>
      <w:r w:rsidR="00D0352A">
        <w:rPr>
          <w:rStyle w:val="Emphasis"/>
        </w:rPr>
        <w:t>“</w:t>
      </w:r>
      <w:r w:rsidRPr="008D4831">
        <w:rPr>
          <w:rStyle w:val="Emphasis"/>
        </w:rPr>
        <w:t>myriad of recording systems”,</w:t>
      </w:r>
      <w:r>
        <w:t xml:space="preserve"> each with their own purpose, that </w:t>
      </w:r>
      <w:r w:rsidRPr="008D4831">
        <w:rPr>
          <w:rStyle w:val="Emphasis"/>
        </w:rPr>
        <w:t>“don’t always talk well to each other”</w:t>
      </w:r>
      <w:r>
        <w:t>.  Furthermore, as it had been originally developed with a focus on PAPs, its capacity to capture data related to the broader range of current clients was limited.  This has resulted in double handling of information and recording inefficiencies</w:t>
      </w:r>
      <w:r w:rsidR="000A5B15">
        <w:t xml:space="preserve">.  Staff </w:t>
      </w:r>
      <w:r w:rsidR="005662CD">
        <w:t xml:space="preserve">developed </w:t>
      </w:r>
      <w:r w:rsidR="005662CD" w:rsidRPr="005662CD">
        <w:t xml:space="preserve">Client </w:t>
      </w:r>
      <w:r w:rsidR="005662CD">
        <w:t>T</w:t>
      </w:r>
      <w:r w:rsidR="000A5B15" w:rsidRPr="005662CD">
        <w:t>racker</w:t>
      </w:r>
      <w:r w:rsidR="005662CD">
        <w:t>, an additional electronic resource for recording client data that is not captured in Sharepoint (li</w:t>
      </w:r>
      <w:r w:rsidR="00D0352A">
        <w:t xml:space="preserve">mitations of Sharepoint data were </w:t>
      </w:r>
      <w:r w:rsidR="005662CD">
        <w:t>highlight</w:t>
      </w:r>
      <w:r w:rsidR="00D0352A">
        <w:t xml:space="preserve">ed in </w:t>
      </w:r>
      <w:r w:rsidR="00D0352A" w:rsidRPr="005662CD">
        <w:rPr>
          <w:rStyle w:val="Emphasis"/>
        </w:rPr>
        <w:fldChar w:fldCharType="begin"/>
      </w:r>
      <w:r w:rsidR="00D0352A" w:rsidRPr="005662CD">
        <w:rPr>
          <w:rStyle w:val="Emphasis"/>
        </w:rPr>
        <w:instrText xml:space="preserve"> REF _Ref462648201 \h </w:instrText>
      </w:r>
      <w:r w:rsidR="00D0352A">
        <w:rPr>
          <w:rStyle w:val="Emphasis"/>
        </w:rPr>
        <w:instrText xml:space="preserve"> \* MERGEFORMAT </w:instrText>
      </w:r>
      <w:r w:rsidR="00D0352A" w:rsidRPr="005662CD">
        <w:rPr>
          <w:rStyle w:val="Emphasis"/>
        </w:rPr>
      </w:r>
      <w:r w:rsidR="00D0352A" w:rsidRPr="005662CD">
        <w:rPr>
          <w:rStyle w:val="Emphasis"/>
        </w:rPr>
        <w:fldChar w:fldCharType="separate"/>
      </w:r>
      <w:r w:rsidR="00487073" w:rsidRPr="00487073">
        <w:rPr>
          <w:rStyle w:val="Emphasis"/>
        </w:rPr>
        <w:t>Table 5</w:t>
      </w:r>
      <w:r w:rsidR="00487073" w:rsidRPr="00487073">
        <w:rPr>
          <w:rStyle w:val="Emphasis"/>
        </w:rPr>
        <w:noBreakHyphen/>
        <w:t>7</w:t>
      </w:r>
      <w:r w:rsidR="00D0352A" w:rsidRPr="005662CD">
        <w:rPr>
          <w:rStyle w:val="Emphasis"/>
        </w:rPr>
        <w:fldChar w:fldCharType="end"/>
      </w:r>
      <w:r w:rsidR="005662CD">
        <w:rPr>
          <w:rStyle w:val="Emphasis"/>
        </w:rPr>
        <w:t>)</w:t>
      </w:r>
      <w:r w:rsidR="00D0352A">
        <w:t>.</w:t>
      </w:r>
    </w:p>
    <w:p w14:paraId="7A94A04D" w14:textId="00923547" w:rsidR="000F33B0" w:rsidRDefault="000F33B0" w:rsidP="008D4831">
      <w:pPr>
        <w:pStyle w:val="Paragraph"/>
        <w:ind w:left="720"/>
        <w:rPr>
          <w:lang w:eastAsia="en-AU"/>
        </w:rPr>
      </w:pPr>
      <w:r>
        <w:rPr>
          <w:lang w:eastAsia="en-AU"/>
        </w:rPr>
        <w:t xml:space="preserve">As outlined earlier in </w:t>
      </w:r>
      <w:r w:rsidRPr="008D4831">
        <w:rPr>
          <w:rStyle w:val="Emphasis"/>
          <w:lang w:eastAsia="en-AU"/>
        </w:rPr>
        <w:t>Section</w:t>
      </w:r>
      <w:r w:rsidR="008D4831" w:rsidRPr="008D4831">
        <w:rPr>
          <w:rStyle w:val="Emphasis"/>
        </w:rPr>
        <w:t xml:space="preserve"> </w:t>
      </w:r>
      <w:r w:rsidR="008D4831" w:rsidRPr="008D4831">
        <w:rPr>
          <w:rStyle w:val="Emphasis"/>
        </w:rPr>
        <w:fldChar w:fldCharType="begin"/>
      </w:r>
      <w:r w:rsidR="008D4831" w:rsidRPr="008D4831">
        <w:rPr>
          <w:rStyle w:val="Emphasis"/>
        </w:rPr>
        <w:instrText xml:space="preserve"> REF _Ref463005123 \r \h </w:instrText>
      </w:r>
      <w:r w:rsidR="008D4831">
        <w:rPr>
          <w:rStyle w:val="Emphasis"/>
        </w:rPr>
        <w:instrText xml:space="preserve"> \* MERGEFORMAT </w:instrText>
      </w:r>
      <w:r w:rsidR="008D4831" w:rsidRPr="008D4831">
        <w:rPr>
          <w:rStyle w:val="Emphasis"/>
        </w:rPr>
      </w:r>
      <w:r w:rsidR="008D4831" w:rsidRPr="008D4831">
        <w:rPr>
          <w:rStyle w:val="Emphasis"/>
        </w:rPr>
        <w:fldChar w:fldCharType="separate"/>
      </w:r>
      <w:r w:rsidR="00487073">
        <w:rPr>
          <w:rStyle w:val="Emphasis"/>
        </w:rPr>
        <w:t>5.3</w:t>
      </w:r>
      <w:r w:rsidR="008D4831" w:rsidRPr="008D4831">
        <w:rPr>
          <w:rStyle w:val="Emphasis"/>
        </w:rPr>
        <w:fldChar w:fldCharType="end"/>
      </w:r>
      <w:r>
        <w:rPr>
          <w:lang w:eastAsia="en-AU"/>
        </w:rPr>
        <w:t>, the current data collection and management system limited assessment of IAA activities against a number of the KPIs specified in the</w:t>
      </w:r>
      <w:r w:rsidR="008B0955">
        <w:rPr>
          <w:lang w:eastAsia="en-AU"/>
        </w:rPr>
        <w:t xml:space="preserve"> </w:t>
      </w:r>
      <w:r w:rsidR="008B0955">
        <w:t>Reform</w:t>
      </w:r>
      <w:r>
        <w:rPr>
          <w:lang w:eastAsia="en-AU"/>
        </w:rPr>
        <w:t xml:space="preserve"> Implementation Plan.</w:t>
      </w:r>
    </w:p>
    <w:tbl>
      <w:tblPr>
        <w:tblStyle w:val="TableGrid"/>
        <w:tblW w:w="0" w:type="auto"/>
        <w:tblInd w:w="108" w:type="dxa"/>
        <w:tblBorders>
          <w:top w:val="single" w:sz="4" w:space="0" w:color="0079C1" w:themeColor="text2"/>
          <w:left w:val="single" w:sz="4" w:space="0" w:color="0079C1" w:themeColor="text2"/>
          <w:bottom w:val="single" w:sz="4" w:space="0" w:color="0079C1" w:themeColor="text2"/>
          <w:right w:val="single" w:sz="4" w:space="0" w:color="0079C1" w:themeColor="text2"/>
          <w:insideH w:val="none" w:sz="0" w:space="0" w:color="auto"/>
          <w:insideV w:val="none" w:sz="0" w:space="0" w:color="auto"/>
        </w:tblBorders>
        <w:shd w:val="clear" w:color="auto" w:fill="E2F4FF" w:themeFill="accent1" w:themeFillTint="33"/>
        <w:tblLook w:val="04A0" w:firstRow="1" w:lastRow="0" w:firstColumn="1" w:lastColumn="0" w:noHBand="0" w:noVBand="1"/>
        <w:tblCaption w:val="Key findings:"/>
        <w:tblDescription w:val="Key findings:&#10;IAA reported a number of key on-going challenges in their delivery of services:&#10;• Team size.  The IAA team comprises 5.3 FTE staff.  The small team size poses considerable challenges to:&#10; Engaging in relationship building with the broad range of stakeholders involved in intercountry adoption &#10; Participating in key stakeholder events &#10;• Meeting the time demands of engaging with clients.  Staff expressed concern that as the service is getting busier, their capacity to provide the current level service could be limited:&#10;• Limited resources (personnel and financial) have been allocated to the ongoing development of the website and other online applications in DSS such as the eligibility tool listed above&#10;• Meeting the diversity of client needs in terms of: &#10; Level of advice that can be provided to service users particularly with regard to immigration and passport advice &#10; The diversity of client needs across all stages of the intercountry adoption journey, many of whom are in an emotionally vulnerable state&#10; Maintaining a child-focus when parental clients focus on their needs as parents rather than those of the child.  &#10;• Data collection and management.  Current data collection in SharePoint is limited in its capacity to capture data related to the broader range of current clients.  This has resulted in double handling of information and recording inefficiencies.  &#10;"/>
      </w:tblPr>
      <w:tblGrid>
        <w:gridCol w:w="9237"/>
      </w:tblGrid>
      <w:tr w:rsidR="006C05A5" w:rsidRPr="00B43607" w14:paraId="631288B4" w14:textId="77777777" w:rsidTr="004E43C8">
        <w:trPr>
          <w:tblHeader/>
        </w:trPr>
        <w:tc>
          <w:tcPr>
            <w:tcW w:w="9349" w:type="dxa"/>
            <w:shd w:val="clear" w:color="auto" w:fill="E2F4FF" w:themeFill="accent1" w:themeFillTint="33"/>
          </w:tcPr>
          <w:p w14:paraId="2DAF8BC7" w14:textId="77777777" w:rsidR="006C05A5" w:rsidRPr="008A1452" w:rsidRDefault="006C05A5" w:rsidP="00B356FC">
            <w:pPr>
              <w:pStyle w:val="Heading4"/>
              <w:outlineLvl w:val="3"/>
              <w:rPr>
                <w:color w:val="auto"/>
                <w:lang w:val="en-AU"/>
              </w:rPr>
            </w:pPr>
            <w:r w:rsidRPr="008A1452">
              <w:rPr>
                <w:color w:val="auto"/>
                <w:lang w:val="en-AU"/>
              </w:rPr>
              <w:t>Key findings:</w:t>
            </w:r>
          </w:p>
          <w:p w14:paraId="4292298F" w14:textId="423103D3" w:rsidR="006C05A5" w:rsidRPr="00D413DD" w:rsidRDefault="006C05A5" w:rsidP="00B356FC">
            <w:pPr>
              <w:pStyle w:val="Bullet1"/>
              <w:numPr>
                <w:ilvl w:val="0"/>
                <w:numId w:val="0"/>
              </w:numPr>
              <w:rPr>
                <w:lang w:val="en-AU"/>
              </w:rPr>
            </w:pPr>
            <w:r w:rsidRPr="006C05A5">
              <w:rPr>
                <w:lang w:val="en-AU"/>
              </w:rPr>
              <w:t>IAA reported a number of key on-going challenges in their delivery of services:</w:t>
            </w:r>
          </w:p>
          <w:p w14:paraId="20478C5A" w14:textId="09FCBF43" w:rsidR="006C05A5" w:rsidRPr="006C05A5" w:rsidRDefault="0098010A" w:rsidP="006C05A5">
            <w:pPr>
              <w:pStyle w:val="Bullet1"/>
              <w:rPr>
                <w:lang w:val="en-AU"/>
              </w:rPr>
            </w:pPr>
            <w:r>
              <w:rPr>
                <w:rStyle w:val="Strong"/>
              </w:rPr>
              <w:t>Team size.</w:t>
            </w:r>
            <w:r w:rsidR="006C05A5" w:rsidRPr="006C05A5">
              <w:rPr>
                <w:lang w:val="en-AU"/>
              </w:rPr>
              <w:t xml:space="preserve">  The IAA team comprises </w:t>
            </w:r>
            <w:r w:rsidR="005662CD">
              <w:rPr>
                <w:lang w:val="en-AU"/>
              </w:rPr>
              <w:t>5.3</w:t>
            </w:r>
            <w:r w:rsidR="006C05A5" w:rsidRPr="006C05A5">
              <w:rPr>
                <w:lang w:val="en-AU"/>
              </w:rPr>
              <w:t xml:space="preserve"> FTE staff.  The small team size poses considerable challenges to:</w:t>
            </w:r>
          </w:p>
          <w:p w14:paraId="73E02831" w14:textId="7753F741" w:rsidR="006C05A5" w:rsidRPr="006C05A5" w:rsidRDefault="006C05A5" w:rsidP="006C05A5">
            <w:pPr>
              <w:pStyle w:val="Bullet2"/>
              <w:rPr>
                <w:lang w:val="en-AU"/>
              </w:rPr>
            </w:pPr>
            <w:r w:rsidRPr="006C05A5">
              <w:rPr>
                <w:lang w:val="en-AU"/>
              </w:rPr>
              <w:t xml:space="preserve">Engaging in relationship building with the broad range of stakeholders involved in </w:t>
            </w:r>
            <w:r w:rsidR="009F0CD1">
              <w:rPr>
                <w:lang w:val="en-AU"/>
              </w:rPr>
              <w:t>intercountry adoption</w:t>
            </w:r>
            <w:r w:rsidRPr="006C05A5">
              <w:rPr>
                <w:lang w:val="en-AU"/>
              </w:rPr>
              <w:t xml:space="preserve"> </w:t>
            </w:r>
          </w:p>
          <w:p w14:paraId="7972D549" w14:textId="77777777" w:rsidR="006C05A5" w:rsidRPr="006C05A5" w:rsidRDefault="006C05A5" w:rsidP="006C05A5">
            <w:pPr>
              <w:pStyle w:val="Bullet2"/>
              <w:rPr>
                <w:lang w:val="en-AU"/>
              </w:rPr>
            </w:pPr>
            <w:r w:rsidRPr="006C05A5">
              <w:rPr>
                <w:lang w:val="en-AU"/>
              </w:rPr>
              <w:t xml:space="preserve">Participating in key stakeholder events </w:t>
            </w:r>
          </w:p>
          <w:p w14:paraId="456D4A87" w14:textId="6B417704" w:rsidR="006C05A5" w:rsidRPr="006C05A5" w:rsidRDefault="006C05A5" w:rsidP="006C05A5">
            <w:pPr>
              <w:pStyle w:val="Bullet1"/>
              <w:rPr>
                <w:lang w:val="en-AU"/>
              </w:rPr>
            </w:pPr>
            <w:r w:rsidRPr="006C05A5">
              <w:rPr>
                <w:rStyle w:val="Strong"/>
                <w:lang w:val="en-AU"/>
              </w:rPr>
              <w:t>Meeting the time demands of engaging with clients</w:t>
            </w:r>
            <w:r w:rsidRPr="006C05A5">
              <w:rPr>
                <w:lang w:val="en-AU"/>
              </w:rPr>
              <w:t>.  Staff expressed concern that as the service is getting busier, their capacity to provide the current level service could be limited:</w:t>
            </w:r>
          </w:p>
          <w:p w14:paraId="524BB2A3" w14:textId="77777777" w:rsidR="006C05A5" w:rsidRPr="006C05A5" w:rsidRDefault="006C05A5" w:rsidP="006C05A5">
            <w:pPr>
              <w:pStyle w:val="Bullet1"/>
              <w:rPr>
                <w:lang w:val="en-AU"/>
              </w:rPr>
            </w:pPr>
            <w:r w:rsidRPr="006C05A5">
              <w:rPr>
                <w:rStyle w:val="Strong"/>
                <w:lang w:val="en-AU"/>
              </w:rPr>
              <w:t>Limited resource</w:t>
            </w:r>
            <w:r w:rsidRPr="00CD2CFC">
              <w:rPr>
                <w:rStyle w:val="Strong"/>
              </w:rPr>
              <w:t>s</w:t>
            </w:r>
            <w:r w:rsidRPr="006C05A5">
              <w:rPr>
                <w:lang w:val="en-AU"/>
              </w:rPr>
              <w:t xml:space="preserve"> (personnel and financial) have been allocated to the ongoing development of the website and other online applications in DSS such as the eligibility tool listed above</w:t>
            </w:r>
          </w:p>
          <w:p w14:paraId="3D110283" w14:textId="44C6A88B" w:rsidR="006C05A5" w:rsidRPr="006C05A5" w:rsidRDefault="006C05A5" w:rsidP="006C05A5">
            <w:pPr>
              <w:pStyle w:val="Bullet1"/>
              <w:rPr>
                <w:lang w:val="en-AU"/>
              </w:rPr>
            </w:pPr>
            <w:r w:rsidRPr="006C05A5">
              <w:rPr>
                <w:rStyle w:val="Strong"/>
                <w:lang w:val="en-AU"/>
              </w:rPr>
              <w:t>Meeting the diversity of client needs</w:t>
            </w:r>
            <w:r>
              <w:rPr>
                <w:rStyle w:val="Strong"/>
                <w:lang w:val="en-AU"/>
              </w:rPr>
              <w:t xml:space="preserve"> </w:t>
            </w:r>
            <w:r w:rsidRPr="006C05A5">
              <w:rPr>
                <w:rStyle w:val="Strong"/>
                <w:b w:val="0"/>
                <w:lang w:val="en-AU"/>
              </w:rPr>
              <w:t>in terms of:</w:t>
            </w:r>
            <w:r w:rsidRPr="006C05A5">
              <w:rPr>
                <w:lang w:val="en-AU"/>
              </w:rPr>
              <w:t xml:space="preserve"> </w:t>
            </w:r>
          </w:p>
          <w:p w14:paraId="47A18764" w14:textId="1CD95894" w:rsidR="006C05A5" w:rsidRPr="006C05A5" w:rsidRDefault="006C05A5" w:rsidP="006C05A5">
            <w:pPr>
              <w:pStyle w:val="Bullet2"/>
              <w:rPr>
                <w:lang w:val="en-AU"/>
              </w:rPr>
            </w:pPr>
            <w:r w:rsidRPr="006C05A5">
              <w:rPr>
                <w:lang w:val="en-AU"/>
              </w:rPr>
              <w:t>Level of advice that can be provided to service users</w:t>
            </w:r>
            <w:r>
              <w:rPr>
                <w:lang w:val="en-AU"/>
              </w:rPr>
              <w:t xml:space="preserve"> particularly with </w:t>
            </w:r>
            <w:r w:rsidRPr="006C05A5">
              <w:rPr>
                <w:lang w:val="en-AU"/>
              </w:rPr>
              <w:t xml:space="preserve">regard </w:t>
            </w:r>
            <w:r>
              <w:rPr>
                <w:lang w:val="en-AU"/>
              </w:rPr>
              <w:t>to</w:t>
            </w:r>
            <w:r w:rsidRPr="006C05A5">
              <w:rPr>
                <w:lang w:val="en-AU"/>
              </w:rPr>
              <w:t xml:space="preserve"> immigration and passport advice </w:t>
            </w:r>
          </w:p>
          <w:p w14:paraId="0B0EF76A" w14:textId="143CA495" w:rsidR="006C05A5" w:rsidRDefault="006C05A5" w:rsidP="009F0CD1">
            <w:pPr>
              <w:pStyle w:val="Bullet2"/>
              <w:rPr>
                <w:lang w:val="en-AU"/>
              </w:rPr>
            </w:pPr>
            <w:r w:rsidRPr="006C05A5">
              <w:rPr>
                <w:lang w:val="en-AU"/>
              </w:rPr>
              <w:t>The diversity of client needs</w:t>
            </w:r>
            <w:r>
              <w:rPr>
                <w:lang w:val="en-AU"/>
              </w:rPr>
              <w:t xml:space="preserve"> across</w:t>
            </w:r>
            <w:r w:rsidRPr="006C05A5">
              <w:rPr>
                <w:lang w:val="en-AU"/>
              </w:rPr>
              <w:t xml:space="preserve"> all stages of the </w:t>
            </w:r>
            <w:r w:rsidR="009F0CD1" w:rsidRPr="009F0CD1">
              <w:rPr>
                <w:lang w:val="en-AU"/>
              </w:rPr>
              <w:t>intercountry adoption</w:t>
            </w:r>
            <w:r w:rsidR="009F0CD1">
              <w:rPr>
                <w:lang w:val="en-AU"/>
              </w:rPr>
              <w:t xml:space="preserve"> </w:t>
            </w:r>
            <w:r w:rsidRPr="006C05A5">
              <w:rPr>
                <w:lang w:val="en-AU"/>
              </w:rPr>
              <w:t>journey, many of whom are in an emotionally vulnerable state</w:t>
            </w:r>
          </w:p>
          <w:p w14:paraId="2DD78644" w14:textId="77777777" w:rsidR="006C05A5" w:rsidRDefault="006C05A5" w:rsidP="006C05A5">
            <w:pPr>
              <w:pStyle w:val="Bullet2"/>
              <w:rPr>
                <w:lang w:val="en-AU"/>
              </w:rPr>
            </w:pPr>
            <w:r w:rsidRPr="006C05A5">
              <w:rPr>
                <w:lang w:val="en-AU"/>
              </w:rPr>
              <w:t>Maintaining a child-focus</w:t>
            </w:r>
            <w:r>
              <w:rPr>
                <w:lang w:val="en-AU"/>
              </w:rPr>
              <w:t xml:space="preserve"> when</w:t>
            </w:r>
            <w:r w:rsidRPr="006C05A5">
              <w:rPr>
                <w:lang w:val="en-AU"/>
              </w:rPr>
              <w:t xml:space="preserve"> parental clients focus on their needs as parents rather than those of the child.  </w:t>
            </w:r>
          </w:p>
          <w:p w14:paraId="347E0F02" w14:textId="761A6274" w:rsidR="006C05A5" w:rsidRPr="00B43607" w:rsidRDefault="006C05A5" w:rsidP="00551F9E">
            <w:pPr>
              <w:pStyle w:val="Bullet1"/>
              <w:rPr>
                <w:lang w:val="en-AU"/>
              </w:rPr>
            </w:pPr>
            <w:r w:rsidRPr="006C05A5">
              <w:rPr>
                <w:rStyle w:val="Strong"/>
                <w:lang w:val="en-AU"/>
              </w:rPr>
              <w:t>Data collection and management</w:t>
            </w:r>
            <w:r w:rsidRPr="006C05A5">
              <w:rPr>
                <w:lang w:val="en-AU"/>
              </w:rPr>
              <w:t xml:space="preserve">.  Current data collection </w:t>
            </w:r>
            <w:r w:rsidR="00551F9E">
              <w:rPr>
                <w:lang w:val="en-AU"/>
              </w:rPr>
              <w:t>in SharePoint</w:t>
            </w:r>
            <w:r w:rsidRPr="006C05A5">
              <w:rPr>
                <w:lang w:val="en-AU"/>
              </w:rPr>
              <w:t xml:space="preserve"> </w:t>
            </w:r>
            <w:r>
              <w:rPr>
                <w:lang w:val="en-AU"/>
              </w:rPr>
              <w:t xml:space="preserve">is limited in its capacity to </w:t>
            </w:r>
            <w:r w:rsidRPr="006C05A5">
              <w:rPr>
                <w:lang w:val="en-AU"/>
              </w:rPr>
              <w:t>capture data related to the broader range of current clients</w:t>
            </w:r>
            <w:r w:rsidR="00551F9E">
              <w:rPr>
                <w:lang w:val="en-AU"/>
              </w:rPr>
              <w:t xml:space="preserve">.  This </w:t>
            </w:r>
            <w:r w:rsidRPr="006C05A5">
              <w:rPr>
                <w:lang w:val="en-AU"/>
              </w:rPr>
              <w:t xml:space="preserve">has resulted in double handling of information and recording inefficiencies.  </w:t>
            </w:r>
          </w:p>
        </w:tc>
      </w:tr>
    </w:tbl>
    <w:p w14:paraId="018E0BA4" w14:textId="77777777" w:rsidR="006C05A5" w:rsidRDefault="006C05A5" w:rsidP="008D4831">
      <w:pPr>
        <w:pStyle w:val="Paragraph"/>
        <w:ind w:left="720"/>
        <w:rPr>
          <w:lang w:eastAsia="en-AU"/>
        </w:rPr>
      </w:pPr>
    </w:p>
    <w:p w14:paraId="32D6A8AD" w14:textId="76AE6E2A" w:rsidR="000F33B0" w:rsidRDefault="006C05A5" w:rsidP="008D4831">
      <w:pPr>
        <w:pStyle w:val="Heading3"/>
      </w:pPr>
      <w:r>
        <w:lastRenderedPageBreak/>
        <w:t>Summary of k</w:t>
      </w:r>
      <w:r w:rsidR="000F33B0">
        <w:t>ey findings</w:t>
      </w:r>
      <w:r>
        <w:t xml:space="preserve"> related to KPIs </w:t>
      </w:r>
    </w:p>
    <w:p w14:paraId="40645720" w14:textId="56BB39CC" w:rsidR="000F33B0" w:rsidRDefault="000F33B0" w:rsidP="000F33B0">
      <w:pPr>
        <w:pStyle w:val="Paragraph"/>
        <w:rPr>
          <w:lang w:eastAsia="en-AU"/>
        </w:rPr>
      </w:pPr>
      <w:r>
        <w:rPr>
          <w:lang w:eastAsia="en-AU"/>
        </w:rPr>
        <w:t>Summary traffic light icons are used to indicate progress against measure</w:t>
      </w:r>
      <w:r w:rsidR="00661352">
        <w:rPr>
          <w:lang w:eastAsia="en-AU"/>
        </w:rPr>
        <w:t>s</w:t>
      </w:r>
      <w:r>
        <w:rPr>
          <w:lang w:eastAsia="en-AU"/>
        </w:rPr>
        <w:t xml:space="preserve"> of success and KPIs specified in the </w:t>
      </w:r>
      <w:r w:rsidR="008B0955">
        <w:t>Reform</w:t>
      </w:r>
      <w:r w:rsidR="008B0955">
        <w:rPr>
          <w:lang w:eastAsia="en-AU"/>
        </w:rPr>
        <w:t xml:space="preserve"> </w:t>
      </w:r>
      <w:r>
        <w:rPr>
          <w:lang w:eastAsia="en-AU"/>
        </w:rPr>
        <w:t>Implementation Plan.</w:t>
      </w:r>
    </w:p>
    <w:p w14:paraId="7ABB6E09" w14:textId="77777777" w:rsidR="008D4831" w:rsidRPr="00D650FD" w:rsidRDefault="008D4831" w:rsidP="00661352">
      <w:pPr>
        <w:pStyle w:val="Paragraph"/>
        <w:keepNext/>
        <w:rPr>
          <w:rFonts w:eastAsia="Arial Unicode MS" w:cs="Calibri"/>
          <w:b/>
          <w:color w:val="0079C1" w:themeColor="text2"/>
          <w:sz w:val="24"/>
          <w:szCs w:val="88"/>
          <w:lang w:eastAsia="en-AU"/>
        </w:rPr>
      </w:pPr>
      <w:r w:rsidRPr="00D650FD">
        <w:rPr>
          <w:rFonts w:eastAsia="Arial Unicode MS" w:cs="Calibri"/>
          <w:b/>
          <w:color w:val="0079C1" w:themeColor="text2"/>
          <w:sz w:val="24"/>
          <w:szCs w:val="88"/>
          <w:lang w:eastAsia="en-AU"/>
        </w:rPr>
        <w:t>Traffic Light Key</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raffic Light Key"/>
      </w:tblPr>
      <w:tblGrid>
        <w:gridCol w:w="850"/>
        <w:gridCol w:w="7327"/>
      </w:tblGrid>
      <w:tr w:rsidR="008D4831" w:rsidRPr="00D650FD" w14:paraId="26BC19CF" w14:textId="77777777" w:rsidTr="00F25A33">
        <w:trPr>
          <w:trHeight w:val="779"/>
          <w:tblHeader/>
        </w:trPr>
        <w:tc>
          <w:tcPr>
            <w:tcW w:w="850" w:type="dxa"/>
            <w:vAlign w:val="center"/>
          </w:tcPr>
          <w:p w14:paraId="03794895" w14:textId="4674BDC3" w:rsidR="008D4831" w:rsidRPr="00D650FD" w:rsidRDefault="000B67DE" w:rsidP="00661352">
            <w:pPr>
              <w:keepNext/>
              <w:tabs>
                <w:tab w:val="left" w:pos="318"/>
              </w:tabs>
              <w:spacing w:before="60" w:after="60"/>
              <w:jc w:val="center"/>
              <w:rPr>
                <w:color w:val="000000" w:themeColor="text1"/>
              </w:rPr>
            </w:pPr>
            <w:bookmarkStart w:id="138" w:name="_GoBack"/>
            <w:r>
              <w:rPr>
                <w:noProof/>
                <w:color w:val="000000" w:themeColor="text1"/>
                <w:lang w:eastAsia="en-AU"/>
              </w:rPr>
              <w:drawing>
                <wp:inline distT="0" distB="0" distL="0" distR="0" wp14:anchorId="07A0C1D4" wp14:editId="3D388947">
                  <wp:extent cx="262255" cy="262255"/>
                  <wp:effectExtent l="0" t="0" r="4445" b="4445"/>
                  <wp:docPr id="23" name="Picture 23" descr="Good progress made in thi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pic:spPr>
                      </pic:pic>
                    </a:graphicData>
                  </a:graphic>
                </wp:inline>
              </w:drawing>
            </w:r>
            <w:bookmarkEnd w:id="138"/>
          </w:p>
        </w:tc>
        <w:tc>
          <w:tcPr>
            <w:tcW w:w="7327" w:type="dxa"/>
            <w:vAlign w:val="center"/>
          </w:tcPr>
          <w:p w14:paraId="5EE2329A" w14:textId="7159C934" w:rsidR="008D4831" w:rsidRPr="00D650FD" w:rsidRDefault="008D4831" w:rsidP="00661352">
            <w:pPr>
              <w:keepNext/>
              <w:tabs>
                <w:tab w:val="left" w:pos="318"/>
              </w:tabs>
              <w:spacing w:before="60" w:after="60"/>
              <w:rPr>
                <w:color w:val="000000" w:themeColor="text1"/>
              </w:rPr>
            </w:pPr>
            <w:r w:rsidRPr="00D650FD">
              <w:rPr>
                <w:color w:val="000000" w:themeColor="text1"/>
              </w:rPr>
              <w:t>Good progress made in this area, on track to achieve</w:t>
            </w:r>
            <w:r>
              <w:rPr>
                <w:color w:val="000000" w:themeColor="text1"/>
              </w:rPr>
              <w:t xml:space="preserve"> or has achieved </w:t>
            </w:r>
            <w:r w:rsidRPr="00D650FD">
              <w:rPr>
                <w:color w:val="000000" w:themeColor="text1"/>
              </w:rPr>
              <w:t>desired outcome</w:t>
            </w:r>
          </w:p>
        </w:tc>
      </w:tr>
      <w:tr w:rsidR="008D4831" w:rsidRPr="00D650FD" w14:paraId="6A263000" w14:textId="77777777" w:rsidTr="00D2747A">
        <w:trPr>
          <w:trHeight w:val="657"/>
        </w:trPr>
        <w:tc>
          <w:tcPr>
            <w:tcW w:w="850" w:type="dxa"/>
            <w:vAlign w:val="center"/>
          </w:tcPr>
          <w:p w14:paraId="1936E834" w14:textId="14B69CCB" w:rsidR="008D4831" w:rsidRPr="00D650FD" w:rsidRDefault="000B67DE" w:rsidP="00D2747A">
            <w:pPr>
              <w:tabs>
                <w:tab w:val="left" w:pos="318"/>
              </w:tabs>
              <w:spacing w:before="60" w:after="60"/>
              <w:jc w:val="center"/>
              <w:rPr>
                <w:color w:val="000000" w:themeColor="text1"/>
              </w:rPr>
            </w:pPr>
            <w:r>
              <w:rPr>
                <w:noProof/>
                <w:color w:val="000000" w:themeColor="text1"/>
                <w:lang w:eastAsia="en-AU"/>
              </w:rPr>
              <w:drawing>
                <wp:inline distT="0" distB="0" distL="0" distR="0" wp14:anchorId="3CA9CB39" wp14:editId="58E61B61">
                  <wp:extent cx="262255" cy="262255"/>
                  <wp:effectExtent l="0" t="0" r="4445" b="4445"/>
                  <wp:docPr id="25" name="Picture 25" descr="Progress has been made towards achieving the desired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pic:spPr>
                      </pic:pic>
                    </a:graphicData>
                  </a:graphic>
                </wp:inline>
              </w:drawing>
            </w:r>
          </w:p>
        </w:tc>
        <w:tc>
          <w:tcPr>
            <w:tcW w:w="7327" w:type="dxa"/>
            <w:vAlign w:val="center"/>
          </w:tcPr>
          <w:p w14:paraId="6A76C9BC" w14:textId="77777777" w:rsidR="008D4831" w:rsidRPr="00D650FD" w:rsidRDefault="008D4831" w:rsidP="00D2747A">
            <w:pPr>
              <w:tabs>
                <w:tab w:val="left" w:pos="318"/>
              </w:tabs>
              <w:spacing w:before="60" w:after="60"/>
              <w:rPr>
                <w:color w:val="000000" w:themeColor="text1"/>
              </w:rPr>
            </w:pPr>
            <w:r w:rsidRPr="00D650FD">
              <w:rPr>
                <w:color w:val="000000" w:themeColor="text1"/>
              </w:rPr>
              <w:t>Progress has been made towards achieving the desired outcome, but some aspects still require more work or further supporting information</w:t>
            </w:r>
          </w:p>
        </w:tc>
      </w:tr>
      <w:tr w:rsidR="008D4831" w:rsidRPr="00D650FD" w14:paraId="4A21EF0B" w14:textId="77777777" w:rsidTr="00D2747A">
        <w:trPr>
          <w:trHeight w:val="657"/>
        </w:trPr>
        <w:tc>
          <w:tcPr>
            <w:tcW w:w="850" w:type="dxa"/>
            <w:vAlign w:val="center"/>
          </w:tcPr>
          <w:p w14:paraId="560C4FC2" w14:textId="39671790" w:rsidR="008D4831" w:rsidRPr="00D650FD" w:rsidRDefault="0083556D" w:rsidP="00D2747A">
            <w:pPr>
              <w:tabs>
                <w:tab w:val="left" w:pos="318"/>
              </w:tabs>
              <w:spacing w:before="60" w:after="60"/>
              <w:jc w:val="center"/>
              <w:rPr>
                <w:color w:val="000000" w:themeColor="text1"/>
              </w:rPr>
            </w:pPr>
            <w:r>
              <w:rPr>
                <w:noProof/>
                <w:color w:val="000000" w:themeColor="text1"/>
                <w:lang w:eastAsia="en-AU"/>
              </w:rPr>
              <w:drawing>
                <wp:inline distT="0" distB="0" distL="0" distR="0" wp14:anchorId="42FFD032" wp14:editId="6AE2E2AE">
                  <wp:extent cx="262255" cy="262255"/>
                  <wp:effectExtent l="0" t="0" r="4445" b="4445"/>
                  <wp:docPr id="910" name="Picture 910" descr="There is currently insufficient evidence or data to indicate progress in thi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pic:spPr>
                      </pic:pic>
                    </a:graphicData>
                  </a:graphic>
                </wp:inline>
              </w:drawing>
            </w:r>
          </w:p>
        </w:tc>
        <w:tc>
          <w:tcPr>
            <w:tcW w:w="7327" w:type="dxa"/>
            <w:vAlign w:val="center"/>
          </w:tcPr>
          <w:p w14:paraId="315CA490" w14:textId="77777777" w:rsidR="008D4831" w:rsidRPr="00D650FD" w:rsidRDefault="008D4831" w:rsidP="00D2747A">
            <w:pPr>
              <w:tabs>
                <w:tab w:val="left" w:pos="318"/>
              </w:tabs>
              <w:spacing w:before="60" w:after="60"/>
              <w:rPr>
                <w:color w:val="000000" w:themeColor="text1"/>
              </w:rPr>
            </w:pPr>
            <w:r w:rsidRPr="00D650FD">
              <w:rPr>
                <w:color w:val="000000" w:themeColor="text1"/>
              </w:rPr>
              <w:t>There is cur</w:t>
            </w:r>
            <w:r>
              <w:rPr>
                <w:color w:val="000000" w:themeColor="text1"/>
              </w:rPr>
              <w:t xml:space="preserve">rently insufficient evidence or data </w:t>
            </w:r>
            <w:r w:rsidRPr="00D650FD">
              <w:rPr>
                <w:color w:val="000000" w:themeColor="text1"/>
              </w:rPr>
              <w:t>to indicate progress in this area</w:t>
            </w:r>
          </w:p>
        </w:tc>
      </w:tr>
    </w:tbl>
    <w:tbl>
      <w:tblPr>
        <w:tblW w:w="5000" w:type="pct"/>
        <w:tblBorders>
          <w:top w:val="single" w:sz="4" w:space="0" w:color="00A2C1" w:themeColor="accent3"/>
          <w:bottom w:val="single" w:sz="4" w:space="0" w:color="00A2C1" w:themeColor="accent3"/>
          <w:insideH w:val="single" w:sz="4" w:space="0" w:color="BFE7FF" w:themeColor="text2" w:themeTint="33"/>
          <w:insideV w:val="single" w:sz="4" w:space="0" w:color="E2F4FF" w:themeColor="accent1" w:themeTint="33"/>
        </w:tblBorders>
        <w:tblCellMar>
          <w:top w:w="108" w:type="dxa"/>
          <w:bottom w:w="108" w:type="dxa"/>
        </w:tblCellMar>
        <w:tblLook w:val="04A0" w:firstRow="1" w:lastRow="0" w:firstColumn="1" w:lastColumn="0" w:noHBand="0" w:noVBand="1"/>
        <w:tblDescription w:val="Traffic Light Key"/>
      </w:tblPr>
      <w:tblGrid>
        <w:gridCol w:w="4109"/>
        <w:gridCol w:w="999"/>
        <w:gridCol w:w="4247"/>
      </w:tblGrid>
      <w:tr w:rsidR="008D4831" w:rsidRPr="00D650FD" w14:paraId="3B1F3A72" w14:textId="77777777" w:rsidTr="00D2747A">
        <w:trPr>
          <w:cantSplit/>
          <w:tblHeader/>
        </w:trPr>
        <w:tc>
          <w:tcPr>
            <w:tcW w:w="2202" w:type="pct"/>
            <w:tcBorders>
              <w:top w:val="single" w:sz="4" w:space="0" w:color="0079C1" w:themeColor="text2"/>
              <w:bottom w:val="single" w:sz="4" w:space="0" w:color="0079C1" w:themeColor="text2"/>
            </w:tcBorders>
            <w:shd w:val="clear" w:color="auto" w:fill="0079C1" w:themeFill="text2"/>
            <w:vAlign w:val="center"/>
          </w:tcPr>
          <w:p w14:paraId="12DC64D2" w14:textId="77777777" w:rsidR="008D4831" w:rsidRPr="00D650FD" w:rsidRDefault="008D4831" w:rsidP="00D2747A">
            <w:pPr>
              <w:keepLines/>
              <w:tabs>
                <w:tab w:val="left" w:pos="318"/>
              </w:tabs>
              <w:spacing w:before="120" w:after="120"/>
              <w:rPr>
                <w:rFonts w:eastAsiaTheme="minorHAnsi" w:cs="Calibri"/>
                <w:b/>
                <w:color w:val="FFFFFF" w:themeColor="background1"/>
                <w:szCs w:val="20"/>
                <w:lang w:eastAsia="en-AU"/>
              </w:rPr>
            </w:pPr>
            <w:r w:rsidRPr="00D650FD">
              <w:rPr>
                <w:rFonts w:eastAsiaTheme="minorHAnsi" w:cs="Calibri"/>
                <w:b/>
                <w:color w:val="FFFFFF" w:themeColor="background1"/>
                <w:szCs w:val="20"/>
                <w:lang w:eastAsia="en-AU"/>
              </w:rPr>
              <w:t>Measure of success</w:t>
            </w:r>
          </w:p>
        </w:tc>
        <w:tc>
          <w:tcPr>
            <w:tcW w:w="522" w:type="pct"/>
            <w:tcBorders>
              <w:top w:val="single" w:sz="4" w:space="0" w:color="0079C1" w:themeColor="text2"/>
              <w:bottom w:val="single" w:sz="4" w:space="0" w:color="0079C1" w:themeColor="text2"/>
            </w:tcBorders>
            <w:shd w:val="clear" w:color="auto" w:fill="0079C1" w:themeFill="text2"/>
            <w:vAlign w:val="center"/>
          </w:tcPr>
          <w:p w14:paraId="2C148E61" w14:textId="77777777" w:rsidR="008D4831" w:rsidRPr="00D650FD" w:rsidRDefault="008D4831" w:rsidP="00D2747A">
            <w:pPr>
              <w:keepLines/>
              <w:tabs>
                <w:tab w:val="left" w:pos="318"/>
              </w:tabs>
              <w:spacing w:before="120" w:after="120"/>
              <w:jc w:val="center"/>
              <w:rPr>
                <w:rFonts w:eastAsiaTheme="minorHAnsi" w:cs="Calibri"/>
                <w:b/>
                <w:color w:val="FFFFFF" w:themeColor="background1"/>
                <w:szCs w:val="20"/>
                <w:lang w:eastAsia="en-AU"/>
              </w:rPr>
            </w:pPr>
            <w:r w:rsidRPr="00D650FD">
              <w:rPr>
                <w:rFonts w:eastAsiaTheme="minorHAnsi" w:cs="Calibri"/>
                <w:b/>
                <w:color w:val="FFFFFF" w:themeColor="background1"/>
                <w:szCs w:val="20"/>
                <w:lang w:eastAsia="en-AU"/>
              </w:rPr>
              <w:t>Progress</w:t>
            </w:r>
          </w:p>
        </w:tc>
        <w:tc>
          <w:tcPr>
            <w:tcW w:w="2276" w:type="pct"/>
            <w:tcBorders>
              <w:top w:val="single" w:sz="4" w:space="0" w:color="0079C1" w:themeColor="text2"/>
              <w:bottom w:val="single" w:sz="4" w:space="0" w:color="0079C1" w:themeColor="text2"/>
            </w:tcBorders>
            <w:shd w:val="clear" w:color="auto" w:fill="0079C1" w:themeFill="text2"/>
            <w:vAlign w:val="center"/>
          </w:tcPr>
          <w:p w14:paraId="2BA6DAA8" w14:textId="77777777" w:rsidR="008D4831" w:rsidRPr="00D650FD" w:rsidRDefault="008D4831" w:rsidP="00D2747A">
            <w:pPr>
              <w:keepLines/>
              <w:tabs>
                <w:tab w:val="left" w:pos="318"/>
              </w:tabs>
              <w:spacing w:before="120" w:after="120"/>
              <w:rPr>
                <w:rFonts w:eastAsiaTheme="minorHAnsi" w:cs="Calibri"/>
                <w:b/>
                <w:color w:val="FFFFFF" w:themeColor="background1"/>
                <w:szCs w:val="20"/>
                <w:lang w:eastAsia="en-AU"/>
              </w:rPr>
            </w:pPr>
            <w:r w:rsidRPr="00D650FD">
              <w:rPr>
                <w:rFonts w:eastAsiaTheme="minorHAnsi" w:cs="Calibri"/>
                <w:b/>
                <w:color w:val="FFFFFF" w:themeColor="background1"/>
                <w:szCs w:val="20"/>
                <w:lang w:eastAsia="en-AU"/>
              </w:rPr>
              <w:t xml:space="preserve">Commentary </w:t>
            </w:r>
          </w:p>
        </w:tc>
      </w:tr>
      <w:tr w:rsidR="00AC78CB" w:rsidRPr="00D650FD" w14:paraId="73452081" w14:textId="77777777" w:rsidTr="00D2747A">
        <w:trPr>
          <w:cantSplit/>
        </w:trPr>
        <w:tc>
          <w:tcPr>
            <w:tcW w:w="2202" w:type="pct"/>
            <w:tcBorders>
              <w:top w:val="single" w:sz="4" w:space="0" w:color="0079C1" w:themeColor="text2"/>
              <w:bottom w:val="single" w:sz="4" w:space="0" w:color="BFE7FF" w:themeColor="text2" w:themeTint="33"/>
            </w:tcBorders>
            <w:shd w:val="clear" w:color="auto" w:fill="auto"/>
          </w:tcPr>
          <w:p w14:paraId="3811F1F8" w14:textId="77777777" w:rsidR="00AC78CB" w:rsidRPr="00D650FD" w:rsidRDefault="00AC78CB" w:rsidP="00D2747A">
            <w:pPr>
              <w:tabs>
                <w:tab w:val="left" w:pos="318"/>
              </w:tabs>
              <w:spacing w:before="60" w:after="60"/>
              <w:rPr>
                <w:color w:val="000000" w:themeColor="text1"/>
              </w:rPr>
            </w:pPr>
            <w:r w:rsidRPr="00D650FD">
              <w:rPr>
                <w:color w:val="000000" w:themeColor="text1"/>
              </w:rPr>
              <w:t>More than 10 calls per month to the information line</w:t>
            </w:r>
          </w:p>
        </w:tc>
        <w:tc>
          <w:tcPr>
            <w:tcW w:w="522" w:type="pct"/>
            <w:tcBorders>
              <w:top w:val="single" w:sz="4" w:space="0" w:color="0079C1" w:themeColor="text2"/>
              <w:bottom w:val="single" w:sz="4" w:space="0" w:color="BFE7FF" w:themeColor="text2" w:themeTint="33"/>
            </w:tcBorders>
            <w:shd w:val="clear" w:color="auto" w:fill="auto"/>
          </w:tcPr>
          <w:p w14:paraId="237C86AB" w14:textId="62E5074A" w:rsidR="00AC78CB" w:rsidRPr="00D650FD" w:rsidRDefault="000B67DE" w:rsidP="00D2747A">
            <w:pPr>
              <w:tabs>
                <w:tab w:val="left" w:pos="318"/>
              </w:tabs>
              <w:spacing w:before="60" w:after="60"/>
              <w:jc w:val="center"/>
              <w:rPr>
                <w:color w:val="000000" w:themeColor="text1"/>
              </w:rPr>
            </w:pPr>
            <w:r>
              <w:rPr>
                <w:noProof/>
                <w:color w:val="000000" w:themeColor="text1"/>
                <w:lang w:eastAsia="en-AU"/>
              </w:rPr>
              <w:drawing>
                <wp:inline distT="0" distB="0" distL="0" distR="0" wp14:anchorId="07558A09" wp14:editId="779D412D">
                  <wp:extent cx="262255" cy="262255"/>
                  <wp:effectExtent l="0" t="0" r="4445" b="4445"/>
                  <wp:docPr id="17" name="Picture 17" descr="Good progress made in thi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pic:spPr>
                      </pic:pic>
                    </a:graphicData>
                  </a:graphic>
                </wp:inline>
              </w:drawing>
            </w:r>
          </w:p>
        </w:tc>
        <w:tc>
          <w:tcPr>
            <w:tcW w:w="2276" w:type="pct"/>
            <w:tcBorders>
              <w:top w:val="single" w:sz="4" w:space="0" w:color="0079C1" w:themeColor="text2"/>
              <w:bottom w:val="single" w:sz="4" w:space="0" w:color="BFE7FF" w:themeColor="text2" w:themeTint="33"/>
            </w:tcBorders>
          </w:tcPr>
          <w:p w14:paraId="7B472436" w14:textId="18EF5A04" w:rsidR="00AC78CB" w:rsidRPr="00D650FD" w:rsidRDefault="00AC78CB" w:rsidP="00D2747A">
            <w:pPr>
              <w:tabs>
                <w:tab w:val="left" w:pos="318"/>
              </w:tabs>
              <w:spacing w:before="60" w:after="60"/>
              <w:rPr>
                <w:color w:val="000000" w:themeColor="text1"/>
              </w:rPr>
            </w:pPr>
            <w:r>
              <w:rPr>
                <w:color w:val="000000" w:themeColor="text1"/>
              </w:rPr>
              <w:t>KPI exceeded</w:t>
            </w:r>
          </w:p>
        </w:tc>
      </w:tr>
      <w:tr w:rsidR="00AC78CB" w:rsidRPr="00D650FD" w14:paraId="2915F451" w14:textId="77777777" w:rsidTr="00D2747A">
        <w:trPr>
          <w:cantSplit/>
        </w:trPr>
        <w:tc>
          <w:tcPr>
            <w:tcW w:w="2202" w:type="pct"/>
            <w:tcBorders>
              <w:top w:val="single" w:sz="4" w:space="0" w:color="BFE7FF" w:themeColor="text2" w:themeTint="33"/>
              <w:bottom w:val="single" w:sz="4" w:space="0" w:color="BFE7FF" w:themeColor="text2" w:themeTint="33"/>
            </w:tcBorders>
            <w:shd w:val="clear" w:color="auto" w:fill="auto"/>
          </w:tcPr>
          <w:p w14:paraId="3DFCDC7D" w14:textId="77777777" w:rsidR="00AC78CB" w:rsidRPr="00D650FD" w:rsidRDefault="00AC78CB" w:rsidP="00D2747A">
            <w:pPr>
              <w:tabs>
                <w:tab w:val="left" w:pos="318"/>
              </w:tabs>
              <w:spacing w:before="60" w:after="60"/>
              <w:rPr>
                <w:color w:val="000000" w:themeColor="text1"/>
              </w:rPr>
            </w:pPr>
            <w:r w:rsidRPr="00D650FD">
              <w:rPr>
                <w:color w:val="000000" w:themeColor="text1"/>
              </w:rPr>
              <w:t>More than 50 visits per month to the website</w:t>
            </w:r>
          </w:p>
        </w:tc>
        <w:tc>
          <w:tcPr>
            <w:tcW w:w="522" w:type="pct"/>
            <w:tcBorders>
              <w:top w:val="single" w:sz="4" w:space="0" w:color="BFE7FF" w:themeColor="text2" w:themeTint="33"/>
              <w:bottom w:val="single" w:sz="4" w:space="0" w:color="BFE7FF" w:themeColor="text2" w:themeTint="33"/>
            </w:tcBorders>
            <w:shd w:val="clear" w:color="auto" w:fill="auto"/>
          </w:tcPr>
          <w:p w14:paraId="28A38958" w14:textId="3D550ED6" w:rsidR="00AC78CB" w:rsidRPr="00D650FD" w:rsidRDefault="000B67DE" w:rsidP="00D2747A">
            <w:pPr>
              <w:tabs>
                <w:tab w:val="left" w:pos="318"/>
              </w:tabs>
              <w:spacing w:before="60" w:after="60"/>
              <w:jc w:val="center"/>
              <w:rPr>
                <w:rFonts w:cs="Arial"/>
                <w:color w:val="000000" w:themeColor="text1"/>
                <w:lang w:eastAsia="en-AU"/>
              </w:rPr>
            </w:pPr>
            <w:r>
              <w:rPr>
                <w:noProof/>
                <w:color w:val="000000" w:themeColor="text1"/>
                <w:lang w:eastAsia="en-AU"/>
              </w:rPr>
              <w:drawing>
                <wp:inline distT="0" distB="0" distL="0" distR="0" wp14:anchorId="0326FEE3" wp14:editId="0A0D0776">
                  <wp:extent cx="262255" cy="262255"/>
                  <wp:effectExtent l="0" t="0" r="4445" b="4445"/>
                  <wp:docPr id="18" name="Picture 18" descr="Good progress made in thi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pic:spPr>
                      </pic:pic>
                    </a:graphicData>
                  </a:graphic>
                </wp:inline>
              </w:drawing>
            </w:r>
          </w:p>
        </w:tc>
        <w:tc>
          <w:tcPr>
            <w:tcW w:w="2276" w:type="pct"/>
            <w:tcBorders>
              <w:top w:val="single" w:sz="4" w:space="0" w:color="BFE7FF" w:themeColor="text2" w:themeTint="33"/>
              <w:bottom w:val="single" w:sz="4" w:space="0" w:color="BFE7FF" w:themeColor="text2" w:themeTint="33"/>
            </w:tcBorders>
          </w:tcPr>
          <w:p w14:paraId="24D8B7F5" w14:textId="0805F2BE" w:rsidR="00AC78CB" w:rsidRPr="00D650FD" w:rsidRDefault="00AC78CB" w:rsidP="00D2747A">
            <w:pPr>
              <w:tabs>
                <w:tab w:val="left" w:pos="318"/>
              </w:tabs>
              <w:spacing w:before="60" w:after="60"/>
              <w:rPr>
                <w:color w:val="000000" w:themeColor="text1"/>
                <w:lang w:eastAsia="en-AU"/>
              </w:rPr>
            </w:pPr>
            <w:r>
              <w:rPr>
                <w:color w:val="000000" w:themeColor="text1"/>
                <w:lang w:eastAsia="en-AU"/>
              </w:rPr>
              <w:t xml:space="preserve">KPI exceeded </w:t>
            </w:r>
          </w:p>
        </w:tc>
      </w:tr>
      <w:tr w:rsidR="00AC78CB" w:rsidRPr="00D650FD" w14:paraId="0FCFB82E" w14:textId="77777777" w:rsidTr="00D2747A">
        <w:trPr>
          <w:cantSplit/>
        </w:trPr>
        <w:tc>
          <w:tcPr>
            <w:tcW w:w="2202" w:type="pct"/>
            <w:tcBorders>
              <w:top w:val="single" w:sz="4" w:space="0" w:color="BFE7FF" w:themeColor="text2" w:themeTint="33"/>
            </w:tcBorders>
            <w:shd w:val="clear" w:color="auto" w:fill="auto"/>
          </w:tcPr>
          <w:p w14:paraId="4A4A97C0" w14:textId="77777777" w:rsidR="00AC78CB" w:rsidRPr="00D650FD" w:rsidRDefault="00AC78CB" w:rsidP="00D2747A">
            <w:pPr>
              <w:tabs>
                <w:tab w:val="left" w:pos="318"/>
              </w:tabs>
              <w:spacing w:before="60" w:after="60"/>
              <w:rPr>
                <w:color w:val="000000" w:themeColor="text1"/>
              </w:rPr>
            </w:pPr>
            <w:r w:rsidRPr="00D650FD">
              <w:rPr>
                <w:color w:val="000000" w:themeColor="text1"/>
              </w:rPr>
              <w:t>More than 50 email enquiries per month</w:t>
            </w:r>
          </w:p>
        </w:tc>
        <w:tc>
          <w:tcPr>
            <w:tcW w:w="522" w:type="pct"/>
            <w:tcBorders>
              <w:top w:val="single" w:sz="4" w:space="0" w:color="BFE7FF" w:themeColor="text2" w:themeTint="33"/>
            </w:tcBorders>
            <w:shd w:val="clear" w:color="auto" w:fill="auto"/>
          </w:tcPr>
          <w:p w14:paraId="2AAC6FCD" w14:textId="63B494C3" w:rsidR="00AC78CB" w:rsidRPr="00D650FD" w:rsidRDefault="000B67DE" w:rsidP="00D2747A">
            <w:pPr>
              <w:tabs>
                <w:tab w:val="left" w:pos="318"/>
              </w:tabs>
              <w:spacing w:before="60" w:after="60"/>
              <w:jc w:val="center"/>
              <w:rPr>
                <w:rFonts w:cs="Arial"/>
                <w:color w:val="000000" w:themeColor="text1"/>
                <w:lang w:eastAsia="en-AU"/>
              </w:rPr>
            </w:pPr>
            <w:r>
              <w:rPr>
                <w:noProof/>
                <w:color w:val="000000" w:themeColor="text1"/>
                <w:lang w:eastAsia="en-AU"/>
              </w:rPr>
              <w:drawing>
                <wp:inline distT="0" distB="0" distL="0" distR="0" wp14:anchorId="21BBEAC3" wp14:editId="412A0039">
                  <wp:extent cx="262255" cy="262255"/>
                  <wp:effectExtent l="0" t="0" r="4445" b="4445"/>
                  <wp:docPr id="19" name="Picture 19" descr="Good progress made in thi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pic:spPr>
                      </pic:pic>
                    </a:graphicData>
                  </a:graphic>
                </wp:inline>
              </w:drawing>
            </w:r>
          </w:p>
        </w:tc>
        <w:tc>
          <w:tcPr>
            <w:tcW w:w="2276" w:type="pct"/>
            <w:tcBorders>
              <w:top w:val="single" w:sz="4" w:space="0" w:color="BFE7FF" w:themeColor="text2" w:themeTint="33"/>
            </w:tcBorders>
          </w:tcPr>
          <w:p w14:paraId="3449D727" w14:textId="75DE0553" w:rsidR="00AC78CB" w:rsidRPr="00D650FD" w:rsidRDefault="00AC78CB" w:rsidP="00D2747A">
            <w:pPr>
              <w:tabs>
                <w:tab w:val="left" w:pos="318"/>
              </w:tabs>
              <w:spacing w:before="60" w:after="60"/>
              <w:rPr>
                <w:color w:val="000000" w:themeColor="text1"/>
                <w:lang w:eastAsia="en-AU"/>
              </w:rPr>
            </w:pPr>
            <w:r>
              <w:rPr>
                <w:color w:val="000000" w:themeColor="text1"/>
                <w:lang w:eastAsia="en-AU"/>
              </w:rPr>
              <w:t>KPI exceeded</w:t>
            </w:r>
          </w:p>
        </w:tc>
      </w:tr>
      <w:tr w:rsidR="00AC78CB" w:rsidRPr="00D650FD" w14:paraId="430C9AC0" w14:textId="77777777" w:rsidTr="00D2747A">
        <w:trPr>
          <w:cantSplit/>
        </w:trPr>
        <w:tc>
          <w:tcPr>
            <w:tcW w:w="2202" w:type="pct"/>
            <w:shd w:val="clear" w:color="auto" w:fill="auto"/>
          </w:tcPr>
          <w:p w14:paraId="2ED97B5A" w14:textId="77777777" w:rsidR="00AC78CB" w:rsidRPr="00D650FD" w:rsidRDefault="00AC78CB" w:rsidP="00D2747A">
            <w:pPr>
              <w:tabs>
                <w:tab w:val="left" w:pos="318"/>
              </w:tabs>
              <w:spacing w:before="60" w:after="60"/>
              <w:rPr>
                <w:color w:val="000000" w:themeColor="text1"/>
              </w:rPr>
            </w:pPr>
            <w:r w:rsidRPr="00D650FD">
              <w:rPr>
                <w:color w:val="000000" w:themeColor="text1"/>
              </w:rPr>
              <w:t>More than 80% of calls are answered by information line staff within 20 seconds</w:t>
            </w:r>
          </w:p>
        </w:tc>
        <w:tc>
          <w:tcPr>
            <w:tcW w:w="522" w:type="pct"/>
            <w:shd w:val="clear" w:color="auto" w:fill="auto"/>
          </w:tcPr>
          <w:p w14:paraId="685DFFD6" w14:textId="535671A5" w:rsidR="00AC78CB" w:rsidRPr="00D650FD" w:rsidRDefault="000B67DE" w:rsidP="00D2747A">
            <w:pPr>
              <w:tabs>
                <w:tab w:val="left" w:pos="318"/>
              </w:tabs>
              <w:spacing w:before="60" w:after="60"/>
              <w:jc w:val="center"/>
              <w:rPr>
                <w:noProof/>
                <w:color w:val="000000" w:themeColor="text1"/>
                <w:lang w:val="en-AU" w:eastAsia="en-AU"/>
              </w:rPr>
            </w:pPr>
            <w:r>
              <w:rPr>
                <w:noProof/>
                <w:color w:val="000000" w:themeColor="text1"/>
                <w:lang w:eastAsia="en-AU"/>
              </w:rPr>
              <w:drawing>
                <wp:inline distT="0" distB="0" distL="0" distR="0" wp14:anchorId="3652B610" wp14:editId="1E1F459A">
                  <wp:extent cx="262255" cy="262255"/>
                  <wp:effectExtent l="0" t="0" r="4445" b="4445"/>
                  <wp:docPr id="22" name="Picture 22" descr="Good progress made in thi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pic:spPr>
                      </pic:pic>
                    </a:graphicData>
                  </a:graphic>
                </wp:inline>
              </w:drawing>
            </w:r>
          </w:p>
        </w:tc>
        <w:tc>
          <w:tcPr>
            <w:tcW w:w="2276" w:type="pct"/>
          </w:tcPr>
          <w:p w14:paraId="792CB444" w14:textId="617F439A" w:rsidR="00AC78CB" w:rsidRPr="00D650FD" w:rsidRDefault="00AC78CB" w:rsidP="00D2747A">
            <w:pPr>
              <w:tabs>
                <w:tab w:val="left" w:pos="318"/>
              </w:tabs>
              <w:spacing w:before="60" w:after="60"/>
              <w:rPr>
                <w:color w:val="000000" w:themeColor="text1"/>
                <w:lang w:eastAsia="en-AU"/>
              </w:rPr>
            </w:pPr>
            <w:r>
              <w:rPr>
                <w:color w:val="000000" w:themeColor="text1"/>
                <w:lang w:eastAsia="en-AU"/>
              </w:rPr>
              <w:t>KPI exceeded</w:t>
            </w:r>
          </w:p>
        </w:tc>
      </w:tr>
      <w:tr w:rsidR="00AC78CB" w:rsidRPr="00D650FD" w14:paraId="46D1272A" w14:textId="77777777" w:rsidTr="00D2747A">
        <w:trPr>
          <w:cantSplit/>
        </w:trPr>
        <w:tc>
          <w:tcPr>
            <w:tcW w:w="2202" w:type="pct"/>
            <w:shd w:val="clear" w:color="auto" w:fill="auto"/>
          </w:tcPr>
          <w:p w14:paraId="55998FF1" w14:textId="77777777" w:rsidR="00AC78CB" w:rsidRPr="00D650FD" w:rsidRDefault="00AC78CB" w:rsidP="00D2747A">
            <w:pPr>
              <w:tabs>
                <w:tab w:val="left" w:pos="318"/>
              </w:tabs>
              <w:spacing w:before="60" w:after="60"/>
              <w:rPr>
                <w:color w:val="000000" w:themeColor="text1"/>
              </w:rPr>
            </w:pPr>
            <w:r w:rsidRPr="00D650FD">
              <w:rPr>
                <w:rFonts w:cs="Arial"/>
                <w:color w:val="000000" w:themeColor="text1"/>
                <w:lang w:eastAsia="en-AU"/>
              </w:rPr>
              <w:t>More than 50% of clients who contact the information line receive at least one referral</w:t>
            </w:r>
          </w:p>
        </w:tc>
        <w:tc>
          <w:tcPr>
            <w:tcW w:w="522" w:type="pct"/>
            <w:shd w:val="clear" w:color="auto" w:fill="auto"/>
          </w:tcPr>
          <w:p w14:paraId="7F33E25E" w14:textId="4E22ED36" w:rsidR="00AC78CB" w:rsidRPr="00D650FD" w:rsidRDefault="000B67DE" w:rsidP="00D2747A">
            <w:pPr>
              <w:tabs>
                <w:tab w:val="left" w:pos="318"/>
              </w:tabs>
              <w:spacing w:before="60" w:after="60"/>
              <w:jc w:val="center"/>
              <w:rPr>
                <w:noProof/>
                <w:color w:val="000000" w:themeColor="text1"/>
                <w:lang w:val="en-AU" w:eastAsia="en-AU"/>
              </w:rPr>
            </w:pPr>
            <w:r>
              <w:rPr>
                <w:noProof/>
                <w:color w:val="000000" w:themeColor="text1"/>
                <w:lang w:eastAsia="en-AU"/>
              </w:rPr>
              <w:drawing>
                <wp:inline distT="0" distB="0" distL="0" distR="0" wp14:anchorId="2CF30EA7" wp14:editId="0385F4F0">
                  <wp:extent cx="262255" cy="262255"/>
                  <wp:effectExtent l="0" t="0" r="4445" b="4445"/>
                  <wp:docPr id="24" name="Picture 24" descr="Good progress made in thi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pic:spPr>
                      </pic:pic>
                    </a:graphicData>
                  </a:graphic>
                </wp:inline>
              </w:drawing>
            </w:r>
          </w:p>
        </w:tc>
        <w:tc>
          <w:tcPr>
            <w:tcW w:w="2276" w:type="pct"/>
          </w:tcPr>
          <w:p w14:paraId="04803DD7" w14:textId="4CF2132E" w:rsidR="00AC78CB" w:rsidRPr="00D650FD" w:rsidRDefault="00AC78CB" w:rsidP="00D2747A">
            <w:pPr>
              <w:tabs>
                <w:tab w:val="left" w:pos="318"/>
              </w:tabs>
              <w:spacing w:before="60" w:after="60"/>
              <w:rPr>
                <w:color w:val="000000" w:themeColor="text1"/>
                <w:lang w:eastAsia="en-AU"/>
              </w:rPr>
            </w:pPr>
            <w:r>
              <w:rPr>
                <w:color w:val="000000" w:themeColor="text1"/>
                <w:lang w:eastAsia="en-AU"/>
              </w:rPr>
              <w:t xml:space="preserve">Appears to have been achieved.  However, </w:t>
            </w:r>
            <w:r w:rsidRPr="00D2747A">
              <w:rPr>
                <w:color w:val="000000" w:themeColor="text1"/>
                <w:lang w:eastAsia="en-AU"/>
              </w:rPr>
              <w:t>client data does not enable a full assessment to be undertaken against this KPI.</w:t>
            </w:r>
          </w:p>
        </w:tc>
      </w:tr>
      <w:tr w:rsidR="00AC78CB" w:rsidRPr="00D650FD" w14:paraId="513EB2DA" w14:textId="77777777" w:rsidTr="00D2747A">
        <w:trPr>
          <w:cantSplit/>
        </w:trPr>
        <w:tc>
          <w:tcPr>
            <w:tcW w:w="2202" w:type="pct"/>
            <w:shd w:val="clear" w:color="auto" w:fill="auto"/>
          </w:tcPr>
          <w:p w14:paraId="60D849BA" w14:textId="77777777" w:rsidR="00AC78CB" w:rsidRPr="00D650FD" w:rsidRDefault="00AC78CB" w:rsidP="00D2747A">
            <w:pPr>
              <w:tabs>
                <w:tab w:val="left" w:pos="318"/>
              </w:tabs>
              <w:spacing w:before="60" w:after="60"/>
              <w:rPr>
                <w:color w:val="000000" w:themeColor="text1"/>
              </w:rPr>
            </w:pPr>
            <w:r w:rsidRPr="00D650FD">
              <w:rPr>
                <w:color w:val="000000" w:themeColor="text1"/>
              </w:rPr>
              <w:t>More than 80% of referrals to Commonwealth agencies are facilitated referrals</w:t>
            </w:r>
          </w:p>
        </w:tc>
        <w:tc>
          <w:tcPr>
            <w:tcW w:w="522" w:type="pct"/>
            <w:shd w:val="clear" w:color="auto" w:fill="auto"/>
          </w:tcPr>
          <w:p w14:paraId="64914BBF" w14:textId="51C5CF55" w:rsidR="00AC78CB" w:rsidRPr="00D650FD" w:rsidRDefault="000B67DE" w:rsidP="00D2747A">
            <w:pPr>
              <w:tabs>
                <w:tab w:val="left" w:pos="318"/>
              </w:tabs>
              <w:spacing w:before="60" w:after="60"/>
              <w:jc w:val="center"/>
              <w:rPr>
                <w:noProof/>
                <w:color w:val="000000" w:themeColor="text1"/>
                <w:lang w:val="en-AU" w:eastAsia="en-AU"/>
              </w:rPr>
            </w:pPr>
            <w:r>
              <w:rPr>
                <w:noProof/>
                <w:color w:val="000000" w:themeColor="text1"/>
                <w:lang w:eastAsia="en-AU"/>
              </w:rPr>
              <w:drawing>
                <wp:inline distT="0" distB="0" distL="0" distR="0" wp14:anchorId="2CAFD03D" wp14:editId="6FD47E43">
                  <wp:extent cx="262255" cy="262255"/>
                  <wp:effectExtent l="0" t="0" r="4445" b="4445"/>
                  <wp:docPr id="30" name="Picture 30" descr="There is currently insufficient evidence or data to indicate progress in thi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pic:spPr>
                      </pic:pic>
                    </a:graphicData>
                  </a:graphic>
                </wp:inline>
              </w:drawing>
            </w:r>
          </w:p>
        </w:tc>
        <w:tc>
          <w:tcPr>
            <w:tcW w:w="2276" w:type="pct"/>
          </w:tcPr>
          <w:p w14:paraId="3513BCCC" w14:textId="41454691" w:rsidR="00AC78CB" w:rsidRPr="00D650FD" w:rsidRDefault="00AC78CB" w:rsidP="00D2747A">
            <w:pPr>
              <w:tabs>
                <w:tab w:val="left" w:pos="318"/>
              </w:tabs>
              <w:spacing w:before="60" w:after="60"/>
              <w:rPr>
                <w:color w:val="000000" w:themeColor="text1"/>
                <w:lang w:eastAsia="en-AU"/>
              </w:rPr>
            </w:pPr>
            <w:r>
              <w:rPr>
                <w:lang w:eastAsia="en-AU"/>
              </w:rPr>
              <w:t>KPI redundant as clients general</w:t>
            </w:r>
            <w:r w:rsidR="00EB10C8">
              <w:rPr>
                <w:lang w:eastAsia="en-AU"/>
              </w:rPr>
              <w:t>ly d</w:t>
            </w:r>
            <w:r w:rsidR="00A70F65">
              <w:rPr>
                <w:lang w:eastAsia="en-AU"/>
              </w:rPr>
              <w:t>id</w:t>
            </w:r>
            <w:r w:rsidR="00EB10C8">
              <w:rPr>
                <w:lang w:eastAsia="en-AU"/>
              </w:rPr>
              <w:t xml:space="preserve"> not require a facilitated</w:t>
            </w:r>
            <w:r>
              <w:rPr>
                <w:lang w:eastAsia="en-AU"/>
              </w:rPr>
              <w:t xml:space="preserve"> referral, instead preferring to take time to consider and discuss the information provided </w:t>
            </w:r>
          </w:p>
        </w:tc>
      </w:tr>
      <w:tr w:rsidR="00AC78CB" w:rsidRPr="00D650FD" w14:paraId="2DB4EBDD" w14:textId="77777777" w:rsidTr="00D2747A">
        <w:trPr>
          <w:cantSplit/>
        </w:trPr>
        <w:tc>
          <w:tcPr>
            <w:tcW w:w="2202" w:type="pct"/>
            <w:shd w:val="clear" w:color="auto" w:fill="auto"/>
          </w:tcPr>
          <w:p w14:paraId="6D603FBE" w14:textId="77777777" w:rsidR="00AC78CB" w:rsidRPr="00D650FD" w:rsidRDefault="00AC78CB" w:rsidP="00D2747A">
            <w:pPr>
              <w:tabs>
                <w:tab w:val="left" w:pos="318"/>
              </w:tabs>
              <w:spacing w:before="60" w:after="60"/>
              <w:rPr>
                <w:color w:val="000000" w:themeColor="text1"/>
              </w:rPr>
            </w:pPr>
            <w:r w:rsidRPr="00D650FD">
              <w:rPr>
                <w:color w:val="000000" w:themeColor="text1"/>
              </w:rPr>
              <w:t>Fewer than 2% of clients report receiving a wrong referral from the new service</w:t>
            </w:r>
          </w:p>
        </w:tc>
        <w:tc>
          <w:tcPr>
            <w:tcW w:w="522" w:type="pct"/>
            <w:shd w:val="clear" w:color="auto" w:fill="auto"/>
          </w:tcPr>
          <w:p w14:paraId="207A411B" w14:textId="161F2FC9" w:rsidR="00AC78CB" w:rsidRPr="00D650FD" w:rsidRDefault="000B67DE" w:rsidP="00D2747A">
            <w:pPr>
              <w:tabs>
                <w:tab w:val="left" w:pos="318"/>
              </w:tabs>
              <w:spacing w:before="60" w:after="60"/>
              <w:jc w:val="center"/>
              <w:rPr>
                <w:noProof/>
                <w:color w:val="000000" w:themeColor="text1"/>
                <w:lang w:val="en-AU" w:eastAsia="en-AU"/>
              </w:rPr>
            </w:pPr>
            <w:r>
              <w:rPr>
                <w:noProof/>
                <w:color w:val="000000" w:themeColor="text1"/>
                <w:lang w:eastAsia="en-AU"/>
              </w:rPr>
              <w:drawing>
                <wp:inline distT="0" distB="0" distL="0" distR="0" wp14:anchorId="45790138" wp14:editId="4E309AF5">
                  <wp:extent cx="262255" cy="262255"/>
                  <wp:effectExtent l="0" t="0" r="4445" b="4445"/>
                  <wp:docPr id="31" name="Picture 31" descr="There is currently insufficient evidence or data to indicate progress in thi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pic:spPr>
                      </pic:pic>
                    </a:graphicData>
                  </a:graphic>
                </wp:inline>
              </w:drawing>
            </w:r>
          </w:p>
        </w:tc>
        <w:tc>
          <w:tcPr>
            <w:tcW w:w="2276" w:type="pct"/>
          </w:tcPr>
          <w:p w14:paraId="0D205DA3" w14:textId="52D0B0D2" w:rsidR="00AC78CB" w:rsidRPr="00D650FD" w:rsidRDefault="00AC78CB" w:rsidP="00D2747A">
            <w:pPr>
              <w:rPr>
                <w:color w:val="000000"/>
                <w:lang w:val="en-AU" w:eastAsia="en-AU"/>
              </w:rPr>
            </w:pPr>
            <w:r w:rsidRPr="00E73F14">
              <w:rPr>
                <w:color w:val="000000"/>
                <w:lang w:val="en-AU" w:eastAsia="en-AU"/>
              </w:rPr>
              <w:t>As IAA does not receive any reports from the agencies they refer and does not follow up with clients regarding the appropriateness of the referral provided, the service’s performance relative to this measure ca</w:t>
            </w:r>
            <w:r>
              <w:rPr>
                <w:color w:val="000000"/>
                <w:lang w:val="en-AU" w:eastAsia="en-AU"/>
              </w:rPr>
              <w:t>nnot be determined. No data is c</w:t>
            </w:r>
            <w:r w:rsidRPr="00E73F14">
              <w:rPr>
                <w:color w:val="000000"/>
                <w:lang w:val="en-AU" w:eastAsia="en-AU"/>
              </w:rPr>
              <w:t>aptured</w:t>
            </w:r>
          </w:p>
        </w:tc>
      </w:tr>
      <w:tr w:rsidR="00AC78CB" w:rsidRPr="00D650FD" w14:paraId="21E5B4E8" w14:textId="77777777" w:rsidTr="00D2747A">
        <w:trPr>
          <w:cantSplit/>
        </w:trPr>
        <w:tc>
          <w:tcPr>
            <w:tcW w:w="2202" w:type="pct"/>
            <w:shd w:val="clear" w:color="auto" w:fill="auto"/>
          </w:tcPr>
          <w:p w14:paraId="10C9593A" w14:textId="77777777" w:rsidR="00AC78CB" w:rsidRPr="00D650FD" w:rsidRDefault="00AC78CB" w:rsidP="00D2747A">
            <w:pPr>
              <w:tabs>
                <w:tab w:val="left" w:pos="318"/>
              </w:tabs>
              <w:spacing w:before="60" w:after="60"/>
              <w:rPr>
                <w:color w:val="000000" w:themeColor="text1"/>
              </w:rPr>
            </w:pPr>
            <w:r w:rsidRPr="00D650FD">
              <w:rPr>
                <w:color w:val="000000" w:themeColor="text1"/>
              </w:rPr>
              <w:t>More than 80% of clients who agreed to be followed up received a call or email within 5 working days</w:t>
            </w:r>
          </w:p>
        </w:tc>
        <w:tc>
          <w:tcPr>
            <w:tcW w:w="522" w:type="pct"/>
            <w:shd w:val="clear" w:color="auto" w:fill="auto"/>
          </w:tcPr>
          <w:p w14:paraId="1770B4AE" w14:textId="502F98EA" w:rsidR="00AC78CB" w:rsidRPr="00D650FD" w:rsidRDefault="000B67DE" w:rsidP="00D2747A">
            <w:pPr>
              <w:tabs>
                <w:tab w:val="left" w:pos="318"/>
              </w:tabs>
              <w:spacing w:before="60" w:after="60"/>
              <w:jc w:val="center"/>
              <w:rPr>
                <w:rFonts w:cs="Arial"/>
                <w:color w:val="000000" w:themeColor="text1"/>
                <w:lang w:eastAsia="en-AU"/>
              </w:rPr>
            </w:pPr>
            <w:r>
              <w:rPr>
                <w:noProof/>
                <w:color w:val="000000" w:themeColor="text1"/>
                <w:lang w:eastAsia="en-AU"/>
              </w:rPr>
              <w:drawing>
                <wp:inline distT="0" distB="0" distL="0" distR="0" wp14:anchorId="4D0A355B" wp14:editId="1BADB090">
                  <wp:extent cx="262255" cy="262255"/>
                  <wp:effectExtent l="0" t="0" r="4445" b="4445"/>
                  <wp:docPr id="672" name="Picture 672" descr="There is currently insufficient evidence or data to indicate progress in thi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pic:spPr>
                      </pic:pic>
                    </a:graphicData>
                  </a:graphic>
                </wp:inline>
              </w:drawing>
            </w:r>
          </w:p>
        </w:tc>
        <w:tc>
          <w:tcPr>
            <w:tcW w:w="2276" w:type="pct"/>
          </w:tcPr>
          <w:p w14:paraId="59D029F0" w14:textId="32AF75A2" w:rsidR="00AC78CB" w:rsidRPr="00D650FD" w:rsidRDefault="00AC78CB" w:rsidP="005662CD">
            <w:pPr>
              <w:tabs>
                <w:tab w:val="left" w:pos="318"/>
              </w:tabs>
              <w:spacing w:before="60" w:after="60"/>
              <w:rPr>
                <w:color w:val="000000" w:themeColor="text1"/>
                <w:lang w:eastAsia="en-AU"/>
              </w:rPr>
            </w:pPr>
            <w:r>
              <w:rPr>
                <w:color w:val="000000" w:themeColor="text1"/>
                <w:lang w:eastAsia="en-AU"/>
              </w:rPr>
              <w:t xml:space="preserve">Data limitations mean that performance relative to this indicator cannot be determined from existing client data.  </w:t>
            </w:r>
          </w:p>
        </w:tc>
      </w:tr>
      <w:tr w:rsidR="008D4831" w:rsidRPr="00D650FD" w14:paraId="420E1CE1" w14:textId="77777777" w:rsidTr="00D2747A">
        <w:trPr>
          <w:cantSplit/>
        </w:trPr>
        <w:tc>
          <w:tcPr>
            <w:tcW w:w="2202" w:type="pct"/>
            <w:shd w:val="clear" w:color="auto" w:fill="auto"/>
          </w:tcPr>
          <w:p w14:paraId="0459DE29" w14:textId="77777777" w:rsidR="008D4831" w:rsidRPr="00D650FD" w:rsidRDefault="008D4831" w:rsidP="00D2747A">
            <w:pPr>
              <w:tabs>
                <w:tab w:val="left" w:pos="318"/>
              </w:tabs>
              <w:spacing w:before="60" w:after="60"/>
              <w:rPr>
                <w:rFonts w:cs="Arial"/>
                <w:color w:val="000000" w:themeColor="text1"/>
                <w:lang w:eastAsia="en-AU"/>
              </w:rPr>
            </w:pPr>
            <w:r w:rsidRPr="00D650FD">
              <w:rPr>
                <w:rFonts w:cs="Arial"/>
                <w:color w:val="000000" w:themeColor="text1"/>
                <w:lang w:eastAsia="en-AU"/>
              </w:rPr>
              <w:lastRenderedPageBreak/>
              <w:t>More than 80% of email enquiries are responded to within 5 working days</w:t>
            </w:r>
          </w:p>
        </w:tc>
        <w:tc>
          <w:tcPr>
            <w:tcW w:w="522" w:type="pct"/>
            <w:shd w:val="clear" w:color="auto" w:fill="auto"/>
          </w:tcPr>
          <w:p w14:paraId="06AC6F04" w14:textId="4CC8FE02" w:rsidR="008D4831" w:rsidRPr="00D650FD" w:rsidRDefault="000B67DE" w:rsidP="00D2747A">
            <w:pPr>
              <w:tabs>
                <w:tab w:val="left" w:pos="318"/>
              </w:tabs>
              <w:spacing w:before="60" w:after="60"/>
              <w:jc w:val="center"/>
              <w:rPr>
                <w:noProof/>
                <w:color w:val="000000" w:themeColor="text1"/>
                <w:lang w:val="en-AU" w:eastAsia="en-AU"/>
              </w:rPr>
            </w:pPr>
            <w:r>
              <w:rPr>
                <w:noProof/>
                <w:color w:val="000000" w:themeColor="text1"/>
                <w:lang w:eastAsia="en-AU"/>
              </w:rPr>
              <w:drawing>
                <wp:inline distT="0" distB="0" distL="0" distR="0" wp14:anchorId="55C576AE" wp14:editId="1366D6E4">
                  <wp:extent cx="262255" cy="262255"/>
                  <wp:effectExtent l="0" t="0" r="4445" b="4445"/>
                  <wp:docPr id="896" name="Picture 896" descr="There is currently insufficient evidence or data to indicate progress in thi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pic:spPr>
                      </pic:pic>
                    </a:graphicData>
                  </a:graphic>
                </wp:inline>
              </w:drawing>
            </w:r>
          </w:p>
        </w:tc>
        <w:tc>
          <w:tcPr>
            <w:tcW w:w="2276" w:type="pct"/>
          </w:tcPr>
          <w:p w14:paraId="202B8EB3" w14:textId="10408C30" w:rsidR="008D4831" w:rsidRPr="00D650FD" w:rsidRDefault="005662CD" w:rsidP="00D2747A">
            <w:pPr>
              <w:tabs>
                <w:tab w:val="left" w:pos="318"/>
              </w:tabs>
              <w:spacing w:before="60" w:after="60"/>
              <w:rPr>
                <w:color w:val="000000" w:themeColor="text1"/>
                <w:lang w:eastAsia="en-AU"/>
              </w:rPr>
            </w:pPr>
            <w:r w:rsidRPr="005662CD">
              <w:rPr>
                <w:color w:val="000000" w:themeColor="text1"/>
                <w:lang w:eastAsia="en-AU"/>
              </w:rPr>
              <w:t>Data limitations mean that performance relative to this indicator cann</w:t>
            </w:r>
            <w:r>
              <w:rPr>
                <w:color w:val="000000" w:themeColor="text1"/>
                <w:lang w:eastAsia="en-AU"/>
              </w:rPr>
              <w:t xml:space="preserve">ot be determined from existing </w:t>
            </w:r>
            <w:r w:rsidRPr="005662CD">
              <w:rPr>
                <w:color w:val="000000" w:themeColor="text1"/>
                <w:lang w:eastAsia="en-AU"/>
              </w:rPr>
              <w:t>client data</w:t>
            </w:r>
            <w:r w:rsidR="00E73F14" w:rsidRPr="00E73F14">
              <w:rPr>
                <w:color w:val="000000" w:themeColor="text1"/>
                <w:lang w:eastAsia="en-AU"/>
              </w:rPr>
              <w:t xml:space="preserve">  </w:t>
            </w:r>
          </w:p>
        </w:tc>
      </w:tr>
      <w:tr w:rsidR="00AC78CB" w:rsidRPr="00D650FD" w14:paraId="4515AFDC" w14:textId="77777777" w:rsidTr="00D2747A">
        <w:trPr>
          <w:cantSplit/>
        </w:trPr>
        <w:tc>
          <w:tcPr>
            <w:tcW w:w="2202" w:type="pct"/>
            <w:shd w:val="clear" w:color="auto" w:fill="auto"/>
          </w:tcPr>
          <w:p w14:paraId="3276B1E4" w14:textId="77777777" w:rsidR="00AC78CB" w:rsidRPr="00D650FD" w:rsidRDefault="00AC78CB" w:rsidP="00D2747A">
            <w:pPr>
              <w:tabs>
                <w:tab w:val="left" w:pos="318"/>
              </w:tabs>
              <w:spacing w:before="60" w:after="60"/>
              <w:rPr>
                <w:rFonts w:cs="Arial"/>
                <w:color w:val="000000" w:themeColor="text1"/>
                <w:lang w:eastAsia="en-AU"/>
              </w:rPr>
            </w:pPr>
            <w:r w:rsidRPr="00D650FD">
              <w:rPr>
                <w:rFonts w:cs="Arial"/>
                <w:color w:val="000000" w:themeColor="text1"/>
                <w:lang w:eastAsia="en-AU"/>
              </w:rPr>
              <w:t>More than 65% of people report the new service was useful, including reducing time spent finding relevant information</w:t>
            </w:r>
          </w:p>
        </w:tc>
        <w:tc>
          <w:tcPr>
            <w:tcW w:w="522" w:type="pct"/>
            <w:shd w:val="clear" w:color="auto" w:fill="auto"/>
          </w:tcPr>
          <w:p w14:paraId="0E933C9E" w14:textId="21FE5114" w:rsidR="00AC78CB" w:rsidRPr="00D650FD" w:rsidRDefault="000B67DE" w:rsidP="00D2747A">
            <w:pPr>
              <w:tabs>
                <w:tab w:val="left" w:pos="318"/>
              </w:tabs>
              <w:spacing w:before="60" w:after="60"/>
              <w:jc w:val="center"/>
              <w:rPr>
                <w:noProof/>
                <w:color w:val="000000" w:themeColor="text1"/>
                <w:lang w:val="en-AU" w:eastAsia="en-AU"/>
              </w:rPr>
            </w:pPr>
            <w:r>
              <w:rPr>
                <w:noProof/>
                <w:color w:val="000000" w:themeColor="text1"/>
                <w:lang w:eastAsia="en-AU"/>
              </w:rPr>
              <w:drawing>
                <wp:inline distT="0" distB="0" distL="0" distR="0" wp14:anchorId="347928F5" wp14:editId="27251DCA">
                  <wp:extent cx="262255" cy="262255"/>
                  <wp:effectExtent l="0" t="0" r="4445" b="4445"/>
                  <wp:docPr id="26" name="Picture 26" descr="Progress has been made towards achieving the desired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pic:spPr>
                      </pic:pic>
                    </a:graphicData>
                  </a:graphic>
                </wp:inline>
              </w:drawing>
            </w:r>
          </w:p>
        </w:tc>
        <w:tc>
          <w:tcPr>
            <w:tcW w:w="2276" w:type="pct"/>
          </w:tcPr>
          <w:p w14:paraId="3E089FCF" w14:textId="6356C3EC" w:rsidR="00AC78CB" w:rsidRDefault="007314C8" w:rsidP="00D2747A">
            <w:pPr>
              <w:tabs>
                <w:tab w:val="left" w:pos="318"/>
              </w:tabs>
              <w:spacing w:before="60" w:after="60"/>
              <w:rPr>
                <w:color w:val="000000" w:themeColor="text1"/>
                <w:lang w:eastAsia="en-AU"/>
              </w:rPr>
            </w:pPr>
            <w:r>
              <w:rPr>
                <w:color w:val="000000" w:themeColor="text1"/>
                <w:lang w:eastAsia="en-AU"/>
              </w:rPr>
              <w:t>Almost</w:t>
            </w:r>
            <w:r w:rsidR="00AC78CB" w:rsidRPr="00E73F14">
              <w:rPr>
                <w:color w:val="000000" w:themeColor="text1"/>
                <w:lang w:eastAsia="en-AU"/>
              </w:rPr>
              <w:t xml:space="preserve"> one in five of all parental respondents (</w:t>
            </w:r>
            <w:r>
              <w:rPr>
                <w:color w:val="000000" w:themeColor="text1"/>
                <w:lang w:eastAsia="en-AU"/>
              </w:rPr>
              <w:t>42</w:t>
            </w:r>
            <w:r w:rsidR="00A70F65" w:rsidRPr="00A70F65">
              <w:rPr>
                <w:color w:val="000000" w:themeColor="text1"/>
                <w:lang w:eastAsia="en-AU"/>
              </w:rPr>
              <w:t>/220</w:t>
            </w:r>
            <w:r w:rsidR="00A70F65">
              <w:rPr>
                <w:color w:val="000000" w:themeColor="text1"/>
                <w:lang w:eastAsia="en-AU"/>
              </w:rPr>
              <w:t xml:space="preserve">, </w:t>
            </w:r>
            <w:r w:rsidR="00AC78CB" w:rsidRPr="00E73F14">
              <w:rPr>
                <w:color w:val="000000" w:themeColor="text1"/>
                <w:lang w:eastAsia="en-AU"/>
              </w:rPr>
              <w:t>1</w:t>
            </w:r>
            <w:r>
              <w:rPr>
                <w:color w:val="000000" w:themeColor="text1"/>
                <w:lang w:eastAsia="en-AU"/>
              </w:rPr>
              <w:t>9.1</w:t>
            </w:r>
            <w:r w:rsidR="00AC78CB" w:rsidRPr="00E73F14">
              <w:rPr>
                <w:color w:val="000000" w:themeColor="text1"/>
                <w:lang w:eastAsia="en-AU"/>
              </w:rPr>
              <w:t>%) indicated that they had used the 1800 information line</w:t>
            </w:r>
            <w:r>
              <w:rPr>
                <w:color w:val="000000" w:themeColor="text1"/>
                <w:lang w:eastAsia="en-AU"/>
              </w:rPr>
              <w:t>.</w:t>
            </w:r>
          </w:p>
          <w:p w14:paraId="10A9298D" w14:textId="77777777" w:rsidR="00AC78CB" w:rsidRDefault="007314C8" w:rsidP="00D2747A">
            <w:pPr>
              <w:tabs>
                <w:tab w:val="left" w:pos="318"/>
              </w:tabs>
              <w:spacing w:before="60" w:after="60"/>
            </w:pPr>
            <w:r>
              <w:t>H</w:t>
            </w:r>
            <w:r w:rsidR="00AC78CB" w:rsidRPr="00B43607">
              <w:t>alf of those who had used the information line rated the information provided as eit</w:t>
            </w:r>
            <w:r>
              <w:t>her very useful or useful (21/42</w:t>
            </w:r>
            <w:r w:rsidR="00AC78CB" w:rsidRPr="00B43607">
              <w:t>, 5</w:t>
            </w:r>
            <w:r>
              <w:t>0.0</w:t>
            </w:r>
            <w:r w:rsidR="00AC78CB" w:rsidRPr="00B43607">
              <w:t>%)</w:t>
            </w:r>
            <w:r>
              <w:t>.</w:t>
            </w:r>
          </w:p>
          <w:p w14:paraId="3A1274FB" w14:textId="76D1A9BB" w:rsidR="007314C8" w:rsidRPr="007314C8" w:rsidRDefault="007314C8" w:rsidP="007314C8">
            <w:pPr>
              <w:tabs>
                <w:tab w:val="left" w:pos="318"/>
              </w:tabs>
              <w:spacing w:before="60" w:after="60"/>
              <w:rPr>
                <w:color w:val="000000" w:themeColor="text1"/>
                <w:lang w:eastAsia="en-AU"/>
              </w:rPr>
            </w:pPr>
            <w:r w:rsidRPr="007314C8">
              <w:rPr>
                <w:color w:val="000000" w:themeColor="text1"/>
                <w:lang w:eastAsia="en-AU"/>
              </w:rPr>
              <w:t>29.5% (65/220) of all parental respondents indicated that they had used the online enquiry form</w:t>
            </w:r>
          </w:p>
          <w:p w14:paraId="41892322" w14:textId="0E1FDFDD" w:rsidR="007314C8" w:rsidRPr="00D650FD" w:rsidRDefault="007314C8" w:rsidP="007314C8">
            <w:pPr>
              <w:tabs>
                <w:tab w:val="left" w:pos="318"/>
              </w:tabs>
              <w:spacing w:before="60" w:after="60"/>
              <w:rPr>
                <w:color w:val="000000" w:themeColor="text1"/>
                <w:lang w:eastAsia="en-AU"/>
              </w:rPr>
            </w:pPr>
            <w:r w:rsidRPr="007314C8">
              <w:rPr>
                <w:color w:val="000000" w:themeColor="text1"/>
                <w:lang w:eastAsia="en-AU"/>
              </w:rPr>
              <w:t>Those who had used the online contact form reported high levels of satisfaction with the timeliness (44/65, 67.7%) and the usefulness (36/65, 55.4%) of the response they received.</w:t>
            </w:r>
          </w:p>
        </w:tc>
      </w:tr>
      <w:tr w:rsidR="00AC78CB" w:rsidRPr="00D650FD" w14:paraId="49080EF0" w14:textId="77777777" w:rsidTr="00E73F14">
        <w:trPr>
          <w:cantSplit/>
          <w:trHeight w:val="718"/>
        </w:trPr>
        <w:tc>
          <w:tcPr>
            <w:tcW w:w="2202" w:type="pct"/>
            <w:shd w:val="clear" w:color="auto" w:fill="auto"/>
          </w:tcPr>
          <w:p w14:paraId="4114373E" w14:textId="3E7B4993" w:rsidR="00AC78CB" w:rsidRPr="00D650FD" w:rsidRDefault="00AC78CB" w:rsidP="00F2713A">
            <w:pPr>
              <w:tabs>
                <w:tab w:val="left" w:pos="318"/>
              </w:tabs>
              <w:spacing w:before="60" w:after="60"/>
              <w:rPr>
                <w:lang w:eastAsia="en-AU"/>
              </w:rPr>
            </w:pPr>
            <w:r w:rsidRPr="00D650FD">
              <w:rPr>
                <w:rFonts w:cs="Arial"/>
                <w:color w:val="000000" w:themeColor="text1"/>
                <w:lang w:eastAsia="en-AU"/>
              </w:rPr>
              <w:t xml:space="preserve">Of all the people who access the service at least 80% report satisfaction </w:t>
            </w:r>
            <w:r w:rsidR="00F5300A" w:rsidRPr="00D650FD">
              <w:rPr>
                <w:rFonts w:cs="Arial"/>
                <w:color w:val="000000" w:themeColor="text1"/>
                <w:lang w:eastAsia="en-AU"/>
              </w:rPr>
              <w:t>with</w:t>
            </w:r>
            <w:r w:rsidR="00F5300A">
              <w:rPr>
                <w:rFonts w:cs="Arial"/>
                <w:color w:val="000000" w:themeColor="text1"/>
                <w:lang w:eastAsia="en-AU"/>
              </w:rPr>
              <w:t xml:space="preserve"> the</w:t>
            </w:r>
            <w:r>
              <w:rPr>
                <w:rFonts w:cs="Arial"/>
                <w:color w:val="000000" w:themeColor="text1"/>
                <w:lang w:eastAsia="en-AU"/>
              </w:rPr>
              <w:t xml:space="preserve"> i</w:t>
            </w:r>
            <w:r w:rsidRPr="00D650FD">
              <w:rPr>
                <w:lang w:eastAsia="en-AU"/>
              </w:rPr>
              <w:t>nfo</w:t>
            </w:r>
            <w:r>
              <w:rPr>
                <w:lang w:eastAsia="en-AU"/>
              </w:rPr>
              <w:t>rmation</w:t>
            </w:r>
            <w:r w:rsidRPr="00D650FD">
              <w:rPr>
                <w:lang w:eastAsia="en-AU"/>
              </w:rPr>
              <w:t xml:space="preserve"> provided</w:t>
            </w:r>
          </w:p>
        </w:tc>
        <w:tc>
          <w:tcPr>
            <w:tcW w:w="522" w:type="pct"/>
            <w:shd w:val="clear" w:color="auto" w:fill="auto"/>
          </w:tcPr>
          <w:p w14:paraId="3F9817CC" w14:textId="55F7BD80" w:rsidR="00AC78CB" w:rsidRPr="00D650FD" w:rsidRDefault="000B67DE" w:rsidP="00D2747A">
            <w:pPr>
              <w:tabs>
                <w:tab w:val="left" w:pos="318"/>
              </w:tabs>
              <w:spacing w:before="60" w:after="60"/>
              <w:jc w:val="center"/>
              <w:rPr>
                <w:noProof/>
                <w:color w:val="000000" w:themeColor="text1"/>
                <w:lang w:val="en-AU" w:eastAsia="en-AU"/>
              </w:rPr>
            </w:pPr>
            <w:r>
              <w:rPr>
                <w:noProof/>
                <w:color w:val="000000" w:themeColor="text1"/>
                <w:lang w:eastAsia="en-AU"/>
              </w:rPr>
              <w:drawing>
                <wp:inline distT="0" distB="0" distL="0" distR="0" wp14:anchorId="1C2DCC77" wp14:editId="2409B977">
                  <wp:extent cx="262255" cy="262255"/>
                  <wp:effectExtent l="0" t="0" r="4445" b="4445"/>
                  <wp:docPr id="27" name="Picture 27" descr="Progress has been made towards achieving the desired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pic:spPr>
                      </pic:pic>
                    </a:graphicData>
                  </a:graphic>
                </wp:inline>
              </w:drawing>
            </w:r>
          </w:p>
        </w:tc>
        <w:tc>
          <w:tcPr>
            <w:tcW w:w="2276" w:type="pct"/>
          </w:tcPr>
          <w:p w14:paraId="1FA38A6C" w14:textId="7449CE9D" w:rsidR="00AC78CB" w:rsidRPr="00E73F14" w:rsidRDefault="007314C8" w:rsidP="00E73F14">
            <w:pPr>
              <w:tabs>
                <w:tab w:val="left" w:pos="318"/>
              </w:tabs>
              <w:spacing w:before="60" w:after="60"/>
              <w:rPr>
                <w:color w:val="000000" w:themeColor="text1"/>
                <w:lang w:eastAsia="en-AU"/>
              </w:rPr>
            </w:pPr>
            <w:r w:rsidRPr="007314C8">
              <w:rPr>
                <w:color w:val="000000" w:themeColor="text1"/>
                <w:lang w:eastAsia="en-AU"/>
              </w:rPr>
              <w:t>Almost one in five of all parental respondents</w:t>
            </w:r>
            <w:r w:rsidR="00AC78CB" w:rsidRPr="00E73F14">
              <w:rPr>
                <w:color w:val="000000" w:themeColor="text1"/>
                <w:lang w:eastAsia="en-AU"/>
              </w:rPr>
              <w:t xml:space="preserve"> </w:t>
            </w:r>
            <w:r w:rsidR="00A70F65">
              <w:rPr>
                <w:color w:val="000000" w:themeColor="text1"/>
                <w:lang w:eastAsia="en-AU"/>
              </w:rPr>
              <w:t>(</w:t>
            </w:r>
            <w:r w:rsidR="00A70F65" w:rsidRPr="00A70F65">
              <w:rPr>
                <w:color w:val="000000" w:themeColor="text1"/>
                <w:lang w:eastAsia="en-AU"/>
              </w:rPr>
              <w:t>4</w:t>
            </w:r>
            <w:r>
              <w:rPr>
                <w:color w:val="000000" w:themeColor="text1"/>
                <w:lang w:eastAsia="en-AU"/>
              </w:rPr>
              <w:t>2</w:t>
            </w:r>
            <w:r w:rsidR="00A70F65" w:rsidRPr="00A70F65">
              <w:rPr>
                <w:color w:val="000000" w:themeColor="text1"/>
                <w:lang w:eastAsia="en-AU"/>
              </w:rPr>
              <w:t>/220</w:t>
            </w:r>
            <w:r w:rsidR="00A70F65">
              <w:rPr>
                <w:color w:val="000000" w:themeColor="text1"/>
                <w:lang w:eastAsia="en-AU"/>
              </w:rPr>
              <w:t>)</w:t>
            </w:r>
            <w:r>
              <w:rPr>
                <w:color w:val="000000" w:themeColor="text1"/>
                <w:lang w:eastAsia="en-AU"/>
              </w:rPr>
              <w:t xml:space="preserve"> reported having </w:t>
            </w:r>
            <w:r w:rsidR="00AC78CB" w:rsidRPr="00E73F14">
              <w:rPr>
                <w:color w:val="000000" w:themeColor="text1"/>
                <w:lang w:eastAsia="en-AU"/>
              </w:rPr>
              <w:t xml:space="preserve">used the </w:t>
            </w:r>
            <w:r>
              <w:rPr>
                <w:color w:val="000000" w:themeColor="text1"/>
                <w:lang w:eastAsia="en-AU"/>
              </w:rPr>
              <w:t xml:space="preserve">1800 </w:t>
            </w:r>
            <w:r w:rsidR="00AC78CB" w:rsidRPr="00E73F14">
              <w:rPr>
                <w:color w:val="000000" w:themeColor="text1"/>
                <w:lang w:eastAsia="en-AU"/>
              </w:rPr>
              <w:t>information line</w:t>
            </w:r>
            <w:r>
              <w:rPr>
                <w:color w:val="000000" w:themeColor="text1"/>
                <w:lang w:eastAsia="en-AU"/>
              </w:rPr>
              <w:t>.</w:t>
            </w:r>
          </w:p>
          <w:p w14:paraId="25B7D5FB" w14:textId="77777777" w:rsidR="00AC78CB" w:rsidRDefault="00AC78CB" w:rsidP="00803A11">
            <w:pPr>
              <w:tabs>
                <w:tab w:val="left" w:pos="318"/>
              </w:tabs>
              <w:spacing w:before="60" w:after="60"/>
              <w:rPr>
                <w:color w:val="000000" w:themeColor="text1"/>
                <w:lang w:eastAsia="en-AU"/>
              </w:rPr>
            </w:pPr>
            <w:r w:rsidRPr="00E73F14">
              <w:rPr>
                <w:color w:val="000000" w:themeColor="text1"/>
                <w:lang w:eastAsia="en-AU"/>
              </w:rPr>
              <w:t xml:space="preserve">Just over half of those who had used the information line </w:t>
            </w:r>
            <w:r w:rsidR="007314C8">
              <w:rPr>
                <w:color w:val="000000" w:themeColor="text1"/>
                <w:lang w:eastAsia="en-AU"/>
              </w:rPr>
              <w:t>(21/42</w:t>
            </w:r>
            <w:r w:rsidRPr="00803A11">
              <w:rPr>
                <w:color w:val="000000" w:themeColor="text1"/>
                <w:lang w:eastAsia="en-AU"/>
              </w:rPr>
              <w:t>, 5</w:t>
            </w:r>
            <w:r w:rsidR="007314C8">
              <w:rPr>
                <w:color w:val="000000" w:themeColor="text1"/>
                <w:lang w:eastAsia="en-AU"/>
              </w:rPr>
              <w:t>0.0</w:t>
            </w:r>
            <w:r w:rsidRPr="00803A11">
              <w:rPr>
                <w:color w:val="000000" w:themeColor="text1"/>
                <w:lang w:eastAsia="en-AU"/>
              </w:rPr>
              <w:t>%)</w:t>
            </w:r>
            <w:r>
              <w:rPr>
                <w:color w:val="000000" w:themeColor="text1"/>
                <w:lang w:eastAsia="en-AU"/>
              </w:rPr>
              <w:t xml:space="preserve"> </w:t>
            </w:r>
            <w:r w:rsidRPr="00E73F14">
              <w:rPr>
                <w:color w:val="000000" w:themeColor="text1"/>
                <w:lang w:eastAsia="en-AU"/>
              </w:rPr>
              <w:t xml:space="preserve">rated the information provided </w:t>
            </w:r>
            <w:r w:rsidR="00F55985">
              <w:rPr>
                <w:color w:val="000000" w:themeColor="text1"/>
                <w:lang w:eastAsia="en-AU"/>
              </w:rPr>
              <w:t>as either very useful or useful.</w:t>
            </w:r>
          </w:p>
          <w:p w14:paraId="6954AB9B" w14:textId="77777777" w:rsidR="00F55985" w:rsidRPr="007314C8" w:rsidRDefault="00F55985" w:rsidP="00F55985">
            <w:pPr>
              <w:tabs>
                <w:tab w:val="left" w:pos="318"/>
              </w:tabs>
              <w:spacing w:before="60" w:after="60"/>
              <w:rPr>
                <w:color w:val="000000" w:themeColor="text1"/>
                <w:lang w:eastAsia="en-AU"/>
              </w:rPr>
            </w:pPr>
            <w:r w:rsidRPr="007314C8">
              <w:rPr>
                <w:color w:val="000000" w:themeColor="text1"/>
                <w:lang w:eastAsia="en-AU"/>
              </w:rPr>
              <w:t>29.5% (65/220) of all parental respondents indicated that they had used the online enquiry form</w:t>
            </w:r>
          </w:p>
          <w:p w14:paraId="48D5B185" w14:textId="70485144" w:rsidR="00F55985" w:rsidRPr="00D650FD" w:rsidRDefault="00F55985" w:rsidP="00F55985">
            <w:pPr>
              <w:tabs>
                <w:tab w:val="left" w:pos="318"/>
              </w:tabs>
              <w:spacing w:before="60" w:after="60"/>
              <w:rPr>
                <w:color w:val="000000" w:themeColor="text1"/>
                <w:lang w:eastAsia="en-AU"/>
              </w:rPr>
            </w:pPr>
            <w:r w:rsidRPr="007314C8">
              <w:rPr>
                <w:color w:val="000000" w:themeColor="text1"/>
                <w:lang w:eastAsia="en-AU"/>
              </w:rPr>
              <w:t>Those who had used the online contact form reported high levels of satisfaction with the timeliness (44/65, 67.7%) and the usefulness (36/65, 55.4%) of the response they received.</w:t>
            </w:r>
          </w:p>
        </w:tc>
      </w:tr>
      <w:tr w:rsidR="00AC78CB" w:rsidRPr="00D650FD" w14:paraId="17FAB011" w14:textId="77777777" w:rsidTr="00D2747A">
        <w:trPr>
          <w:cantSplit/>
          <w:trHeight w:val="717"/>
        </w:trPr>
        <w:tc>
          <w:tcPr>
            <w:tcW w:w="2202" w:type="pct"/>
            <w:shd w:val="clear" w:color="auto" w:fill="auto"/>
          </w:tcPr>
          <w:p w14:paraId="0779D3B3" w14:textId="6187CC1E" w:rsidR="00AC78CB" w:rsidRPr="00F2713A" w:rsidRDefault="00AC78CB" w:rsidP="00F2713A">
            <w:pPr>
              <w:tabs>
                <w:tab w:val="left" w:pos="318"/>
              </w:tabs>
              <w:spacing w:before="60" w:after="60"/>
              <w:rPr>
                <w:lang w:eastAsia="en-AU"/>
              </w:rPr>
            </w:pPr>
            <w:r w:rsidRPr="00F2713A">
              <w:rPr>
                <w:rFonts w:cs="Arial"/>
                <w:color w:val="000000" w:themeColor="text1"/>
                <w:lang w:eastAsia="en-AU"/>
              </w:rPr>
              <w:t>Of all the people who access the service at least 80% report satisfaction with</w:t>
            </w:r>
            <w:r>
              <w:rPr>
                <w:rFonts w:cs="Arial"/>
                <w:color w:val="000000" w:themeColor="text1"/>
                <w:lang w:eastAsia="en-AU"/>
              </w:rPr>
              <w:t xml:space="preserve"> the w</w:t>
            </w:r>
            <w:r w:rsidRPr="00F2713A">
              <w:rPr>
                <w:lang w:eastAsia="en-AU"/>
              </w:rPr>
              <w:t>ebsite</w:t>
            </w:r>
          </w:p>
          <w:p w14:paraId="1D05D72C" w14:textId="7C288A8E" w:rsidR="00AC78CB" w:rsidRPr="00D650FD" w:rsidRDefault="00AC78CB" w:rsidP="00E73F14">
            <w:pPr>
              <w:tabs>
                <w:tab w:val="left" w:pos="318"/>
              </w:tabs>
              <w:spacing w:before="60" w:after="60"/>
              <w:rPr>
                <w:rFonts w:cs="Arial"/>
                <w:color w:val="000000" w:themeColor="text1"/>
                <w:lang w:eastAsia="en-AU"/>
              </w:rPr>
            </w:pPr>
          </w:p>
        </w:tc>
        <w:tc>
          <w:tcPr>
            <w:tcW w:w="522" w:type="pct"/>
            <w:shd w:val="clear" w:color="auto" w:fill="auto"/>
          </w:tcPr>
          <w:p w14:paraId="041C7D64" w14:textId="090188E2" w:rsidR="00AC78CB" w:rsidRPr="00D650FD" w:rsidRDefault="000B67DE" w:rsidP="00D2747A">
            <w:pPr>
              <w:tabs>
                <w:tab w:val="left" w:pos="318"/>
              </w:tabs>
              <w:spacing w:before="60" w:after="60"/>
              <w:jc w:val="center"/>
              <w:rPr>
                <w:noProof/>
                <w:color w:val="000000" w:themeColor="text1"/>
                <w:lang w:val="en-AU" w:eastAsia="en-AU"/>
              </w:rPr>
            </w:pPr>
            <w:r>
              <w:rPr>
                <w:noProof/>
                <w:color w:val="000000" w:themeColor="text1"/>
                <w:lang w:eastAsia="en-AU"/>
              </w:rPr>
              <w:drawing>
                <wp:inline distT="0" distB="0" distL="0" distR="0" wp14:anchorId="1AED0C76" wp14:editId="1303D3DA">
                  <wp:extent cx="262255" cy="262255"/>
                  <wp:effectExtent l="0" t="0" r="4445" b="4445"/>
                  <wp:docPr id="28" name="Picture 28" descr="Progress has been made towards achieving the desired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pic:spPr>
                      </pic:pic>
                    </a:graphicData>
                  </a:graphic>
                </wp:inline>
              </w:drawing>
            </w:r>
          </w:p>
        </w:tc>
        <w:tc>
          <w:tcPr>
            <w:tcW w:w="2276" w:type="pct"/>
          </w:tcPr>
          <w:p w14:paraId="5FFCD9B9" w14:textId="6C135DD9" w:rsidR="00AC78CB" w:rsidRDefault="007314C8" w:rsidP="00D2747A">
            <w:pPr>
              <w:tabs>
                <w:tab w:val="left" w:pos="318"/>
              </w:tabs>
              <w:spacing w:before="60" w:after="60"/>
              <w:rPr>
                <w:color w:val="000000" w:themeColor="text1"/>
                <w:lang w:eastAsia="en-AU"/>
              </w:rPr>
            </w:pPr>
            <w:r>
              <w:rPr>
                <w:color w:val="000000" w:themeColor="text1"/>
                <w:lang w:eastAsia="en-AU"/>
              </w:rPr>
              <w:t xml:space="preserve">Almost </w:t>
            </w:r>
            <w:r w:rsidR="00AC78CB">
              <w:rPr>
                <w:color w:val="000000" w:themeColor="text1"/>
                <w:lang w:eastAsia="en-AU"/>
              </w:rPr>
              <w:t xml:space="preserve">60% </w:t>
            </w:r>
            <w:r w:rsidR="00A70F65">
              <w:rPr>
                <w:color w:val="000000" w:themeColor="text1"/>
                <w:lang w:eastAsia="en-AU"/>
              </w:rPr>
              <w:t xml:space="preserve">(132/220) </w:t>
            </w:r>
            <w:r w:rsidR="00AC78CB">
              <w:rPr>
                <w:color w:val="000000" w:themeColor="text1"/>
                <w:lang w:eastAsia="en-AU"/>
              </w:rPr>
              <w:t xml:space="preserve">of parental respondents </w:t>
            </w:r>
            <w:r>
              <w:rPr>
                <w:color w:val="000000" w:themeColor="text1"/>
                <w:lang w:eastAsia="en-AU"/>
              </w:rPr>
              <w:t xml:space="preserve">reported having </w:t>
            </w:r>
            <w:r w:rsidR="00AC78CB">
              <w:rPr>
                <w:color w:val="000000" w:themeColor="text1"/>
                <w:lang w:eastAsia="en-AU"/>
              </w:rPr>
              <w:t>used the website</w:t>
            </w:r>
          </w:p>
          <w:p w14:paraId="540326F7" w14:textId="77873A8F" w:rsidR="00AC78CB" w:rsidRPr="00D650FD" w:rsidRDefault="006316F2" w:rsidP="00803A11">
            <w:pPr>
              <w:tabs>
                <w:tab w:val="left" w:pos="318"/>
              </w:tabs>
              <w:spacing w:before="60" w:after="60"/>
              <w:rPr>
                <w:color w:val="000000" w:themeColor="text1"/>
                <w:lang w:eastAsia="en-AU"/>
              </w:rPr>
            </w:pPr>
            <w:r w:rsidRPr="006316F2">
              <w:rPr>
                <w:lang w:eastAsia="en-AU"/>
              </w:rPr>
              <w:t>T</w:t>
            </w:r>
            <w:r w:rsidR="007314C8">
              <w:rPr>
                <w:lang w:eastAsia="en-AU"/>
              </w:rPr>
              <w:t xml:space="preserve">hose who had used the website ranked </w:t>
            </w:r>
            <w:r w:rsidRPr="006316F2">
              <w:rPr>
                <w:lang w:eastAsia="en-AU"/>
              </w:rPr>
              <w:t xml:space="preserve">the website information as either ‘very useful’ or ‘useful’ </w:t>
            </w:r>
            <w:r w:rsidR="007314C8">
              <w:rPr>
                <w:lang w:eastAsia="en-AU"/>
              </w:rPr>
              <w:t xml:space="preserve">(61.8%, </w:t>
            </w:r>
            <w:r w:rsidR="007314C8" w:rsidRPr="007314C8">
              <w:rPr>
                <w:lang w:eastAsia="en-AU"/>
              </w:rPr>
              <w:t>81/131)</w:t>
            </w:r>
            <w:r w:rsidRPr="006316F2">
              <w:rPr>
                <w:lang w:eastAsia="en-AU"/>
              </w:rPr>
              <w:t xml:space="preserve"> </w:t>
            </w:r>
          </w:p>
        </w:tc>
      </w:tr>
      <w:tr w:rsidR="00E73F14" w:rsidRPr="00D650FD" w14:paraId="07F49909" w14:textId="77777777" w:rsidTr="00DB2F2D">
        <w:trPr>
          <w:cantSplit/>
          <w:trHeight w:val="717"/>
        </w:trPr>
        <w:tc>
          <w:tcPr>
            <w:tcW w:w="2202" w:type="pct"/>
            <w:shd w:val="clear" w:color="auto" w:fill="auto"/>
          </w:tcPr>
          <w:p w14:paraId="074149F5" w14:textId="1E4F4FBF" w:rsidR="00E73F14" w:rsidRPr="00D650FD" w:rsidRDefault="00F2713A" w:rsidP="00F2713A">
            <w:pPr>
              <w:tabs>
                <w:tab w:val="left" w:pos="318"/>
              </w:tabs>
              <w:spacing w:before="60" w:after="60"/>
              <w:rPr>
                <w:rFonts w:cs="Arial"/>
                <w:color w:val="000000" w:themeColor="text1"/>
                <w:lang w:eastAsia="en-AU"/>
              </w:rPr>
            </w:pPr>
            <w:r w:rsidRPr="00F2713A">
              <w:rPr>
                <w:rFonts w:cs="Arial"/>
                <w:color w:val="000000" w:themeColor="text1"/>
                <w:lang w:eastAsia="en-AU"/>
              </w:rPr>
              <w:t>Of all the people who access the service at least 80% report satisfaction with</w:t>
            </w:r>
            <w:r>
              <w:rPr>
                <w:rFonts w:cs="Arial"/>
                <w:color w:val="000000" w:themeColor="text1"/>
                <w:lang w:eastAsia="en-AU"/>
              </w:rPr>
              <w:t xml:space="preserve"> the r</w:t>
            </w:r>
            <w:r w:rsidR="00E73F14" w:rsidRPr="00E73F14">
              <w:rPr>
                <w:rFonts w:cs="Arial"/>
                <w:color w:val="000000" w:themeColor="text1"/>
                <w:lang w:eastAsia="en-AU"/>
              </w:rPr>
              <w:t>eferral pathways provided by the information line</w:t>
            </w:r>
          </w:p>
        </w:tc>
        <w:tc>
          <w:tcPr>
            <w:tcW w:w="522" w:type="pct"/>
            <w:shd w:val="clear" w:color="auto" w:fill="auto"/>
          </w:tcPr>
          <w:p w14:paraId="6EBEDDF2" w14:textId="407A4C10" w:rsidR="00E73F14" w:rsidRPr="00D650FD" w:rsidRDefault="000B67DE" w:rsidP="00D2747A">
            <w:pPr>
              <w:tabs>
                <w:tab w:val="left" w:pos="318"/>
              </w:tabs>
              <w:spacing w:before="60" w:after="60"/>
              <w:jc w:val="center"/>
              <w:rPr>
                <w:noProof/>
                <w:color w:val="000000" w:themeColor="text1"/>
                <w:lang w:val="en-AU" w:eastAsia="en-AU"/>
              </w:rPr>
            </w:pPr>
            <w:r>
              <w:rPr>
                <w:noProof/>
                <w:color w:val="000000" w:themeColor="text1"/>
                <w:lang w:eastAsia="en-AU"/>
              </w:rPr>
              <w:drawing>
                <wp:inline distT="0" distB="0" distL="0" distR="0" wp14:anchorId="2EC4D0F0" wp14:editId="4F90654C">
                  <wp:extent cx="262255" cy="262255"/>
                  <wp:effectExtent l="0" t="0" r="4445" b="4445"/>
                  <wp:docPr id="898" name="Picture 898" descr="There is currently insufficient evidence or data to indicate progress in thi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pic:spPr>
                      </pic:pic>
                    </a:graphicData>
                  </a:graphic>
                </wp:inline>
              </w:drawing>
            </w:r>
          </w:p>
        </w:tc>
        <w:tc>
          <w:tcPr>
            <w:tcW w:w="2276" w:type="pct"/>
            <w:shd w:val="clear" w:color="auto" w:fill="auto"/>
          </w:tcPr>
          <w:p w14:paraId="678E03DE" w14:textId="56829698" w:rsidR="00E73F14" w:rsidRDefault="00DB2F2D" w:rsidP="00D2747A">
            <w:pPr>
              <w:tabs>
                <w:tab w:val="left" w:pos="318"/>
              </w:tabs>
              <w:spacing w:before="60" w:after="60"/>
              <w:rPr>
                <w:rStyle w:val="Emphasis"/>
              </w:rPr>
            </w:pPr>
            <w:r>
              <w:rPr>
                <w:color w:val="000000" w:themeColor="text1"/>
                <w:lang w:eastAsia="en-AU"/>
              </w:rPr>
              <w:t>See</w:t>
            </w:r>
            <w:r w:rsidRPr="00DB2F2D">
              <w:rPr>
                <w:rStyle w:val="Emphasis"/>
              </w:rPr>
              <w:t xml:space="preserve"> Chapter </w:t>
            </w:r>
            <w:r w:rsidRPr="00DB2F2D">
              <w:rPr>
                <w:rStyle w:val="Emphasis"/>
              </w:rPr>
              <w:fldChar w:fldCharType="begin"/>
            </w:r>
            <w:r w:rsidRPr="00DB2F2D">
              <w:rPr>
                <w:rStyle w:val="Emphasis"/>
              </w:rPr>
              <w:instrText xml:space="preserve"> REF _Ref463013957 \r \h </w:instrText>
            </w:r>
            <w:r>
              <w:rPr>
                <w:rStyle w:val="Emphasis"/>
              </w:rPr>
              <w:instrText xml:space="preserve"> \* MERGEFORMAT </w:instrText>
            </w:r>
            <w:r w:rsidRPr="00DB2F2D">
              <w:rPr>
                <w:rStyle w:val="Emphasis"/>
              </w:rPr>
            </w:r>
            <w:r w:rsidRPr="00DB2F2D">
              <w:rPr>
                <w:rStyle w:val="Emphasis"/>
              </w:rPr>
              <w:fldChar w:fldCharType="separate"/>
            </w:r>
            <w:r w:rsidR="00487073">
              <w:rPr>
                <w:rStyle w:val="Emphasis"/>
              </w:rPr>
              <w:t>6</w:t>
            </w:r>
            <w:r w:rsidRPr="00DB2F2D">
              <w:rPr>
                <w:rStyle w:val="Emphasis"/>
              </w:rPr>
              <w:fldChar w:fldCharType="end"/>
            </w:r>
          </w:p>
          <w:p w14:paraId="2B55719F" w14:textId="0417C1DE" w:rsidR="00DB2F2D" w:rsidRPr="00D650FD" w:rsidRDefault="005662CD" w:rsidP="00D2747A">
            <w:pPr>
              <w:tabs>
                <w:tab w:val="left" w:pos="318"/>
              </w:tabs>
              <w:spacing w:before="60" w:after="60"/>
              <w:rPr>
                <w:color w:val="000000" w:themeColor="text1"/>
                <w:lang w:eastAsia="en-AU"/>
              </w:rPr>
            </w:pPr>
            <w:r w:rsidRPr="005662CD">
              <w:rPr>
                <w:color w:val="000000" w:themeColor="text1"/>
                <w:lang w:eastAsia="en-AU"/>
              </w:rPr>
              <w:t>Data limitations mean that performance relative to this indicator cannot be determ</w:t>
            </w:r>
            <w:r>
              <w:rPr>
                <w:color w:val="000000" w:themeColor="text1"/>
                <w:lang w:eastAsia="en-AU"/>
              </w:rPr>
              <w:t xml:space="preserve">ined from existing </w:t>
            </w:r>
            <w:r w:rsidRPr="005662CD">
              <w:rPr>
                <w:color w:val="000000" w:themeColor="text1"/>
                <w:lang w:eastAsia="en-AU"/>
              </w:rPr>
              <w:t>client data</w:t>
            </w:r>
          </w:p>
        </w:tc>
      </w:tr>
      <w:tr w:rsidR="00AC78CB" w:rsidRPr="00D650FD" w14:paraId="534AD8CD" w14:textId="77777777" w:rsidTr="00D2747A">
        <w:trPr>
          <w:cantSplit/>
        </w:trPr>
        <w:tc>
          <w:tcPr>
            <w:tcW w:w="2202" w:type="pct"/>
            <w:shd w:val="clear" w:color="auto" w:fill="auto"/>
          </w:tcPr>
          <w:p w14:paraId="5531DBF0" w14:textId="77777777" w:rsidR="00AC78CB" w:rsidRPr="00D650FD" w:rsidRDefault="00AC78CB" w:rsidP="00D2747A">
            <w:pPr>
              <w:tabs>
                <w:tab w:val="left" w:pos="318"/>
              </w:tabs>
              <w:spacing w:before="60" w:after="60"/>
              <w:rPr>
                <w:rFonts w:cs="Arial"/>
                <w:color w:val="000000" w:themeColor="text1"/>
                <w:lang w:eastAsia="en-AU"/>
              </w:rPr>
            </w:pPr>
            <w:r w:rsidRPr="00D650FD">
              <w:rPr>
                <w:rFonts w:cs="Arial"/>
                <w:color w:val="000000" w:themeColor="text1"/>
                <w:lang w:eastAsia="en-AU"/>
              </w:rPr>
              <w:lastRenderedPageBreak/>
              <w:t>At least 250 people subscribe to the IAA mailing list in the first year of operation</w:t>
            </w:r>
          </w:p>
        </w:tc>
        <w:tc>
          <w:tcPr>
            <w:tcW w:w="522" w:type="pct"/>
            <w:shd w:val="clear" w:color="auto" w:fill="auto"/>
          </w:tcPr>
          <w:p w14:paraId="74CF5C5A" w14:textId="17F6928B" w:rsidR="00AC78CB" w:rsidRPr="00D650FD" w:rsidRDefault="0083556D" w:rsidP="00D2747A">
            <w:pPr>
              <w:tabs>
                <w:tab w:val="left" w:pos="318"/>
              </w:tabs>
              <w:spacing w:before="60" w:after="60"/>
              <w:jc w:val="center"/>
              <w:rPr>
                <w:noProof/>
                <w:color w:val="000000" w:themeColor="text1"/>
                <w:lang w:val="en-AU" w:eastAsia="en-AU"/>
              </w:rPr>
            </w:pPr>
            <w:r>
              <w:rPr>
                <w:noProof/>
                <w:color w:val="000000" w:themeColor="text1"/>
                <w:lang w:eastAsia="en-AU"/>
              </w:rPr>
              <w:drawing>
                <wp:inline distT="0" distB="0" distL="0" distR="0" wp14:anchorId="69609245" wp14:editId="38D84E9D">
                  <wp:extent cx="262255" cy="262255"/>
                  <wp:effectExtent l="0" t="0" r="4445" b="4445"/>
                  <wp:docPr id="899" name="Picture 899" descr="Good progress made in thi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pic:spPr>
                      </pic:pic>
                    </a:graphicData>
                  </a:graphic>
                </wp:inline>
              </w:drawing>
            </w:r>
          </w:p>
        </w:tc>
        <w:tc>
          <w:tcPr>
            <w:tcW w:w="2276" w:type="pct"/>
          </w:tcPr>
          <w:p w14:paraId="5216E48D" w14:textId="4C2754EA" w:rsidR="00AC78CB" w:rsidRPr="00D650FD" w:rsidRDefault="00AC78CB" w:rsidP="00D2747A">
            <w:pPr>
              <w:tabs>
                <w:tab w:val="left" w:pos="318"/>
              </w:tabs>
              <w:spacing w:before="60" w:after="60"/>
              <w:rPr>
                <w:color w:val="000000" w:themeColor="text1"/>
                <w:lang w:eastAsia="en-AU"/>
              </w:rPr>
            </w:pPr>
            <w:r>
              <w:rPr>
                <w:color w:val="000000" w:themeColor="text1"/>
                <w:lang w:eastAsia="en-AU"/>
              </w:rPr>
              <w:t>KPI exceeded</w:t>
            </w:r>
          </w:p>
        </w:tc>
      </w:tr>
      <w:tr w:rsidR="00AC78CB" w:rsidRPr="00D650FD" w14:paraId="68C1CA8B" w14:textId="77777777" w:rsidTr="00D2747A">
        <w:trPr>
          <w:cantSplit/>
        </w:trPr>
        <w:tc>
          <w:tcPr>
            <w:tcW w:w="2202" w:type="pct"/>
            <w:shd w:val="clear" w:color="auto" w:fill="auto"/>
          </w:tcPr>
          <w:p w14:paraId="796C19AB" w14:textId="77777777" w:rsidR="00AC78CB" w:rsidRPr="00D650FD" w:rsidRDefault="00AC78CB" w:rsidP="00D2747A">
            <w:pPr>
              <w:tabs>
                <w:tab w:val="left" w:pos="318"/>
              </w:tabs>
              <w:spacing w:before="60" w:after="60"/>
              <w:rPr>
                <w:rFonts w:cs="Arial"/>
                <w:color w:val="000000" w:themeColor="text1"/>
                <w:lang w:eastAsia="en-AU"/>
              </w:rPr>
            </w:pPr>
            <w:r w:rsidRPr="00D650FD">
              <w:rPr>
                <w:rFonts w:cs="Arial"/>
                <w:color w:val="000000" w:themeColor="text1"/>
                <w:lang w:eastAsia="en-AU"/>
              </w:rPr>
              <w:t>Fewer than 5% of calls or emails are complaints about the service</w:t>
            </w:r>
          </w:p>
        </w:tc>
        <w:tc>
          <w:tcPr>
            <w:tcW w:w="522" w:type="pct"/>
            <w:shd w:val="clear" w:color="auto" w:fill="auto"/>
          </w:tcPr>
          <w:p w14:paraId="4321B639" w14:textId="3C435A8C" w:rsidR="00AC78CB" w:rsidRPr="00D650FD" w:rsidRDefault="0083556D" w:rsidP="00D2747A">
            <w:pPr>
              <w:tabs>
                <w:tab w:val="left" w:pos="318"/>
              </w:tabs>
              <w:spacing w:before="60" w:after="60"/>
              <w:jc w:val="center"/>
              <w:rPr>
                <w:noProof/>
                <w:color w:val="000000" w:themeColor="text1"/>
                <w:lang w:val="en-AU" w:eastAsia="en-AU"/>
              </w:rPr>
            </w:pPr>
            <w:r>
              <w:rPr>
                <w:noProof/>
                <w:color w:val="000000" w:themeColor="text1"/>
                <w:lang w:eastAsia="en-AU"/>
              </w:rPr>
              <w:drawing>
                <wp:inline distT="0" distB="0" distL="0" distR="0" wp14:anchorId="7EF58E13" wp14:editId="2D5875ED">
                  <wp:extent cx="262255" cy="262255"/>
                  <wp:effectExtent l="0" t="0" r="4445" b="4445"/>
                  <wp:docPr id="904" name="Picture 904" descr="Good progress made in thi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pic:spPr>
                      </pic:pic>
                    </a:graphicData>
                  </a:graphic>
                </wp:inline>
              </w:drawing>
            </w:r>
          </w:p>
        </w:tc>
        <w:tc>
          <w:tcPr>
            <w:tcW w:w="2276" w:type="pct"/>
          </w:tcPr>
          <w:p w14:paraId="7F588158" w14:textId="08D561AE" w:rsidR="00AC78CB" w:rsidRPr="00D650FD" w:rsidRDefault="00AC78CB" w:rsidP="00D2747A">
            <w:pPr>
              <w:rPr>
                <w:color w:val="000000"/>
                <w:lang w:val="en-AU" w:eastAsia="en-AU"/>
              </w:rPr>
            </w:pPr>
            <w:r w:rsidRPr="00D650FD">
              <w:rPr>
                <w:color w:val="000000"/>
              </w:rPr>
              <w:t xml:space="preserve">No complaints were received about the IAA </w:t>
            </w:r>
            <w:r w:rsidRPr="005C0CC5">
              <w:rPr>
                <w:color w:val="000000"/>
              </w:rPr>
              <w:t>service</w:t>
            </w:r>
            <w:r w:rsidRPr="005C0CC5">
              <w:rPr>
                <w:lang w:eastAsia="en-AU"/>
              </w:rPr>
              <w:t xml:space="preserve"> between </w:t>
            </w:r>
            <w:r w:rsidRPr="005C0CC5">
              <w:t>May</w:t>
            </w:r>
            <w:r w:rsidRPr="00F7308A">
              <w:t xml:space="preserve"> 2015</w:t>
            </w:r>
            <w:r>
              <w:t xml:space="preserve"> and </w:t>
            </w:r>
            <w:r w:rsidRPr="00F7308A">
              <w:t>May 2016</w:t>
            </w:r>
          </w:p>
          <w:p w14:paraId="0167089B" w14:textId="77777777" w:rsidR="00AC78CB" w:rsidRPr="00D650FD" w:rsidRDefault="00AC78CB" w:rsidP="00D2747A">
            <w:pPr>
              <w:tabs>
                <w:tab w:val="left" w:pos="318"/>
              </w:tabs>
              <w:spacing w:before="60" w:after="60"/>
              <w:rPr>
                <w:color w:val="000000" w:themeColor="text1"/>
                <w:lang w:eastAsia="en-AU"/>
              </w:rPr>
            </w:pPr>
          </w:p>
        </w:tc>
      </w:tr>
      <w:tr w:rsidR="00AC78CB" w:rsidRPr="00D650FD" w14:paraId="1F0ECEB9" w14:textId="77777777" w:rsidTr="00D2747A">
        <w:trPr>
          <w:cantSplit/>
        </w:trPr>
        <w:tc>
          <w:tcPr>
            <w:tcW w:w="2202" w:type="pct"/>
            <w:shd w:val="clear" w:color="auto" w:fill="auto"/>
          </w:tcPr>
          <w:p w14:paraId="6D842517" w14:textId="77777777" w:rsidR="00AC78CB" w:rsidRPr="00D650FD" w:rsidRDefault="00AC78CB" w:rsidP="00D2747A">
            <w:pPr>
              <w:tabs>
                <w:tab w:val="left" w:pos="318"/>
              </w:tabs>
              <w:spacing w:before="60" w:after="60"/>
              <w:rPr>
                <w:rFonts w:cs="Arial"/>
                <w:color w:val="000000" w:themeColor="text1"/>
                <w:lang w:eastAsia="en-AU"/>
              </w:rPr>
            </w:pPr>
            <w:r w:rsidRPr="00D650FD">
              <w:rPr>
                <w:rFonts w:cs="Arial"/>
                <w:color w:val="000000" w:themeColor="text1"/>
                <w:lang w:eastAsia="en-AU"/>
              </w:rPr>
              <w:t>Fewer than 10% of calls and emails are complaints about ICA processes</w:t>
            </w:r>
          </w:p>
        </w:tc>
        <w:tc>
          <w:tcPr>
            <w:tcW w:w="522" w:type="pct"/>
            <w:shd w:val="clear" w:color="auto" w:fill="auto"/>
          </w:tcPr>
          <w:p w14:paraId="018FCC8F" w14:textId="64AD5636" w:rsidR="00AC78CB" w:rsidRPr="00D650FD" w:rsidRDefault="0083556D" w:rsidP="00D2747A">
            <w:pPr>
              <w:tabs>
                <w:tab w:val="left" w:pos="318"/>
              </w:tabs>
              <w:spacing w:before="60" w:after="60"/>
              <w:jc w:val="center"/>
              <w:rPr>
                <w:noProof/>
                <w:color w:val="000000" w:themeColor="text1"/>
                <w:lang w:val="en-AU" w:eastAsia="en-AU"/>
              </w:rPr>
            </w:pPr>
            <w:r>
              <w:rPr>
                <w:noProof/>
                <w:color w:val="000000" w:themeColor="text1"/>
                <w:lang w:eastAsia="en-AU"/>
              </w:rPr>
              <w:drawing>
                <wp:inline distT="0" distB="0" distL="0" distR="0" wp14:anchorId="68D15392" wp14:editId="417FEED7">
                  <wp:extent cx="262255" cy="262255"/>
                  <wp:effectExtent l="0" t="0" r="4445" b="4445"/>
                  <wp:docPr id="905" name="Picture 905" descr="Good progress made in thi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pic:spPr>
                      </pic:pic>
                    </a:graphicData>
                  </a:graphic>
                </wp:inline>
              </w:drawing>
            </w:r>
          </w:p>
        </w:tc>
        <w:tc>
          <w:tcPr>
            <w:tcW w:w="2276" w:type="pct"/>
          </w:tcPr>
          <w:p w14:paraId="04A73E54" w14:textId="0963CF7A" w:rsidR="00AC78CB" w:rsidRPr="00D650FD" w:rsidRDefault="00AC78CB" w:rsidP="00D2747A">
            <w:pPr>
              <w:rPr>
                <w:color w:val="000000"/>
                <w:lang w:val="en-AU" w:eastAsia="en-AU"/>
              </w:rPr>
            </w:pPr>
            <w:r w:rsidRPr="00D650FD">
              <w:rPr>
                <w:color w:val="000000"/>
              </w:rPr>
              <w:t xml:space="preserve">3 calls/emails were received from one client which were complaints about the </w:t>
            </w:r>
            <w:r>
              <w:rPr>
                <w:color w:val="000000"/>
              </w:rPr>
              <w:t>ICA</w:t>
            </w:r>
            <w:r w:rsidRPr="00D650FD">
              <w:rPr>
                <w:color w:val="000000"/>
              </w:rPr>
              <w:t xml:space="preserve"> processes (0.07% </w:t>
            </w:r>
            <w:r w:rsidR="00F5300A" w:rsidRPr="00D650FD">
              <w:rPr>
                <w:color w:val="000000"/>
              </w:rPr>
              <w:t>overall)</w:t>
            </w:r>
          </w:p>
        </w:tc>
      </w:tr>
      <w:tr w:rsidR="00AC78CB" w:rsidRPr="00D650FD" w14:paraId="096F18E2" w14:textId="77777777" w:rsidTr="00D2747A">
        <w:trPr>
          <w:cantSplit/>
        </w:trPr>
        <w:tc>
          <w:tcPr>
            <w:tcW w:w="2202" w:type="pct"/>
            <w:shd w:val="clear" w:color="auto" w:fill="auto"/>
          </w:tcPr>
          <w:p w14:paraId="161D42A6" w14:textId="77777777" w:rsidR="00AC78CB" w:rsidRPr="00D650FD" w:rsidRDefault="00AC78CB" w:rsidP="00D2747A">
            <w:pPr>
              <w:tabs>
                <w:tab w:val="left" w:pos="318"/>
              </w:tabs>
              <w:spacing w:before="60" w:after="60"/>
              <w:rPr>
                <w:rFonts w:cs="Arial"/>
                <w:color w:val="000000" w:themeColor="text1"/>
                <w:lang w:eastAsia="en-AU"/>
              </w:rPr>
            </w:pPr>
            <w:r w:rsidRPr="00D650FD">
              <w:rPr>
                <w:rFonts w:cs="Arial"/>
                <w:color w:val="000000" w:themeColor="text1"/>
                <w:lang w:eastAsia="en-AU"/>
              </w:rPr>
              <w:t>STCAs report the service is improving people’s understanding and expectations about ICA</w:t>
            </w:r>
          </w:p>
        </w:tc>
        <w:tc>
          <w:tcPr>
            <w:tcW w:w="522" w:type="pct"/>
            <w:shd w:val="clear" w:color="auto" w:fill="auto"/>
          </w:tcPr>
          <w:p w14:paraId="7B92954F" w14:textId="62F09ABC" w:rsidR="00AC78CB" w:rsidRPr="00D650FD" w:rsidRDefault="0083556D" w:rsidP="00D2747A">
            <w:pPr>
              <w:tabs>
                <w:tab w:val="left" w:pos="318"/>
              </w:tabs>
              <w:spacing w:before="60" w:after="60"/>
              <w:jc w:val="center"/>
              <w:rPr>
                <w:noProof/>
                <w:color w:val="000000" w:themeColor="text1"/>
                <w:lang w:val="en-AU" w:eastAsia="en-AU"/>
              </w:rPr>
            </w:pPr>
            <w:r>
              <w:rPr>
                <w:noProof/>
                <w:color w:val="000000" w:themeColor="text1"/>
                <w:lang w:eastAsia="en-AU"/>
              </w:rPr>
              <w:drawing>
                <wp:inline distT="0" distB="0" distL="0" distR="0" wp14:anchorId="436D1C1A" wp14:editId="4BDBEA4F">
                  <wp:extent cx="262255" cy="262255"/>
                  <wp:effectExtent l="0" t="0" r="4445" b="4445"/>
                  <wp:docPr id="906" name="Picture 906" descr="Progress has been made towards achieving the desired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pic:spPr>
                      </pic:pic>
                    </a:graphicData>
                  </a:graphic>
                </wp:inline>
              </w:drawing>
            </w:r>
          </w:p>
        </w:tc>
        <w:tc>
          <w:tcPr>
            <w:tcW w:w="2276" w:type="pct"/>
            <w:shd w:val="clear" w:color="auto" w:fill="auto"/>
          </w:tcPr>
          <w:p w14:paraId="4176E655" w14:textId="4E689681" w:rsidR="00AC78CB" w:rsidRPr="00D650FD" w:rsidRDefault="00EB10C8" w:rsidP="00661352">
            <w:pPr>
              <w:tabs>
                <w:tab w:val="left" w:pos="318"/>
              </w:tabs>
              <w:spacing w:before="60" w:after="60"/>
              <w:rPr>
                <w:color w:val="000000" w:themeColor="text1"/>
                <w:lang w:eastAsia="en-AU"/>
              </w:rPr>
            </w:pPr>
            <w:r>
              <w:rPr>
                <w:color w:val="000000" w:themeColor="text1"/>
                <w:lang w:eastAsia="en-AU"/>
              </w:rPr>
              <w:t>At the commencement</w:t>
            </w:r>
            <w:r w:rsidR="00F5300A">
              <w:rPr>
                <w:color w:val="000000" w:themeColor="text1"/>
                <w:lang w:eastAsia="en-AU"/>
              </w:rPr>
              <w:t xml:space="preserve"> of the service, there was a </w:t>
            </w:r>
            <w:r w:rsidR="00AC78CB" w:rsidRPr="00803A11">
              <w:rPr>
                <w:color w:val="000000" w:themeColor="text1"/>
                <w:lang w:eastAsia="en-AU"/>
              </w:rPr>
              <w:t xml:space="preserve">lack of clarity at STCA and client levels regarding the role of IAA in ICA </w:t>
            </w:r>
          </w:p>
        </w:tc>
      </w:tr>
      <w:tr w:rsidR="00AC78CB" w:rsidRPr="00D650FD" w14:paraId="2792649E" w14:textId="77777777" w:rsidTr="00D2747A">
        <w:trPr>
          <w:cantSplit/>
        </w:trPr>
        <w:tc>
          <w:tcPr>
            <w:tcW w:w="2202" w:type="pct"/>
            <w:shd w:val="clear" w:color="auto" w:fill="auto"/>
          </w:tcPr>
          <w:p w14:paraId="061A4CF4" w14:textId="77777777" w:rsidR="00AC78CB" w:rsidRPr="00D650FD" w:rsidRDefault="00AC78CB" w:rsidP="00D2747A">
            <w:pPr>
              <w:tabs>
                <w:tab w:val="left" w:pos="318"/>
              </w:tabs>
              <w:spacing w:before="60" w:after="60"/>
              <w:rPr>
                <w:rFonts w:cs="Arial"/>
                <w:color w:val="000000" w:themeColor="text1"/>
                <w:lang w:eastAsia="en-AU"/>
              </w:rPr>
            </w:pPr>
            <w:r w:rsidRPr="00D650FD">
              <w:rPr>
                <w:rFonts w:cs="Arial"/>
                <w:color w:val="000000" w:themeColor="text1"/>
                <w:lang w:eastAsia="en-AU"/>
              </w:rPr>
              <w:t>STCAs report an improvement in their experience of working with the Commonwealth government agencies</w:t>
            </w:r>
          </w:p>
        </w:tc>
        <w:tc>
          <w:tcPr>
            <w:tcW w:w="522" w:type="pct"/>
            <w:shd w:val="clear" w:color="auto" w:fill="auto"/>
          </w:tcPr>
          <w:p w14:paraId="3A06DE9E" w14:textId="0145AEBF" w:rsidR="00AC78CB" w:rsidRPr="00D650FD" w:rsidRDefault="0083556D" w:rsidP="00D2747A">
            <w:pPr>
              <w:tabs>
                <w:tab w:val="left" w:pos="318"/>
              </w:tabs>
              <w:spacing w:before="60" w:after="60"/>
              <w:jc w:val="center"/>
              <w:rPr>
                <w:noProof/>
                <w:color w:val="000000" w:themeColor="text1"/>
                <w:lang w:val="en-AU" w:eastAsia="en-AU"/>
              </w:rPr>
            </w:pPr>
            <w:r>
              <w:rPr>
                <w:noProof/>
                <w:color w:val="000000" w:themeColor="text1"/>
                <w:lang w:eastAsia="en-AU"/>
              </w:rPr>
              <w:drawing>
                <wp:inline distT="0" distB="0" distL="0" distR="0" wp14:anchorId="694D91B4" wp14:editId="5FDB88B2">
                  <wp:extent cx="262255" cy="262255"/>
                  <wp:effectExtent l="0" t="0" r="4445" b="4445"/>
                  <wp:docPr id="907" name="Picture 907" descr="Progress has been made towards achieving the desired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pic:spPr>
                      </pic:pic>
                    </a:graphicData>
                  </a:graphic>
                </wp:inline>
              </w:drawing>
            </w:r>
          </w:p>
        </w:tc>
        <w:tc>
          <w:tcPr>
            <w:tcW w:w="2276" w:type="pct"/>
            <w:shd w:val="clear" w:color="auto" w:fill="auto"/>
          </w:tcPr>
          <w:p w14:paraId="34973328" w14:textId="0936A767" w:rsidR="00AC78CB" w:rsidRPr="00D650FD" w:rsidRDefault="00AC78CB" w:rsidP="00D2747A">
            <w:pPr>
              <w:tabs>
                <w:tab w:val="left" w:pos="318"/>
              </w:tabs>
              <w:spacing w:before="60" w:after="60"/>
              <w:rPr>
                <w:color w:val="000000" w:themeColor="text1"/>
                <w:lang w:eastAsia="en-AU"/>
              </w:rPr>
            </w:pPr>
            <w:r w:rsidRPr="00803A11">
              <w:rPr>
                <w:color w:val="000000" w:themeColor="text1"/>
                <w:lang w:eastAsia="en-AU"/>
              </w:rPr>
              <w:t>During the early implementation phase, working relationships between IAA and STCAs were overshadowed by the lack of clarity regarding IAA’s role</w:t>
            </w:r>
            <w:r>
              <w:rPr>
                <w:color w:val="000000" w:themeColor="text1"/>
                <w:lang w:eastAsia="en-AU"/>
              </w:rPr>
              <w:t xml:space="preserve"> and </w:t>
            </w:r>
            <w:r w:rsidRPr="00443D9C">
              <w:rPr>
                <w:lang w:val="en-AU"/>
              </w:rPr>
              <w:t>unrealistic expectations of ICA processes</w:t>
            </w:r>
            <w:r>
              <w:rPr>
                <w:lang w:val="en-AU"/>
              </w:rPr>
              <w:t xml:space="preserve"> based on media coverage.  </w:t>
            </w:r>
          </w:p>
        </w:tc>
      </w:tr>
      <w:tr w:rsidR="00AC78CB" w:rsidRPr="00D650FD" w14:paraId="268E4817" w14:textId="77777777" w:rsidTr="00D2747A">
        <w:trPr>
          <w:cantSplit/>
        </w:trPr>
        <w:tc>
          <w:tcPr>
            <w:tcW w:w="2202" w:type="pct"/>
            <w:shd w:val="clear" w:color="auto" w:fill="auto"/>
          </w:tcPr>
          <w:p w14:paraId="362AC822" w14:textId="77777777" w:rsidR="00AC78CB" w:rsidRPr="00D650FD" w:rsidRDefault="00AC78CB" w:rsidP="00D2747A">
            <w:pPr>
              <w:tabs>
                <w:tab w:val="left" w:pos="318"/>
              </w:tabs>
              <w:spacing w:before="60" w:after="60"/>
              <w:rPr>
                <w:rFonts w:cs="Arial"/>
                <w:color w:val="000000" w:themeColor="text1"/>
                <w:lang w:eastAsia="en-AU"/>
              </w:rPr>
            </w:pPr>
            <w:r w:rsidRPr="00D650FD">
              <w:rPr>
                <w:rFonts w:cs="Arial"/>
                <w:color w:val="000000" w:themeColor="text1"/>
                <w:lang w:eastAsia="en-AU"/>
              </w:rPr>
              <w:t>The majority of people report feeling supported through their experience in the ICA process</w:t>
            </w:r>
          </w:p>
        </w:tc>
        <w:tc>
          <w:tcPr>
            <w:tcW w:w="522" w:type="pct"/>
            <w:shd w:val="clear" w:color="auto" w:fill="auto"/>
          </w:tcPr>
          <w:p w14:paraId="224C85D0" w14:textId="233A4A93" w:rsidR="00AC78CB" w:rsidRPr="00D650FD" w:rsidRDefault="0083556D" w:rsidP="00D2747A">
            <w:pPr>
              <w:tabs>
                <w:tab w:val="left" w:pos="318"/>
              </w:tabs>
              <w:spacing w:before="60" w:after="60"/>
              <w:jc w:val="center"/>
              <w:rPr>
                <w:noProof/>
                <w:color w:val="000000" w:themeColor="text1"/>
                <w:lang w:val="en-AU" w:eastAsia="en-AU"/>
              </w:rPr>
            </w:pPr>
            <w:r>
              <w:rPr>
                <w:noProof/>
                <w:color w:val="000000" w:themeColor="text1"/>
                <w:lang w:eastAsia="en-AU"/>
              </w:rPr>
              <w:drawing>
                <wp:inline distT="0" distB="0" distL="0" distR="0" wp14:anchorId="0E4BB2E9" wp14:editId="091B4F64">
                  <wp:extent cx="262255" cy="262255"/>
                  <wp:effectExtent l="0" t="0" r="4445" b="4445"/>
                  <wp:docPr id="908" name="Picture 908" descr="Progress has been made towards achieving the desired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pic:spPr>
                      </pic:pic>
                    </a:graphicData>
                  </a:graphic>
                </wp:inline>
              </w:drawing>
            </w:r>
          </w:p>
        </w:tc>
        <w:tc>
          <w:tcPr>
            <w:tcW w:w="2276" w:type="pct"/>
            <w:shd w:val="clear" w:color="auto" w:fill="auto"/>
          </w:tcPr>
          <w:p w14:paraId="6CB63EA6" w14:textId="02B738DD" w:rsidR="00AC78CB" w:rsidRPr="00D650FD" w:rsidRDefault="00AC78CB" w:rsidP="00D2747A">
            <w:pPr>
              <w:tabs>
                <w:tab w:val="left" w:pos="318"/>
              </w:tabs>
              <w:spacing w:before="60" w:after="60"/>
              <w:rPr>
                <w:color w:val="000000" w:themeColor="text1"/>
                <w:lang w:eastAsia="en-AU"/>
              </w:rPr>
            </w:pPr>
            <w:r>
              <w:rPr>
                <w:color w:val="000000" w:themeColor="text1"/>
                <w:lang w:eastAsia="en-AU"/>
              </w:rPr>
              <w:t>See</w:t>
            </w:r>
            <w:r w:rsidRPr="00DB2F2D">
              <w:rPr>
                <w:rStyle w:val="Emphasis"/>
              </w:rPr>
              <w:t xml:space="preserve"> Chapter </w:t>
            </w:r>
            <w:r w:rsidRPr="00DB2F2D">
              <w:rPr>
                <w:rStyle w:val="Emphasis"/>
              </w:rPr>
              <w:fldChar w:fldCharType="begin"/>
            </w:r>
            <w:r w:rsidRPr="00DB2F2D">
              <w:rPr>
                <w:rStyle w:val="Emphasis"/>
              </w:rPr>
              <w:instrText xml:space="preserve"> REF _Ref463013957 \r \h </w:instrText>
            </w:r>
            <w:r>
              <w:rPr>
                <w:rStyle w:val="Emphasis"/>
              </w:rPr>
              <w:instrText xml:space="preserve"> \* MERGEFORMAT </w:instrText>
            </w:r>
            <w:r w:rsidRPr="00DB2F2D">
              <w:rPr>
                <w:rStyle w:val="Emphasis"/>
              </w:rPr>
            </w:r>
            <w:r w:rsidRPr="00DB2F2D">
              <w:rPr>
                <w:rStyle w:val="Emphasis"/>
              </w:rPr>
              <w:fldChar w:fldCharType="separate"/>
            </w:r>
            <w:r w:rsidR="00487073">
              <w:rPr>
                <w:rStyle w:val="Emphasis"/>
              </w:rPr>
              <w:t>6</w:t>
            </w:r>
            <w:r w:rsidRPr="00DB2F2D">
              <w:rPr>
                <w:rStyle w:val="Emphasis"/>
              </w:rPr>
              <w:fldChar w:fldCharType="end"/>
            </w:r>
          </w:p>
        </w:tc>
      </w:tr>
      <w:tr w:rsidR="00AC78CB" w:rsidRPr="00D650FD" w14:paraId="274B0D39" w14:textId="77777777" w:rsidTr="00D2747A">
        <w:trPr>
          <w:cantSplit/>
        </w:trPr>
        <w:tc>
          <w:tcPr>
            <w:tcW w:w="2202" w:type="pct"/>
            <w:shd w:val="clear" w:color="auto" w:fill="auto"/>
          </w:tcPr>
          <w:p w14:paraId="3B704F7B" w14:textId="77777777" w:rsidR="00AC78CB" w:rsidRPr="00D650FD" w:rsidRDefault="00AC78CB" w:rsidP="00D2747A">
            <w:pPr>
              <w:tabs>
                <w:tab w:val="left" w:pos="318"/>
              </w:tabs>
              <w:spacing w:before="60" w:after="60"/>
              <w:rPr>
                <w:rFonts w:cs="Arial"/>
                <w:color w:val="000000" w:themeColor="text1"/>
                <w:lang w:eastAsia="en-AU"/>
              </w:rPr>
            </w:pPr>
            <w:r w:rsidRPr="00D650FD">
              <w:rPr>
                <w:rFonts w:cs="Arial"/>
                <w:color w:val="000000" w:themeColor="text1"/>
                <w:lang w:eastAsia="en-AU"/>
              </w:rPr>
              <w:t>Family support service providers report they feel better equipped to help people during the ICA process</w:t>
            </w:r>
          </w:p>
        </w:tc>
        <w:tc>
          <w:tcPr>
            <w:tcW w:w="522" w:type="pct"/>
            <w:shd w:val="clear" w:color="auto" w:fill="auto"/>
          </w:tcPr>
          <w:p w14:paraId="5EA5F334" w14:textId="6704BFD5" w:rsidR="00AC78CB" w:rsidRPr="00D650FD" w:rsidRDefault="0083556D" w:rsidP="00D2747A">
            <w:pPr>
              <w:tabs>
                <w:tab w:val="left" w:pos="318"/>
              </w:tabs>
              <w:spacing w:before="60" w:after="60"/>
              <w:jc w:val="center"/>
              <w:rPr>
                <w:noProof/>
                <w:color w:val="000000" w:themeColor="text1"/>
                <w:lang w:val="en-AU" w:eastAsia="en-AU"/>
              </w:rPr>
            </w:pPr>
            <w:r>
              <w:rPr>
                <w:noProof/>
                <w:color w:val="000000" w:themeColor="text1"/>
                <w:lang w:eastAsia="en-AU"/>
              </w:rPr>
              <w:drawing>
                <wp:inline distT="0" distB="0" distL="0" distR="0" wp14:anchorId="3C403987" wp14:editId="06EBC025">
                  <wp:extent cx="262255" cy="262255"/>
                  <wp:effectExtent l="0" t="0" r="4445" b="4445"/>
                  <wp:docPr id="909" name="Picture 909" descr="Progress has been made towards achieving the desired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pic:spPr>
                      </pic:pic>
                    </a:graphicData>
                  </a:graphic>
                </wp:inline>
              </w:drawing>
            </w:r>
          </w:p>
        </w:tc>
        <w:tc>
          <w:tcPr>
            <w:tcW w:w="2276" w:type="pct"/>
            <w:shd w:val="clear" w:color="auto" w:fill="auto"/>
          </w:tcPr>
          <w:p w14:paraId="1F7003B6" w14:textId="774FA0C5" w:rsidR="00AC78CB" w:rsidRPr="00D650FD" w:rsidRDefault="00AC78CB" w:rsidP="00D2747A">
            <w:pPr>
              <w:tabs>
                <w:tab w:val="left" w:pos="318"/>
              </w:tabs>
              <w:spacing w:before="60" w:after="60"/>
              <w:rPr>
                <w:color w:val="000000" w:themeColor="text1"/>
                <w:lang w:eastAsia="en-AU"/>
              </w:rPr>
            </w:pPr>
            <w:r>
              <w:rPr>
                <w:color w:val="000000" w:themeColor="text1"/>
                <w:lang w:eastAsia="en-AU"/>
              </w:rPr>
              <w:t>See</w:t>
            </w:r>
            <w:r w:rsidRPr="00DB2F2D">
              <w:rPr>
                <w:rStyle w:val="Emphasis"/>
              </w:rPr>
              <w:t xml:space="preserve"> Chapter </w:t>
            </w:r>
            <w:r w:rsidRPr="00DB2F2D">
              <w:rPr>
                <w:rStyle w:val="Emphasis"/>
              </w:rPr>
              <w:fldChar w:fldCharType="begin"/>
            </w:r>
            <w:r w:rsidRPr="00DB2F2D">
              <w:rPr>
                <w:rStyle w:val="Emphasis"/>
              </w:rPr>
              <w:instrText xml:space="preserve"> REF _Ref463013957 \r \h </w:instrText>
            </w:r>
            <w:r>
              <w:rPr>
                <w:rStyle w:val="Emphasis"/>
              </w:rPr>
              <w:instrText xml:space="preserve"> \* MERGEFORMAT </w:instrText>
            </w:r>
            <w:r w:rsidRPr="00DB2F2D">
              <w:rPr>
                <w:rStyle w:val="Emphasis"/>
              </w:rPr>
            </w:r>
            <w:r w:rsidRPr="00DB2F2D">
              <w:rPr>
                <w:rStyle w:val="Emphasis"/>
              </w:rPr>
              <w:fldChar w:fldCharType="separate"/>
            </w:r>
            <w:r w:rsidR="00487073">
              <w:rPr>
                <w:rStyle w:val="Emphasis"/>
              </w:rPr>
              <w:t>6</w:t>
            </w:r>
            <w:r w:rsidRPr="00DB2F2D">
              <w:rPr>
                <w:rStyle w:val="Emphasis"/>
              </w:rPr>
              <w:fldChar w:fldCharType="end"/>
            </w:r>
          </w:p>
        </w:tc>
      </w:tr>
    </w:tbl>
    <w:p w14:paraId="679FDBAD" w14:textId="790C337D" w:rsidR="008D4831" w:rsidRPr="000F33B0" w:rsidRDefault="008D4831" w:rsidP="000F33B0">
      <w:pPr>
        <w:pStyle w:val="Paragraph"/>
        <w:rPr>
          <w:lang w:eastAsia="en-AU"/>
        </w:rPr>
      </w:pPr>
    </w:p>
    <w:p w14:paraId="0EA48D1E" w14:textId="642029E2" w:rsidR="001B1AEC" w:rsidRPr="00241026" w:rsidRDefault="001B1AEC" w:rsidP="00241026">
      <w:pPr>
        <w:pStyle w:val="Paragraph"/>
      </w:pPr>
      <w:r w:rsidRPr="00241026">
        <w:br w:type="page"/>
      </w:r>
    </w:p>
    <w:p w14:paraId="0155E3BB" w14:textId="77777777" w:rsidR="00063A1F" w:rsidRDefault="00063A1F" w:rsidP="00063A1F"/>
    <w:bookmarkStart w:id="139" w:name="_Ref463013957"/>
    <w:bookmarkStart w:id="140" w:name="_Toc490481628"/>
    <w:p w14:paraId="570E2997" w14:textId="5616C7F7" w:rsidR="00063A1F" w:rsidRPr="007B54CB" w:rsidRDefault="00B36A43" w:rsidP="00477F2E">
      <w:pPr>
        <w:pStyle w:val="Heading1"/>
      </w:pPr>
      <w:r w:rsidRPr="007B54CB">
        <w:rPr>
          <w:noProof/>
          <w:lang w:val="en-AU" w:eastAsia="en-AU"/>
        </w:rPr>
        <mc:AlternateContent>
          <mc:Choice Requires="wps">
            <w:drawing>
              <wp:anchor distT="0" distB="0" distL="114300" distR="114300" simplePos="0" relativeHeight="251664384" behindDoc="1" locked="0" layoutInCell="1" allowOverlap="1" wp14:anchorId="734FB9D0" wp14:editId="6A5EC91F">
                <wp:simplePos x="0" y="0"/>
                <wp:positionH relativeFrom="page">
                  <wp:align>left</wp:align>
                </wp:positionH>
                <wp:positionV relativeFrom="page">
                  <wp:align>top</wp:align>
                </wp:positionV>
                <wp:extent cx="7632065" cy="10763885"/>
                <wp:effectExtent l="0" t="0" r="6985" b="0"/>
                <wp:wrapNone/>
                <wp:docPr id="6" name="Rectangle 9" title="&quot; &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2065" cy="107638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BC895" id="Rectangle 9" o:spid="_x0000_s1026" alt="Title: &quot; &quot;" style="position:absolute;margin-left:0;margin-top:0;width:600.95pt;height:847.55pt;z-index:-2516520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xkrAIAALUFAAAOAAAAZHJzL2Uyb0RvYy54bWysVN9P2zAQfp+0/8Hyw95G0o4WyEhRxcQ0&#10;qQIETDwbx26iOT5ju027v35nOwkdQ3uY1gfX5/vuux+5u/OLXavIVljXgC7p5CinRGgOVaPXJf3+&#10;cPXxlBLnma6YAi1KuheOXizevzvvTCGmUIOqhCVIol3RmZLW3psiyxyvRcvcERihUSnBtsyjaNdZ&#10;ZVmH7K3Kpnk+zzqwlbHAhXP4+iUp6SLySym4v5HSCU9USTE2H08bz6dwZotzVqwtM3XD+zDYP0TR&#10;skaj05HqC/OMbGzzB1XbcAsOpD/i0GYgZcNFzAGzmeSvsrmvmRExFyyOM2OZ3P+j5dfbW0uaqqRz&#10;SjRr8RPdYdGYXitBzrBgjVf49uF5A/4zSX+haJ1xBdrem1sb0nZmBfyHQ0X2myYIrsfspG0DFpMm&#10;u/gF9uMXEDtPOD6ezD9N8/mMEo66SY7i6eks+MtYMdgb6/xXAS0Jl5JaDDeWnm1XzifoAImhgWqq&#10;q0apKIS+EpfKki3DjvC7aU/uDlFKB6yGYJUIw0vMLCUT0/J7JQJO6TshsYQY/jQGEpv3xQnjXGg/&#10;SaqaVSL5nuX4G7wPYcVEI2Fgluh/5O4JBmQiGbhTlD0+mIrY+6Nx/rfAkvFoET2D9qNx22iwbxEo&#10;zKr3nPBDkVJpQpWeoNpjg1lIk+cMv2rws62Y87fM4qjhUOL68Dd4SAVdSaG/UVKD/fnWe8DjBKCW&#10;kg5Ht6TuecOsoER90zgbZ5Pj4zDrUTienUxRsIeap0ON3rSXgL0wwUVleLwGvFfDVVpoH3HLLINX&#10;VDHN0XdJubeDcOnTSsE9xcVyGWE434b5lb43PJCHqoa2fNg9Mmv63vXY99cwjDkrXrVwwgZLDcuN&#10;B9nE/n6pa19v3A2xcfo9FpbPoRxRL9t28QsAAP//AwBQSwMEFAAGAAgAAAAhAHCFfGbcAAAABwEA&#10;AA8AAABkcnMvZG93bnJldi54bWxMj0FvwjAMhe+T+A+RkXYbaZnGSmmKEFI5TtBt4moar63WOFUT&#10;oPv3C7uMi/WsZ733OVuPphMXGlxrWUE8i0AQV1a3XCv4eC+eEhDOI2vsLJOCH3KwzicPGabaXvlA&#10;l9LXIoSwS1FB432fSumqhgy6me2Jg/dlB4M+rEMt9YDXEG46OY+ihTTYcmhosKdtQ9V3eTYKiuMr&#10;JYd4v9uNn8/7RJdvvkBS6nE6blYgPI3+/xhu+AEd8sB0smfWTnQKwiP+b968eRQvQZyCWixfYpB5&#10;Ju/5818AAAD//wMAUEsBAi0AFAAGAAgAAAAhALaDOJL+AAAA4QEAABMAAAAAAAAAAAAAAAAAAAAA&#10;AFtDb250ZW50X1R5cGVzXS54bWxQSwECLQAUAAYACAAAACEAOP0h/9YAAACUAQAACwAAAAAAAAAA&#10;AAAAAAAvAQAAX3JlbHMvLnJlbHNQSwECLQAUAAYACAAAACEAx2Y8ZKwCAAC1BQAADgAAAAAAAAAA&#10;AAAAAAAuAgAAZHJzL2Uyb0RvYy54bWxQSwECLQAUAAYACAAAACEAcIV8ZtwAAAAHAQAADwAAAAAA&#10;AAAAAAAAAAAGBQAAZHJzL2Rvd25yZXYueG1sUEsFBgAAAAAEAAQA8wAAAA8GAAAAAA==&#10;" fillcolor="#0079c1 [3215]" stroked="f" strokeweight="2pt">
                <v:path arrowok="t"/>
                <w10:wrap anchorx="page" anchory="page"/>
              </v:rect>
            </w:pict>
          </mc:Fallback>
        </mc:AlternateContent>
      </w:r>
      <w:r w:rsidR="00222F4A" w:rsidRPr="007B54CB">
        <w:t>Progress in relation to intended outcomes</w:t>
      </w:r>
      <w:bookmarkEnd w:id="139"/>
      <w:bookmarkEnd w:id="140"/>
    </w:p>
    <w:p w14:paraId="555E6996" w14:textId="77777777" w:rsidR="00063A1F" w:rsidRPr="007B54CB" w:rsidRDefault="00063A1F" w:rsidP="00477F2E">
      <w:r w:rsidRPr="007B54CB">
        <w:br w:type="page"/>
      </w:r>
    </w:p>
    <w:p w14:paraId="22057BBB" w14:textId="77777777" w:rsidR="00063A1F" w:rsidRDefault="00063A1F" w:rsidP="00103362">
      <w:pPr>
        <w:pStyle w:val="Heading2"/>
      </w:pPr>
      <w:bookmarkStart w:id="141" w:name="_Toc490481629"/>
      <w:r>
        <w:lastRenderedPageBreak/>
        <w:t>Introduction</w:t>
      </w:r>
      <w:bookmarkEnd w:id="141"/>
    </w:p>
    <w:p w14:paraId="1D2B4FFB" w14:textId="1C3693F9" w:rsidR="00EA5761" w:rsidRDefault="00EA5761" w:rsidP="00BE045A">
      <w:pPr>
        <w:pStyle w:val="ParagraphKeep"/>
      </w:pPr>
      <w:r>
        <w:t xml:space="preserve">As outlined in </w:t>
      </w:r>
      <w:r w:rsidRPr="00222F4A">
        <w:rPr>
          <w:rStyle w:val="Emphasis"/>
        </w:rPr>
        <w:t xml:space="preserve">Section </w:t>
      </w:r>
      <w:r w:rsidR="00B23AA8">
        <w:rPr>
          <w:rStyle w:val="Emphasis"/>
        </w:rPr>
        <w:fldChar w:fldCharType="begin"/>
      </w:r>
      <w:r w:rsidR="00B23AA8">
        <w:rPr>
          <w:rStyle w:val="Emphasis"/>
        </w:rPr>
        <w:instrText xml:space="preserve"> REF _Ref464830064 \r \h </w:instrText>
      </w:r>
      <w:r w:rsidR="00B23AA8">
        <w:rPr>
          <w:rStyle w:val="Emphasis"/>
        </w:rPr>
      </w:r>
      <w:r w:rsidR="00B23AA8">
        <w:rPr>
          <w:rStyle w:val="Emphasis"/>
        </w:rPr>
        <w:fldChar w:fldCharType="separate"/>
      </w:r>
      <w:r w:rsidR="00487073">
        <w:rPr>
          <w:rStyle w:val="Emphasis"/>
        </w:rPr>
        <w:t>1.2</w:t>
      </w:r>
      <w:r w:rsidR="00B23AA8">
        <w:rPr>
          <w:rStyle w:val="Emphasis"/>
        </w:rPr>
        <w:fldChar w:fldCharType="end"/>
      </w:r>
      <w:r>
        <w:t>, this evaluation focussed on assessing IAA’s progress related to the following four key intended outcomes:</w:t>
      </w:r>
    </w:p>
    <w:p w14:paraId="21A80B14" w14:textId="77777777" w:rsidR="00EA5761" w:rsidRDefault="00EA5761" w:rsidP="00BE045A">
      <w:pPr>
        <w:pStyle w:val="Bullet1"/>
      </w:pPr>
      <w:r>
        <w:t>Prospective adoptive parents and adoptive parents have access to information and referral to support services</w:t>
      </w:r>
    </w:p>
    <w:p w14:paraId="46BDCF43" w14:textId="77777777" w:rsidR="00EA5761" w:rsidRDefault="00EA5761" w:rsidP="00BE045A">
      <w:pPr>
        <w:pStyle w:val="Bullet1"/>
      </w:pPr>
      <w:r>
        <w:t>Prospective adoptive parents and adoptive parents’ experiences of the ICA process are positive</w:t>
      </w:r>
    </w:p>
    <w:p w14:paraId="7AC524BD" w14:textId="77777777" w:rsidR="00EA5761" w:rsidRDefault="00EA5761" w:rsidP="00BE045A">
      <w:pPr>
        <w:pStyle w:val="Bullet1"/>
      </w:pPr>
      <w:r>
        <w:t>Adoptive parents’ experience of immigration and passport processes are improved</w:t>
      </w:r>
    </w:p>
    <w:p w14:paraId="781F59F9" w14:textId="77777777" w:rsidR="00EA5761" w:rsidRDefault="00EA5761" w:rsidP="00BE045A">
      <w:pPr>
        <w:pStyle w:val="Bullet1"/>
      </w:pPr>
      <w:r>
        <w:t>The service informs ICA policies and practices.</w:t>
      </w:r>
    </w:p>
    <w:p w14:paraId="53952653" w14:textId="77777777" w:rsidR="00BD2823" w:rsidRPr="00B43607" w:rsidRDefault="00BD2823" w:rsidP="00BD2823">
      <w:pPr>
        <w:pStyle w:val="ParagraphKeep"/>
      </w:pPr>
      <w:r w:rsidRPr="00B43607">
        <w:t>Information for this section is derived from:</w:t>
      </w:r>
    </w:p>
    <w:p w14:paraId="1BEC14B2" w14:textId="77777777" w:rsidR="00BD2823" w:rsidRPr="00B43607" w:rsidRDefault="00BD2823" w:rsidP="00BD2823">
      <w:pPr>
        <w:pStyle w:val="Bullet1"/>
      </w:pPr>
      <w:r w:rsidRPr="00B43607">
        <w:t>Consultations with key internal DSS stakeholders:</w:t>
      </w:r>
    </w:p>
    <w:p w14:paraId="4AE2C2A3" w14:textId="77777777" w:rsidR="00BD2823" w:rsidRPr="00B43607" w:rsidRDefault="00BD2823" w:rsidP="00BD2823">
      <w:pPr>
        <w:pStyle w:val="Bullet2"/>
      </w:pPr>
      <w:r w:rsidRPr="00B43607">
        <w:t>Eight DSS staff who were part of the policy and implementation team during the planning, implementation and ongoing development of the IAA service were interviewed for this project</w:t>
      </w:r>
    </w:p>
    <w:p w14:paraId="7851B61C" w14:textId="77777777" w:rsidR="00BD2823" w:rsidRPr="00B43607" w:rsidRDefault="00BD2823" w:rsidP="00BD2823">
      <w:pPr>
        <w:pStyle w:val="Bullet2"/>
      </w:pPr>
      <w:r w:rsidRPr="00B43607">
        <w:t>Five social workers who operate the 1800 phone service provide</w:t>
      </w:r>
      <w:r>
        <w:t xml:space="preserve">d input into this evaluation.  </w:t>
      </w:r>
      <w:r w:rsidRPr="00B43607">
        <w:t>Two of the</w:t>
      </w:r>
      <w:r>
        <w:t xml:space="preserve"> social</w:t>
      </w:r>
      <w:r w:rsidRPr="00B43607">
        <w:t xml:space="preserve"> workers joined IAA in early 2016 while the remainder have been with the service since its inception</w:t>
      </w:r>
    </w:p>
    <w:p w14:paraId="71C45AA3" w14:textId="77777777" w:rsidR="00BD2823" w:rsidRPr="00B43607" w:rsidRDefault="00BD2823" w:rsidP="00BD2823">
      <w:pPr>
        <w:pStyle w:val="Bullet1"/>
      </w:pPr>
      <w:r w:rsidRPr="00B43607">
        <w:t>Web analytic and IAA client data</w:t>
      </w:r>
    </w:p>
    <w:p w14:paraId="14D612D5" w14:textId="77777777" w:rsidR="00BD2823" w:rsidRPr="00B43607" w:rsidRDefault="00BD2823" w:rsidP="00BD2823">
      <w:pPr>
        <w:pStyle w:val="Bullet1"/>
      </w:pPr>
      <w:r w:rsidRPr="00B43607">
        <w:t>Consultations with targeted service users (survey and in-depth interviews)</w:t>
      </w:r>
    </w:p>
    <w:p w14:paraId="739D3357" w14:textId="77777777" w:rsidR="00BD2823" w:rsidRPr="00B43607" w:rsidRDefault="00BD2823" w:rsidP="00BD2823">
      <w:pPr>
        <w:pStyle w:val="Bullet1"/>
      </w:pPr>
      <w:r w:rsidRPr="00B43607">
        <w:t>Consultations with external stakeholder including:</w:t>
      </w:r>
    </w:p>
    <w:p w14:paraId="70C7991F" w14:textId="77777777" w:rsidR="00BD2823" w:rsidRPr="00B43607" w:rsidRDefault="00BD2823" w:rsidP="00BD2823">
      <w:pPr>
        <w:pStyle w:val="Bullet2"/>
      </w:pPr>
      <w:r w:rsidRPr="00B43607">
        <w:t>STCA representatives</w:t>
      </w:r>
    </w:p>
    <w:p w14:paraId="344A3884" w14:textId="77777777" w:rsidR="00BD2823" w:rsidRPr="00B43607" w:rsidRDefault="00BD2823" w:rsidP="00BD2823">
      <w:pPr>
        <w:pStyle w:val="Bullet2"/>
      </w:pPr>
      <w:r w:rsidRPr="00B43607">
        <w:t>Commonwealth agencies:</w:t>
      </w:r>
    </w:p>
    <w:p w14:paraId="1E66FC58" w14:textId="77777777" w:rsidR="00BD2823" w:rsidRPr="00B43607" w:rsidRDefault="00BD2823" w:rsidP="00EA0E41">
      <w:pPr>
        <w:pStyle w:val="Bullet3"/>
        <w:ind w:left="1701" w:hanging="425"/>
      </w:pPr>
      <w:r w:rsidRPr="00B43607">
        <w:t>AGD</w:t>
      </w:r>
    </w:p>
    <w:p w14:paraId="6FEB6E05" w14:textId="77777777" w:rsidR="00BD2823" w:rsidRPr="00B43607" w:rsidRDefault="00BD2823" w:rsidP="00EA0E41">
      <w:pPr>
        <w:pStyle w:val="Bullet3"/>
        <w:ind w:left="1701" w:hanging="425"/>
      </w:pPr>
      <w:r w:rsidRPr="00B43607">
        <w:t>DFAT</w:t>
      </w:r>
    </w:p>
    <w:p w14:paraId="35E89C8B" w14:textId="77777777" w:rsidR="00BD2823" w:rsidRPr="00B43607" w:rsidRDefault="00BD2823" w:rsidP="00EA0E41">
      <w:pPr>
        <w:pStyle w:val="Bullet3"/>
        <w:ind w:left="1701" w:hanging="425"/>
      </w:pPr>
      <w:r w:rsidRPr="00B43607">
        <w:t>DIBP</w:t>
      </w:r>
    </w:p>
    <w:p w14:paraId="06AE1ED1" w14:textId="77777777" w:rsidR="00BD2823" w:rsidRDefault="00BD2823" w:rsidP="00EA0E41">
      <w:pPr>
        <w:pStyle w:val="Bullet3"/>
        <w:ind w:left="1701" w:hanging="425"/>
      </w:pPr>
      <w:r w:rsidRPr="00B43607">
        <w:t>PM</w:t>
      </w:r>
      <w:r>
        <w:t>&amp;</w:t>
      </w:r>
      <w:r w:rsidRPr="00B43607">
        <w:t>C</w:t>
      </w:r>
    </w:p>
    <w:p w14:paraId="4812A05C" w14:textId="77777777" w:rsidR="00BD2823" w:rsidRDefault="00BD2823" w:rsidP="00EA0E41">
      <w:pPr>
        <w:pStyle w:val="Bullet3"/>
        <w:ind w:left="1701" w:hanging="425"/>
      </w:pPr>
      <w:r>
        <w:t>Parent support and advocacy groups</w:t>
      </w:r>
    </w:p>
    <w:p w14:paraId="3D4A4F7C" w14:textId="675F0E38" w:rsidR="00BD2823" w:rsidRDefault="00BD2823" w:rsidP="00EA0E41">
      <w:pPr>
        <w:pStyle w:val="Bullet3"/>
        <w:ind w:left="1701" w:hanging="425"/>
      </w:pPr>
      <w:r>
        <w:t>Academics.</w:t>
      </w:r>
    </w:p>
    <w:p w14:paraId="77086448" w14:textId="15D2CBFD" w:rsidR="00ED46E8" w:rsidRDefault="00EA5761" w:rsidP="00BE045A">
      <w:pPr>
        <w:pStyle w:val="Paragraph"/>
      </w:pPr>
      <w:r>
        <w:t>Stakeholder perspectives in relation to each outcome are presented in the following sections.</w:t>
      </w:r>
    </w:p>
    <w:p w14:paraId="17FC0449" w14:textId="77777777" w:rsidR="00F4135B" w:rsidRDefault="00F4135B" w:rsidP="0081080E">
      <w:pPr>
        <w:pStyle w:val="Heading2"/>
      </w:pPr>
      <w:bookmarkStart w:id="142" w:name="_Toc490481630"/>
      <w:r>
        <w:t>Prospective adoptive parents and adoptive parents have access to information and referral to support services</w:t>
      </w:r>
      <w:bookmarkEnd w:id="142"/>
    </w:p>
    <w:p w14:paraId="0AF82E09" w14:textId="77777777" w:rsidR="00EA5761" w:rsidRPr="00920EFF" w:rsidRDefault="00EA5761" w:rsidP="00EA5761">
      <w:pPr>
        <w:pStyle w:val="Paragraph"/>
        <w:rPr>
          <w:lang w:eastAsia="en-AU"/>
        </w:rPr>
      </w:pPr>
      <w:r>
        <w:rPr>
          <w:lang w:eastAsia="en-AU"/>
        </w:rPr>
        <w:t>For the purposes of discussion, achievements regarding access to information and referral to support services are discussed separately in the following sections.</w:t>
      </w:r>
    </w:p>
    <w:p w14:paraId="6E0AB8DA" w14:textId="77777777" w:rsidR="00EA5761" w:rsidRDefault="00EA5761" w:rsidP="00103362">
      <w:pPr>
        <w:pStyle w:val="Heading3"/>
      </w:pPr>
      <w:r>
        <w:lastRenderedPageBreak/>
        <w:t xml:space="preserve">Access to information </w:t>
      </w:r>
    </w:p>
    <w:p w14:paraId="2C627C22" w14:textId="77777777" w:rsidR="00EA5761" w:rsidRDefault="00EA5761" w:rsidP="00BE045A">
      <w:pPr>
        <w:pStyle w:val="ParagraphKeep"/>
      </w:pPr>
      <w:r>
        <w:t>Four elements of access to information are considered in this section:</w:t>
      </w:r>
    </w:p>
    <w:p w14:paraId="5940DE6B" w14:textId="1E75144D" w:rsidR="00EA5761" w:rsidRDefault="00B95FE8" w:rsidP="00EA5761">
      <w:pPr>
        <w:pStyle w:val="Bullet1"/>
      </w:pPr>
      <w:r>
        <w:t>Non-parental s</w:t>
      </w:r>
      <w:r w:rsidR="00EA5761">
        <w:t>takeholder assessment of the contribution of IAA to information access</w:t>
      </w:r>
    </w:p>
    <w:p w14:paraId="28A1A64F" w14:textId="77777777" w:rsidR="00EA5761" w:rsidRDefault="00EA5761" w:rsidP="00EA5761">
      <w:pPr>
        <w:pStyle w:val="Bullet1"/>
      </w:pPr>
      <w:r>
        <w:t>Uptake issues</w:t>
      </w:r>
    </w:p>
    <w:p w14:paraId="5C75ECB4" w14:textId="77777777" w:rsidR="00EA5761" w:rsidRDefault="00EA5761" w:rsidP="00EA5761">
      <w:pPr>
        <w:pStyle w:val="Bullet1"/>
      </w:pPr>
      <w:r>
        <w:t>Comprehensiveness of the information provided</w:t>
      </w:r>
    </w:p>
    <w:p w14:paraId="3306A496" w14:textId="77777777" w:rsidR="00EA5761" w:rsidRDefault="00EA5761" w:rsidP="00EA5761">
      <w:pPr>
        <w:pStyle w:val="Bullet1"/>
      </w:pPr>
      <w:r>
        <w:t>Client expectations.</w:t>
      </w:r>
    </w:p>
    <w:p w14:paraId="20E4D740" w14:textId="0C989FB9" w:rsidR="00EA5761" w:rsidRDefault="00B95FE8" w:rsidP="00BE045A">
      <w:pPr>
        <w:pStyle w:val="Heading4"/>
      </w:pPr>
      <w:r>
        <w:t>Non-parental s</w:t>
      </w:r>
      <w:r w:rsidR="00EA5761">
        <w:t>takeholder assessment of the contribution of IAA to information access</w:t>
      </w:r>
    </w:p>
    <w:p w14:paraId="0622740A" w14:textId="0690AE61" w:rsidR="00EA5761" w:rsidRDefault="00EA5761" w:rsidP="00BE045A">
      <w:pPr>
        <w:pStyle w:val="Paragraph"/>
      </w:pPr>
      <w:r>
        <w:t xml:space="preserve">While IAA has undoubtedly has made additional information available to those involved in ICA through its provision of its 1800 information line and website, </w:t>
      </w:r>
      <w:r w:rsidR="00B95FE8">
        <w:t xml:space="preserve">non-parental </w:t>
      </w:r>
      <w:r>
        <w:t xml:space="preserve">stakeholders differed in their assessment of the contribution this information made to the ICA community. </w:t>
      </w:r>
    </w:p>
    <w:p w14:paraId="72CA698A" w14:textId="77777777" w:rsidR="00EA5761" w:rsidRPr="002536F7" w:rsidRDefault="00EA5761" w:rsidP="00BE045A">
      <w:pPr>
        <w:pStyle w:val="ParagraphKeep"/>
        <w:rPr>
          <w:lang w:eastAsia="en-AU"/>
        </w:rPr>
      </w:pPr>
      <w:r w:rsidRPr="008F0141">
        <w:rPr>
          <w:rStyle w:val="Strong"/>
        </w:rPr>
        <w:t>Commonwealth stakeholders</w:t>
      </w:r>
      <w:r w:rsidRPr="00B61E21">
        <w:t xml:space="preserve"> generally agreed that IAA has improved access to information for PAP, adoptive parents and other users, through </w:t>
      </w:r>
      <w:r>
        <w:t>its</w:t>
      </w:r>
      <w:r w:rsidRPr="00B61E21">
        <w:t xml:space="preserve"> role </w:t>
      </w:r>
      <w:r>
        <w:t>as</w:t>
      </w:r>
      <w:r w:rsidRPr="00B61E21">
        <w:t xml:space="preserve"> “</w:t>
      </w:r>
      <w:r w:rsidRPr="00B61E21">
        <w:rPr>
          <w:i/>
          <w:iCs/>
        </w:rPr>
        <w:t>the front door of the [ICA] service</w:t>
      </w:r>
      <w:r w:rsidRPr="00B61E21">
        <w:rPr>
          <w:lang w:eastAsia="en-AU"/>
        </w:rPr>
        <w:t>.”</w:t>
      </w:r>
      <w:r w:rsidRPr="00B61E21">
        <w:t xml:space="preserve">  While the phone service was seen as particularly useful, the IAA service overall was not seen as a substitute for the </w:t>
      </w:r>
      <w:r w:rsidRPr="002536F7">
        <w:t>STCAs.</w:t>
      </w:r>
    </w:p>
    <w:p w14:paraId="5A3FBF07" w14:textId="425BED98" w:rsidR="00EA5761" w:rsidRPr="00B61E21" w:rsidRDefault="00EA5761" w:rsidP="00EA5761">
      <w:pPr>
        <w:pStyle w:val="Quote"/>
      </w:pPr>
      <w:r w:rsidRPr="002536F7">
        <w:t>“IAA has provided better access to information.  It was definitely a different form of the service that</w:t>
      </w:r>
      <w:r w:rsidRPr="00B61E21">
        <w:t xml:space="preserve"> was provided by AGD.  However, in some situations, the states and territories are still the best places to get information from rather than an additional service” </w:t>
      </w:r>
    </w:p>
    <w:p w14:paraId="5A905EF6" w14:textId="77777777" w:rsidR="00EA5761" w:rsidRPr="00B61E21" w:rsidRDefault="00EA5761" w:rsidP="00EA5761">
      <w:pPr>
        <w:pStyle w:val="Quote"/>
      </w:pPr>
      <w:r w:rsidRPr="00B61E21">
        <w:rPr>
          <w:color w:val="212121"/>
          <w:shd w:val="clear" w:color="auto" w:fill="FFFFFF"/>
        </w:rPr>
        <w:t>“[Most PAPs] continue to receive most of their information about the adoption process from their state/territory adoption authority.  That said, I think IAA is p</w:t>
      </w:r>
      <w:r>
        <w:rPr>
          <w:color w:val="212121"/>
          <w:shd w:val="clear" w:color="auto" w:fill="FFFFFF"/>
        </w:rPr>
        <w:t xml:space="preserve">erforming a necessary service.  </w:t>
      </w:r>
      <w:r w:rsidRPr="00B61E21">
        <w:rPr>
          <w:color w:val="212121"/>
          <w:shd w:val="clear" w:color="auto" w:fill="FFFFFF"/>
        </w:rPr>
        <w:t xml:space="preserve">There are many government actors in the </w:t>
      </w:r>
      <w:r>
        <w:rPr>
          <w:color w:val="212121"/>
          <w:shd w:val="clear" w:color="auto" w:fill="FFFFFF"/>
        </w:rPr>
        <w:t>ICA</w:t>
      </w:r>
      <w:r w:rsidRPr="00B61E21">
        <w:rPr>
          <w:color w:val="212121"/>
          <w:shd w:val="clear" w:color="auto" w:fill="FFFFFF"/>
        </w:rPr>
        <w:t xml:space="preserve"> process and it is important to have a single starting point/set of advice/referral service for DFAT, DIBP, AGD, DSS and the state/territory governments to refer to when working with PAPs.”</w:t>
      </w:r>
    </w:p>
    <w:p w14:paraId="6F97E106" w14:textId="44283520" w:rsidR="00EA5761" w:rsidRDefault="00EA5761" w:rsidP="00EA5761">
      <w:pPr>
        <w:pStyle w:val="Paragraph"/>
      </w:pPr>
      <w:r w:rsidRPr="00B61E21">
        <w:t xml:space="preserve">Any duplication of information provision to service users by IAA and the </w:t>
      </w:r>
      <w:r>
        <w:t>Commonwealth</w:t>
      </w:r>
      <w:r w:rsidRPr="00B61E21">
        <w:t xml:space="preserve"> agencies/STCAs</w:t>
      </w:r>
      <w:r>
        <w:t xml:space="preserve"> </w:t>
      </w:r>
      <w:r w:rsidRPr="00B61E21">
        <w:t>was not seen to be problematic because</w:t>
      </w:r>
      <w:r>
        <w:t xml:space="preserve">: </w:t>
      </w:r>
      <w:r w:rsidR="0056466C">
        <w:t>“</w:t>
      </w:r>
      <w:r>
        <w:rPr>
          <w:i/>
        </w:rPr>
        <w:t>p</w:t>
      </w:r>
      <w:r w:rsidRPr="00093858">
        <w:rPr>
          <w:i/>
        </w:rPr>
        <w:t>eople</w:t>
      </w:r>
      <w:r w:rsidRPr="00B61E21">
        <w:rPr>
          <w:i/>
          <w:iCs/>
        </w:rPr>
        <w:t xml:space="preserve"> don’t necessarily believe the advice when they’re given</w:t>
      </w:r>
      <w:r>
        <w:rPr>
          <w:i/>
          <w:iCs/>
        </w:rPr>
        <w:t xml:space="preserve">”.  </w:t>
      </w:r>
      <w:r w:rsidRPr="00A822D5">
        <w:t xml:space="preserve">The </w:t>
      </w:r>
      <w:r w:rsidR="000D13D0">
        <w:t>challenging</w:t>
      </w:r>
      <w:r w:rsidR="000D13D0" w:rsidRPr="00A822D5">
        <w:t xml:space="preserve"> </w:t>
      </w:r>
      <w:r w:rsidRPr="00A822D5">
        <w:t>nature of ICA meant there was a</w:t>
      </w:r>
      <w:r w:rsidRPr="00B61E21">
        <w:t xml:space="preserve"> need for service users to triangulate and confirm advice/information from multiple sources.</w:t>
      </w:r>
    </w:p>
    <w:p w14:paraId="30A0A555" w14:textId="77777777" w:rsidR="00EA5761" w:rsidRPr="00B61E21" w:rsidRDefault="00EA5761" w:rsidP="00EA5761">
      <w:pPr>
        <w:pStyle w:val="Paragraph"/>
        <w:rPr>
          <w:lang w:eastAsia="en-AU"/>
        </w:rPr>
      </w:pPr>
      <w:r w:rsidRPr="008F0141">
        <w:rPr>
          <w:rStyle w:val="Strong"/>
        </w:rPr>
        <w:t>STCA representatives</w:t>
      </w:r>
      <w:r>
        <w:rPr>
          <w:lang w:eastAsia="en-AU"/>
        </w:rPr>
        <w:t xml:space="preserve"> </w:t>
      </w:r>
      <w:r w:rsidRPr="00B61E21">
        <w:rPr>
          <w:lang w:eastAsia="en-AU"/>
        </w:rPr>
        <w:t>expressed mixed views regarding whether the IAA had improved access to information and referrals for its clients.</w:t>
      </w:r>
    </w:p>
    <w:p w14:paraId="1DF374FD" w14:textId="77777777" w:rsidR="00EA5761" w:rsidRPr="00B61E21" w:rsidRDefault="00EA5761" w:rsidP="00EA5761">
      <w:pPr>
        <w:pStyle w:val="Paragraph"/>
        <w:rPr>
          <w:lang w:eastAsia="en-AU"/>
        </w:rPr>
      </w:pPr>
      <w:r w:rsidRPr="00B61E21">
        <w:rPr>
          <w:lang w:eastAsia="en-AU"/>
        </w:rPr>
        <w:t>For some, the IAA website was seen as important precursor to STCA contact and provided clients with information in a more user-friendly format than had previously been available:</w:t>
      </w:r>
    </w:p>
    <w:p w14:paraId="1FDBCFD9" w14:textId="77777777" w:rsidR="00EA5761" w:rsidRPr="00B61E21" w:rsidRDefault="00EA5761" w:rsidP="00EA5761">
      <w:pPr>
        <w:pStyle w:val="Quote"/>
      </w:pPr>
      <w:r w:rsidRPr="00B61E21">
        <w:t>“</w:t>
      </w:r>
      <w:r w:rsidRPr="00B61E21">
        <w:rPr>
          <w:lang w:eastAsia="en-AU"/>
        </w:rPr>
        <w:t>Some people really explore and get a lot of questions from the website then come to me</w:t>
      </w:r>
      <w:r w:rsidRPr="00B61E21">
        <w:t>.  O</w:t>
      </w:r>
      <w:r w:rsidRPr="00B61E21">
        <w:rPr>
          <w:lang w:eastAsia="en-AU"/>
        </w:rPr>
        <w:t>ther people check eligibility through</w:t>
      </w:r>
      <w:r w:rsidRPr="00B61E21">
        <w:t xml:space="preserve"> it.  It’s a good source of info...</w:t>
      </w:r>
      <w:r>
        <w:t xml:space="preserve"> </w:t>
      </w:r>
      <w:r w:rsidRPr="00B61E21">
        <w:t xml:space="preserve"> </w:t>
      </w:r>
      <w:r w:rsidRPr="00B61E21">
        <w:rPr>
          <w:lang w:eastAsia="en-AU"/>
        </w:rPr>
        <w:t>I’m getting the feeling now that the current website is friendly and easier to use than the AGD website.</w:t>
      </w:r>
      <w:r w:rsidRPr="00B61E21">
        <w:t>”</w:t>
      </w:r>
    </w:p>
    <w:p w14:paraId="4EC18BAD" w14:textId="0F950EB4" w:rsidR="00EA5761" w:rsidRPr="00B61E21" w:rsidRDefault="00EA5761" w:rsidP="00EA5761">
      <w:pPr>
        <w:pStyle w:val="Paragraph"/>
      </w:pPr>
      <w:r w:rsidRPr="00B61E21">
        <w:t xml:space="preserve">While others acknowledged that IAA was providing access to information, </w:t>
      </w:r>
      <w:r>
        <w:t xml:space="preserve">some </w:t>
      </w:r>
      <w:r w:rsidRPr="00B61E21">
        <w:t>queried the value-add</w:t>
      </w:r>
      <w:r w:rsidR="0081080E">
        <w:t xml:space="preserve"> of this information because of </w:t>
      </w:r>
    </w:p>
    <w:p w14:paraId="72184F80" w14:textId="77777777" w:rsidR="00EA5761" w:rsidRPr="00B61E21" w:rsidRDefault="00EA5761" w:rsidP="00EA5761">
      <w:pPr>
        <w:pStyle w:val="Bullet1"/>
      </w:pPr>
      <w:r w:rsidRPr="00B61E21">
        <w:t>Pre-existing information sources:</w:t>
      </w:r>
    </w:p>
    <w:p w14:paraId="29AED1AB" w14:textId="77777777" w:rsidR="00EA5761" w:rsidRPr="00B61E21" w:rsidRDefault="00EA5761" w:rsidP="00EA5761">
      <w:pPr>
        <w:pStyle w:val="Quote"/>
      </w:pPr>
      <w:r w:rsidRPr="00B61E21">
        <w:lastRenderedPageBreak/>
        <w:t>“T</w:t>
      </w:r>
      <w:r w:rsidRPr="00B61E21">
        <w:rPr>
          <w:lang w:eastAsia="en-AU"/>
        </w:rPr>
        <w:t xml:space="preserve">hey’re providing access to information, but whether or not people didn’t have access to that info before, that’s the question.  Has it filled a need that was lacking?  It’s a nice clear website, maybe if it was just their website and not AGD as well but that’s confusing as well because there is some info on IAA and some on AGD.  It all just used to be one.  In general terms they’re providing info, I think that was being provided well already before. </w:t>
      </w:r>
    </w:p>
    <w:p w14:paraId="32AE63D0" w14:textId="77777777" w:rsidR="00EA5761" w:rsidRPr="00B61E21" w:rsidRDefault="00EA5761" w:rsidP="00EA5761">
      <w:pPr>
        <w:pStyle w:val="Bullet1"/>
      </w:pPr>
      <w:r w:rsidRPr="00B61E21">
        <w:t>The role of STCAs in the ICA process:</w:t>
      </w:r>
    </w:p>
    <w:p w14:paraId="67380278" w14:textId="56343633" w:rsidR="00EA5761" w:rsidRPr="00B61E21" w:rsidRDefault="00EA5761" w:rsidP="00EA5761">
      <w:pPr>
        <w:pStyle w:val="Quote"/>
      </w:pPr>
      <w:r w:rsidRPr="00B61E21">
        <w:t xml:space="preserve">“We are the one stop shop.  Everyone knows where to come because there </w:t>
      </w:r>
      <w:r w:rsidR="00AC4E7F">
        <w:t>isn’t heaps of different player</w:t>
      </w:r>
      <w:r w:rsidRPr="00B61E21">
        <w:t>s.  I don’t understand how IAA will benefit PAP</w:t>
      </w:r>
      <w:r w:rsidR="00AC4E7F">
        <w:t>s</w:t>
      </w:r>
      <w:r w:rsidRPr="00B61E21">
        <w:t xml:space="preserve"> or anyone else.  States are responsible and do everything already.  I feel that IAA is redundant.  IAA creates another step for PAPs.  They are always referred back to </w:t>
      </w:r>
      <w:r w:rsidR="008A7E2B">
        <w:t>the STC</w:t>
      </w:r>
      <w:r w:rsidRPr="00B61E21">
        <w:t>A anyway.  I don’t understand IAA’s role”</w:t>
      </w:r>
    </w:p>
    <w:p w14:paraId="6AC3A29D" w14:textId="77777777" w:rsidR="00EA5761" w:rsidRPr="00B61E21" w:rsidRDefault="00EA5761" w:rsidP="00EA5761">
      <w:pPr>
        <w:pStyle w:val="Quote"/>
      </w:pPr>
      <w:r w:rsidRPr="00B61E21">
        <w:t>“Having a website is great.  I’m not sure about the phone line being of any benefit other than to refer to the states...People still have questions after they have gone to the IAA website and spoken with someone there”.</w:t>
      </w:r>
    </w:p>
    <w:p w14:paraId="6E4245E3" w14:textId="6D282A2A" w:rsidR="00EA5761" w:rsidRPr="00B61E21" w:rsidRDefault="00EA5761" w:rsidP="00EA5761">
      <w:pPr>
        <w:pStyle w:val="Paragraph"/>
        <w:rPr>
          <w:lang w:eastAsia="en-AU"/>
        </w:rPr>
      </w:pPr>
      <w:r w:rsidRPr="00B61E21">
        <w:rPr>
          <w:lang w:eastAsia="en-AU"/>
        </w:rPr>
        <w:t xml:space="preserve">It is important to note that although IAA’s role in information provision was seen </w:t>
      </w:r>
      <w:r>
        <w:rPr>
          <w:lang w:eastAsia="en-AU"/>
        </w:rPr>
        <w:t xml:space="preserve">by some </w:t>
      </w:r>
      <w:r w:rsidRPr="00B61E21">
        <w:rPr>
          <w:lang w:eastAsia="en-AU"/>
        </w:rPr>
        <w:t xml:space="preserve">as duplication, not all STCA representatives viewed this duplication as negative because of the </w:t>
      </w:r>
      <w:r w:rsidR="000D13D0">
        <w:rPr>
          <w:lang w:eastAsia="en-AU"/>
        </w:rPr>
        <w:t xml:space="preserve">complex </w:t>
      </w:r>
      <w:r w:rsidRPr="00B61E21">
        <w:rPr>
          <w:lang w:eastAsia="en-AU"/>
        </w:rPr>
        <w:t>nature of ICA processes:</w:t>
      </w:r>
    </w:p>
    <w:p w14:paraId="7F800208" w14:textId="77777777" w:rsidR="00EA5761" w:rsidRPr="00B61E21" w:rsidRDefault="00EA5761" w:rsidP="00EA5761">
      <w:pPr>
        <w:pStyle w:val="Quote"/>
      </w:pPr>
      <w:r w:rsidRPr="00B61E21">
        <w:t>“The provision of information is a duplication but I don’t think that’s negative, people need to hear the information as many times as possible to sink in.”</w:t>
      </w:r>
    </w:p>
    <w:p w14:paraId="6CDAF4C0" w14:textId="77777777" w:rsidR="00EA5761" w:rsidRPr="00B61E21" w:rsidRDefault="00EA5761" w:rsidP="00EA5761">
      <w:pPr>
        <w:pStyle w:val="Quote"/>
      </w:pPr>
      <w:r w:rsidRPr="00B61E21">
        <w:t>“It’s a very emotional topic so sometimes people don’t hear things, so the more of the same message people get then the better”</w:t>
      </w:r>
    </w:p>
    <w:p w14:paraId="26EC4FBB" w14:textId="5F583F70" w:rsidR="00EA5761" w:rsidRPr="00B61E21" w:rsidRDefault="00EA5761" w:rsidP="00EA5761">
      <w:pPr>
        <w:pStyle w:val="Quote"/>
      </w:pPr>
      <w:r w:rsidRPr="00B61E21">
        <w:t xml:space="preserve">“In my </w:t>
      </w:r>
      <w:r w:rsidR="00A65FD4" w:rsidRPr="00B61E21">
        <w:t>experience,</w:t>
      </w:r>
      <w:r w:rsidRPr="00B61E21">
        <w:t xml:space="preserve"> a lot of ICA applicants you need to tell them a few times for the message to get through.  They might have spoken to IAA but it’s like they’re not hearing everything and taking it on board”.</w:t>
      </w:r>
    </w:p>
    <w:p w14:paraId="52BB74A7" w14:textId="5EAF4C44" w:rsidR="00EA5761" w:rsidRPr="008F0141" w:rsidRDefault="00EA5761" w:rsidP="00BE045A">
      <w:pPr>
        <w:pStyle w:val="Paragraph"/>
      </w:pPr>
      <w:r w:rsidRPr="008F0141">
        <w:rPr>
          <w:rStyle w:val="Strong"/>
        </w:rPr>
        <w:t xml:space="preserve">Academic informants </w:t>
      </w:r>
      <w:r w:rsidRPr="00BE045A">
        <w:t>s</w:t>
      </w:r>
      <w:r>
        <w:t xml:space="preserve">upported the </w:t>
      </w:r>
      <w:r w:rsidRPr="008F0141">
        <w:t xml:space="preserve">provision of a centralised source of information that is government-operated, particularly as PAPs </w:t>
      </w:r>
      <w:r w:rsidR="00AC4E7F" w:rsidRPr="00AC4E7F">
        <w:t xml:space="preserve">otherwise </w:t>
      </w:r>
      <w:r w:rsidRPr="008F0141">
        <w:t xml:space="preserve">tend to rely on support groups as their primary source of information. </w:t>
      </w:r>
    </w:p>
    <w:p w14:paraId="7C76FB96" w14:textId="2C1032FF" w:rsidR="00EA5761" w:rsidRPr="008F0141" w:rsidRDefault="00EA5761" w:rsidP="00BE045A">
      <w:pPr>
        <w:pStyle w:val="Quote"/>
      </w:pPr>
      <w:r w:rsidRPr="008F0141">
        <w:t xml:space="preserve">“There can never be enough information.  Having a central point for [ICA] info is good.  There is info on the AGD website as well, but the more the </w:t>
      </w:r>
      <w:r w:rsidR="008A7E2B">
        <w:t>G</w:t>
      </w:r>
      <w:r w:rsidRPr="008F0141">
        <w:t>overnment can distribute accurate info, the better”</w:t>
      </w:r>
      <w:r w:rsidR="00AC4E7F">
        <w:t>.</w:t>
      </w:r>
    </w:p>
    <w:p w14:paraId="472A11CC" w14:textId="77777777" w:rsidR="00E405EE" w:rsidRDefault="00E405EE" w:rsidP="00E405EE"/>
    <w:tbl>
      <w:tblPr>
        <w:tblStyle w:val="TableGrid"/>
        <w:tblW w:w="0" w:type="auto"/>
        <w:tblInd w:w="108" w:type="dxa"/>
        <w:tblBorders>
          <w:top w:val="single" w:sz="4" w:space="0" w:color="0079C1" w:themeColor="text2"/>
          <w:left w:val="single" w:sz="4" w:space="0" w:color="0079C1" w:themeColor="text2"/>
          <w:bottom w:val="single" w:sz="4" w:space="0" w:color="0079C1" w:themeColor="text2"/>
          <w:right w:val="single" w:sz="4" w:space="0" w:color="0079C1" w:themeColor="text2"/>
          <w:insideH w:val="none" w:sz="0" w:space="0" w:color="auto"/>
          <w:insideV w:val="none" w:sz="0" w:space="0" w:color="auto"/>
        </w:tblBorders>
        <w:shd w:val="clear" w:color="auto" w:fill="E2F4FF" w:themeFill="accent1" w:themeFillTint="33"/>
        <w:tblLook w:val="04A0" w:firstRow="1" w:lastRow="0" w:firstColumn="1" w:lastColumn="0" w:noHBand="0" w:noVBand="1"/>
        <w:tblDescription w:val="Key findings:&#10;• Non-parental stakeholders differed in their assessment of the contribution this information made to the ICA community:&#10; Commonwealth stakeholders:&#10;• Generally agreed that IAA has improved access to information&#10;• Considered the information line service as particularly useful, noting that the IAA service overall was not seen as a substitute for the STCAs&#10; At STCA level:&#10;• The IAA website was seen as important precursor to STCA contact and provided clients with information in a more user-friendly format than had previously been available&#10;• Some queried the value-add of this information because it was also available on the AGD website&#10; Academics welcomed the provision of a centralised information service&#10;• Any duplication of information provision to service users by IAA and the Commonwealth agencies/STCAs was not seen to be problematic.  Non-parental stakeholders reported that the complex nature of ICA processes meant service users triangulate and confirm advice/information from multiple sources.  &#10;"/>
      </w:tblPr>
      <w:tblGrid>
        <w:gridCol w:w="9237"/>
      </w:tblGrid>
      <w:tr w:rsidR="00E405EE" w:rsidRPr="00B43607" w14:paraId="01C4F12B" w14:textId="77777777" w:rsidTr="004E43C8">
        <w:trPr>
          <w:tblHeader/>
        </w:trPr>
        <w:tc>
          <w:tcPr>
            <w:tcW w:w="9349" w:type="dxa"/>
            <w:shd w:val="clear" w:color="auto" w:fill="E2F4FF" w:themeFill="accent1" w:themeFillTint="33"/>
          </w:tcPr>
          <w:p w14:paraId="0A20E7A9" w14:textId="22F1C6C2" w:rsidR="00E405EE" w:rsidRPr="008A1452" w:rsidRDefault="00E405EE" w:rsidP="00192B69">
            <w:pPr>
              <w:pStyle w:val="Heading4"/>
              <w:outlineLvl w:val="3"/>
              <w:rPr>
                <w:color w:val="auto"/>
                <w:lang w:val="en-AU"/>
              </w:rPr>
            </w:pPr>
            <w:r w:rsidRPr="008A1452">
              <w:rPr>
                <w:color w:val="auto"/>
                <w:lang w:val="en-AU"/>
              </w:rPr>
              <w:lastRenderedPageBreak/>
              <w:t>Key findings:</w:t>
            </w:r>
          </w:p>
          <w:p w14:paraId="2FC4A7B8" w14:textId="04812CC5" w:rsidR="00192B69" w:rsidRDefault="00B95FE8" w:rsidP="00192B69">
            <w:pPr>
              <w:pStyle w:val="Bullet1"/>
              <w:rPr>
                <w:lang w:val="en-AU"/>
              </w:rPr>
            </w:pPr>
            <w:r>
              <w:rPr>
                <w:lang w:val="en-AU"/>
              </w:rPr>
              <w:t>Non-parental s</w:t>
            </w:r>
            <w:r w:rsidR="00192B69" w:rsidRPr="00192B69">
              <w:rPr>
                <w:lang w:val="en-AU"/>
              </w:rPr>
              <w:t>takeholders differed in their assessment of the contribution this inform</w:t>
            </w:r>
            <w:r w:rsidR="00192B69">
              <w:rPr>
                <w:lang w:val="en-AU"/>
              </w:rPr>
              <w:t>ation made to the ICA community:</w:t>
            </w:r>
          </w:p>
          <w:p w14:paraId="7FCEE802" w14:textId="77777777" w:rsidR="00192B69" w:rsidRDefault="00192B69" w:rsidP="00192B69">
            <w:pPr>
              <w:pStyle w:val="Bullet2"/>
              <w:rPr>
                <w:lang w:val="en-AU"/>
              </w:rPr>
            </w:pPr>
            <w:r w:rsidRPr="00B95FE8">
              <w:rPr>
                <w:rStyle w:val="Italics"/>
              </w:rPr>
              <w:t>Commonwealth stakeholders</w:t>
            </w:r>
            <w:r>
              <w:rPr>
                <w:lang w:val="en-AU"/>
              </w:rPr>
              <w:t>:</w:t>
            </w:r>
          </w:p>
          <w:p w14:paraId="056C5BAD" w14:textId="6FCC6F91" w:rsidR="00192B69" w:rsidRDefault="00761DE8" w:rsidP="00192B69">
            <w:pPr>
              <w:pStyle w:val="Bullet3"/>
              <w:rPr>
                <w:lang w:val="en-AU"/>
              </w:rPr>
            </w:pPr>
            <w:r>
              <w:rPr>
                <w:lang w:val="en-AU"/>
              </w:rPr>
              <w:t>G</w:t>
            </w:r>
            <w:r w:rsidR="00192B69" w:rsidRPr="00192B69">
              <w:rPr>
                <w:lang w:val="en-AU"/>
              </w:rPr>
              <w:t>enerally agreed that IAA has improved access to information</w:t>
            </w:r>
          </w:p>
          <w:p w14:paraId="3E703258" w14:textId="2A211BEC" w:rsidR="00192B69" w:rsidRDefault="00761DE8" w:rsidP="00192B69">
            <w:pPr>
              <w:pStyle w:val="Bullet3"/>
              <w:rPr>
                <w:lang w:val="en-AU"/>
              </w:rPr>
            </w:pPr>
            <w:r>
              <w:rPr>
                <w:lang w:val="en-AU"/>
              </w:rPr>
              <w:t>C</w:t>
            </w:r>
            <w:r w:rsidR="00192B69">
              <w:rPr>
                <w:lang w:val="en-AU"/>
              </w:rPr>
              <w:t xml:space="preserve">onsidered </w:t>
            </w:r>
            <w:r w:rsidR="00192B69" w:rsidRPr="00192B69">
              <w:rPr>
                <w:lang w:val="en-AU"/>
              </w:rPr>
              <w:t xml:space="preserve">the </w:t>
            </w:r>
            <w:r w:rsidR="00F26A65">
              <w:rPr>
                <w:lang w:val="en-AU"/>
              </w:rPr>
              <w:t>information line</w:t>
            </w:r>
            <w:r w:rsidR="00F26A65" w:rsidRPr="00192B69">
              <w:rPr>
                <w:lang w:val="en-AU"/>
              </w:rPr>
              <w:t xml:space="preserve"> </w:t>
            </w:r>
            <w:r w:rsidR="00192B69" w:rsidRPr="00192B69">
              <w:rPr>
                <w:lang w:val="en-AU"/>
              </w:rPr>
              <w:t>service as particularly useful</w:t>
            </w:r>
            <w:r w:rsidR="00F26A65">
              <w:rPr>
                <w:lang w:val="en-AU"/>
              </w:rPr>
              <w:t>,</w:t>
            </w:r>
            <w:r w:rsidR="00192B69">
              <w:rPr>
                <w:lang w:val="en-AU"/>
              </w:rPr>
              <w:t xml:space="preserve"> noting that </w:t>
            </w:r>
            <w:r w:rsidR="00192B69" w:rsidRPr="00192B69">
              <w:rPr>
                <w:lang w:val="en-AU"/>
              </w:rPr>
              <w:t>the IAA service overall was not seen as a substitute for the STCAs</w:t>
            </w:r>
          </w:p>
          <w:p w14:paraId="1BB2519D" w14:textId="77777777" w:rsidR="00192B69" w:rsidRPr="00B95FE8" w:rsidRDefault="00192B69" w:rsidP="00192B69">
            <w:pPr>
              <w:pStyle w:val="Bullet2"/>
              <w:rPr>
                <w:rStyle w:val="Italic"/>
              </w:rPr>
            </w:pPr>
            <w:r w:rsidRPr="00B95FE8">
              <w:rPr>
                <w:rStyle w:val="Italic"/>
              </w:rPr>
              <w:t>At STCA level:</w:t>
            </w:r>
          </w:p>
          <w:p w14:paraId="7B6E0D0E" w14:textId="2417EB56" w:rsidR="00192B69" w:rsidRPr="00B61E21" w:rsidRDefault="00761DE8" w:rsidP="00192B69">
            <w:pPr>
              <w:pStyle w:val="Bullet3"/>
            </w:pPr>
            <w:r>
              <w:t>T</w:t>
            </w:r>
            <w:r w:rsidR="00192B69" w:rsidRPr="00B61E21">
              <w:t>he IAA website was seen as important precursor to STCA contact and provided clients with information in a more user-friendly format than had previously been available</w:t>
            </w:r>
          </w:p>
          <w:p w14:paraId="1E83EBBC" w14:textId="5613E4A6" w:rsidR="00192B69" w:rsidRDefault="00192B69" w:rsidP="00192B69">
            <w:pPr>
              <w:pStyle w:val="Bullet3"/>
              <w:rPr>
                <w:lang w:val="en-AU"/>
              </w:rPr>
            </w:pPr>
            <w:r>
              <w:rPr>
                <w:lang w:val="en-AU"/>
              </w:rPr>
              <w:t>S</w:t>
            </w:r>
            <w:r w:rsidRPr="00192B69">
              <w:rPr>
                <w:lang w:val="en-AU"/>
              </w:rPr>
              <w:t>ome queried the value-add</w:t>
            </w:r>
            <w:r>
              <w:rPr>
                <w:lang w:val="en-AU"/>
              </w:rPr>
              <w:t xml:space="preserve"> of this information because it was also available on the </w:t>
            </w:r>
            <w:r w:rsidRPr="00192B69">
              <w:rPr>
                <w:lang w:val="en-AU"/>
              </w:rPr>
              <w:t xml:space="preserve">AGD </w:t>
            </w:r>
            <w:r w:rsidR="00AC4E7F">
              <w:rPr>
                <w:lang w:val="en-AU"/>
              </w:rPr>
              <w:t>website</w:t>
            </w:r>
          </w:p>
          <w:p w14:paraId="2CACD778" w14:textId="0E7E1C90" w:rsidR="00192B69" w:rsidRPr="00192B69" w:rsidRDefault="00192B69" w:rsidP="00192B69">
            <w:pPr>
              <w:pStyle w:val="Bullet2"/>
              <w:rPr>
                <w:lang w:val="en-AU"/>
              </w:rPr>
            </w:pPr>
            <w:r w:rsidRPr="00B95FE8">
              <w:rPr>
                <w:rStyle w:val="Italic"/>
              </w:rPr>
              <w:t>Academics</w:t>
            </w:r>
            <w:r>
              <w:rPr>
                <w:lang w:val="en-AU"/>
              </w:rPr>
              <w:t xml:space="preserve"> welcomed the provision of a centralised information service</w:t>
            </w:r>
          </w:p>
          <w:p w14:paraId="25E29D9A" w14:textId="1C604B01" w:rsidR="00E405EE" w:rsidRPr="00B43607" w:rsidRDefault="00E405EE" w:rsidP="000D13D0">
            <w:pPr>
              <w:pStyle w:val="Bullet1"/>
              <w:rPr>
                <w:lang w:val="en-AU"/>
              </w:rPr>
            </w:pPr>
            <w:r w:rsidRPr="00E405EE">
              <w:rPr>
                <w:lang w:val="en-AU"/>
              </w:rPr>
              <w:t xml:space="preserve">Any duplication of information provision to service users by IAA and the Commonwealth agencies/STCAs was not seen to be </w:t>
            </w:r>
            <w:r w:rsidR="00192B69" w:rsidRPr="00E405EE">
              <w:rPr>
                <w:lang w:val="en-AU"/>
              </w:rPr>
              <w:t>problematic</w:t>
            </w:r>
            <w:r w:rsidR="00192B69">
              <w:rPr>
                <w:lang w:val="en-AU"/>
              </w:rPr>
              <w:t xml:space="preserve">.  </w:t>
            </w:r>
            <w:r w:rsidR="00B95FE8">
              <w:rPr>
                <w:lang w:val="en-AU"/>
              </w:rPr>
              <w:t xml:space="preserve">Non-parental stakeholders reported that the </w:t>
            </w:r>
            <w:r w:rsidR="000D13D0">
              <w:rPr>
                <w:lang w:val="en-AU"/>
              </w:rPr>
              <w:t>complex</w:t>
            </w:r>
            <w:r w:rsidR="00192B69" w:rsidRPr="00192B69">
              <w:rPr>
                <w:lang w:val="en-AU"/>
              </w:rPr>
              <w:t xml:space="preserve"> nature of ICA processes</w:t>
            </w:r>
            <w:r w:rsidR="00192B69">
              <w:rPr>
                <w:lang w:val="en-AU"/>
              </w:rPr>
              <w:t xml:space="preserve"> meant </w:t>
            </w:r>
            <w:r w:rsidRPr="00E405EE">
              <w:rPr>
                <w:lang w:val="en-AU"/>
              </w:rPr>
              <w:t>service users triangulate and confirm advice/information from multiple sources.</w:t>
            </w:r>
            <w:r w:rsidRPr="00D413DD">
              <w:rPr>
                <w:lang w:val="en-AU"/>
              </w:rPr>
              <w:t xml:space="preserve">  </w:t>
            </w:r>
          </w:p>
        </w:tc>
      </w:tr>
    </w:tbl>
    <w:p w14:paraId="33F988FD" w14:textId="77777777" w:rsidR="00E405EE" w:rsidRPr="00E405EE" w:rsidRDefault="00E405EE" w:rsidP="00E405EE"/>
    <w:p w14:paraId="11DDD809" w14:textId="77777777" w:rsidR="00EA5761" w:rsidRDefault="00EA5761" w:rsidP="00BE045A">
      <w:pPr>
        <w:pStyle w:val="Heading4"/>
      </w:pPr>
      <w:r>
        <w:t>Uptake issues</w:t>
      </w:r>
    </w:p>
    <w:p w14:paraId="03F6CD42" w14:textId="324EACFE" w:rsidR="00F22A70" w:rsidRDefault="00F22A70" w:rsidP="00BE045A">
      <w:pPr>
        <w:pStyle w:val="Paragraph"/>
      </w:pPr>
      <w:r>
        <w:t>A</w:t>
      </w:r>
      <w:bookmarkStart w:id="143" w:name="_Hlk490061840"/>
      <w:r>
        <w:t xml:space="preserve">s outlined earlier, </w:t>
      </w:r>
      <w:r w:rsidR="00F528CF">
        <w:t>only 1</w:t>
      </w:r>
      <w:r w:rsidR="00E36D35">
        <w:t>9.1</w:t>
      </w:r>
      <w:r w:rsidR="00F528CF">
        <w:t>%</w:t>
      </w:r>
      <w:r>
        <w:t xml:space="preserve"> </w:t>
      </w:r>
      <w:r w:rsidR="00B23AA8" w:rsidRPr="00B23AA8">
        <w:t>(</w:t>
      </w:r>
      <w:r w:rsidR="00E36D35">
        <w:t>42</w:t>
      </w:r>
      <w:r w:rsidR="00B23AA8" w:rsidRPr="00B23AA8">
        <w:t>/220)</w:t>
      </w:r>
      <w:r w:rsidR="00B23AA8">
        <w:t xml:space="preserve"> </w:t>
      </w:r>
      <w:r>
        <w:t xml:space="preserve">of </w:t>
      </w:r>
      <w:r w:rsidR="00050B6F">
        <w:t xml:space="preserve">all </w:t>
      </w:r>
      <w:r>
        <w:t>survey respondents</w:t>
      </w:r>
      <w:r w:rsidR="00F528CF">
        <w:t xml:space="preserve"> reported having used </w:t>
      </w:r>
      <w:r>
        <w:t>the 1800 information line (</w:t>
      </w:r>
      <w:r w:rsidRPr="00AC4E7F">
        <w:rPr>
          <w:rStyle w:val="Emphasis"/>
        </w:rPr>
        <w:fldChar w:fldCharType="begin"/>
      </w:r>
      <w:r w:rsidRPr="00AC4E7F">
        <w:rPr>
          <w:rStyle w:val="Emphasis"/>
        </w:rPr>
        <w:instrText xml:space="preserve"> REF _Ref462823346 \h </w:instrText>
      </w:r>
      <w:r w:rsidR="00AC4E7F">
        <w:rPr>
          <w:rStyle w:val="Emphasis"/>
        </w:rPr>
        <w:instrText xml:space="preserve"> \* MERGEFORMAT </w:instrText>
      </w:r>
      <w:r w:rsidRPr="00AC4E7F">
        <w:rPr>
          <w:rStyle w:val="Emphasis"/>
        </w:rPr>
      </w:r>
      <w:r w:rsidRPr="00AC4E7F">
        <w:rPr>
          <w:rStyle w:val="Emphasis"/>
        </w:rPr>
        <w:fldChar w:fldCharType="separate"/>
      </w:r>
      <w:r w:rsidR="00487073" w:rsidRPr="00487073">
        <w:rPr>
          <w:rStyle w:val="Emphasis"/>
        </w:rPr>
        <w:t>Table 5</w:t>
      </w:r>
      <w:r w:rsidR="00487073" w:rsidRPr="00487073">
        <w:rPr>
          <w:rStyle w:val="Emphasis"/>
        </w:rPr>
        <w:noBreakHyphen/>
        <w:t>9</w:t>
      </w:r>
      <w:r w:rsidRPr="00AC4E7F">
        <w:rPr>
          <w:rStyle w:val="Emphasis"/>
        </w:rPr>
        <w:fldChar w:fldCharType="end"/>
      </w:r>
      <w:r>
        <w:t>)</w:t>
      </w:r>
      <w:r w:rsidR="00F528CF">
        <w:t xml:space="preserve">.  While usage of the website was higher, nonetheless more than a third of </w:t>
      </w:r>
      <w:r w:rsidR="00050B6F">
        <w:t xml:space="preserve">all </w:t>
      </w:r>
      <w:r w:rsidR="00F528CF">
        <w:t>respondents (</w:t>
      </w:r>
      <w:r w:rsidR="00F528CF" w:rsidRPr="00F528CF">
        <w:t>36.</w:t>
      </w:r>
      <w:r w:rsidR="00050B6F">
        <w:t>8</w:t>
      </w:r>
      <w:r w:rsidR="00F528CF" w:rsidRPr="00F528CF">
        <w:t>%</w:t>
      </w:r>
      <w:r w:rsidR="00050B6F">
        <w:t>, 81</w:t>
      </w:r>
      <w:r w:rsidR="00F528CF">
        <w:t xml:space="preserve">/220) reported not having </w:t>
      </w:r>
      <w:r>
        <w:t>used the website (</w:t>
      </w:r>
      <w:r w:rsidRPr="009E2BA1">
        <w:fldChar w:fldCharType="begin"/>
      </w:r>
      <w:r w:rsidRPr="009E2BA1">
        <w:instrText xml:space="preserve"> REF _Ref462650678 \h </w:instrText>
      </w:r>
      <w:r w:rsidR="00BE045A" w:rsidRPr="009E2BA1">
        <w:instrText xml:space="preserve"> \* MERGEFORMAT </w:instrText>
      </w:r>
      <w:r w:rsidRPr="009E2BA1">
        <w:fldChar w:fldCharType="separate"/>
      </w:r>
      <w:r w:rsidR="00487073" w:rsidRPr="00487073">
        <w:rPr>
          <w:bCs/>
          <w:i/>
        </w:rPr>
        <w:t>Table 5</w:t>
      </w:r>
      <w:r w:rsidR="00487073" w:rsidRPr="00487073">
        <w:rPr>
          <w:bCs/>
          <w:i/>
        </w:rPr>
        <w:noBreakHyphen/>
        <w:t>11</w:t>
      </w:r>
      <w:r w:rsidRPr="009E2BA1">
        <w:fldChar w:fldCharType="end"/>
      </w:r>
      <w:r>
        <w:t xml:space="preserve">).  In each case, respondents were asked to indicate </w:t>
      </w:r>
      <w:r w:rsidR="00050B6F">
        <w:t>the main reason</w:t>
      </w:r>
      <w:r>
        <w:t xml:space="preserve"> they had not used the service.</w:t>
      </w:r>
    </w:p>
    <w:p w14:paraId="2E2D201D" w14:textId="598DEF47" w:rsidR="00F22A70" w:rsidRDefault="00F22A70" w:rsidP="00BE045A">
      <w:pPr>
        <w:pStyle w:val="Paragraph"/>
        <w:rPr>
          <w:lang w:eastAsia="en-AU"/>
        </w:rPr>
      </w:pPr>
      <w:bookmarkStart w:id="144" w:name="_Hlk489974524"/>
      <w:r>
        <w:rPr>
          <w:lang w:eastAsia="en-AU"/>
        </w:rPr>
        <w:t xml:space="preserve">The two main reasons cited </w:t>
      </w:r>
      <w:r w:rsidR="00FF0F38">
        <w:rPr>
          <w:lang w:eastAsia="en-AU"/>
        </w:rPr>
        <w:t xml:space="preserve">by non-users </w:t>
      </w:r>
      <w:r>
        <w:rPr>
          <w:lang w:eastAsia="en-AU"/>
        </w:rPr>
        <w:t xml:space="preserve">for </w:t>
      </w:r>
      <w:r w:rsidRPr="008A5308">
        <w:rPr>
          <w:lang w:eastAsia="en-AU"/>
        </w:rPr>
        <w:t xml:space="preserve">not </w:t>
      </w:r>
      <w:r>
        <w:rPr>
          <w:lang w:eastAsia="en-AU"/>
        </w:rPr>
        <w:t xml:space="preserve">having </w:t>
      </w:r>
      <w:r w:rsidRPr="008A5308">
        <w:rPr>
          <w:lang w:eastAsia="en-AU"/>
        </w:rPr>
        <w:t xml:space="preserve">used the IAA 1800 information line </w:t>
      </w:r>
      <w:r>
        <w:rPr>
          <w:lang w:eastAsia="en-AU"/>
        </w:rPr>
        <w:t>were that respondents did not know about the service (</w:t>
      </w:r>
      <w:r w:rsidR="00050B6F">
        <w:rPr>
          <w:lang w:eastAsia="en-AU"/>
        </w:rPr>
        <w:t>63/166, 38.0</w:t>
      </w:r>
      <w:r>
        <w:rPr>
          <w:lang w:eastAsia="en-AU"/>
        </w:rPr>
        <w:t>%) or that they had contacted their STCA directly (</w:t>
      </w:r>
      <w:r w:rsidR="00050B6F">
        <w:rPr>
          <w:lang w:eastAsia="en-AU"/>
        </w:rPr>
        <w:t>47/166, 28.31</w:t>
      </w:r>
      <w:r>
        <w:rPr>
          <w:lang w:eastAsia="en-AU"/>
        </w:rPr>
        <w:t>%)</w:t>
      </w:r>
      <w:bookmarkEnd w:id="144"/>
      <w:r>
        <w:rPr>
          <w:lang w:eastAsia="en-AU"/>
        </w:rPr>
        <w:t xml:space="preserve"> </w:t>
      </w:r>
      <w:r w:rsidRPr="008A5308">
        <w:rPr>
          <w:lang w:eastAsia="en-AU"/>
        </w:rPr>
        <w:t>(</w:t>
      </w:r>
      <w:r w:rsidR="00AC4E7F">
        <w:rPr>
          <w:lang w:eastAsia="en-AU"/>
        </w:rPr>
        <w:fldChar w:fldCharType="begin"/>
      </w:r>
      <w:r w:rsidR="00AC4E7F">
        <w:rPr>
          <w:lang w:eastAsia="en-AU"/>
        </w:rPr>
        <w:instrText xml:space="preserve"> REF _Ref462845560 \h  \* MERGEFORMAT </w:instrText>
      </w:r>
      <w:r w:rsidR="00AC4E7F">
        <w:rPr>
          <w:lang w:eastAsia="en-AU"/>
        </w:rPr>
      </w:r>
      <w:r w:rsidR="00AC4E7F">
        <w:rPr>
          <w:lang w:eastAsia="en-AU"/>
        </w:rPr>
        <w:fldChar w:fldCharType="separate"/>
      </w:r>
      <w:r w:rsidR="00487073" w:rsidRPr="00487073">
        <w:rPr>
          <w:rStyle w:val="Emphasis"/>
        </w:rPr>
        <w:t>Table</w:t>
      </w:r>
      <w:r w:rsidR="00487073">
        <w:t xml:space="preserve"> </w:t>
      </w:r>
      <w:r w:rsidR="00487073" w:rsidRPr="00487073">
        <w:rPr>
          <w:rStyle w:val="Emphasis"/>
        </w:rPr>
        <w:t>6</w:t>
      </w:r>
      <w:r w:rsidR="00487073" w:rsidRPr="00487073">
        <w:rPr>
          <w:rStyle w:val="Emphasis"/>
        </w:rPr>
        <w:noBreakHyphen/>
        <w:t>1</w:t>
      </w:r>
      <w:r w:rsidR="00AC4E7F">
        <w:rPr>
          <w:lang w:eastAsia="en-AU"/>
        </w:rPr>
        <w:fldChar w:fldCharType="end"/>
      </w:r>
      <w:r w:rsidRPr="008A5308">
        <w:rPr>
          <w:lang w:eastAsia="en-AU"/>
        </w:rPr>
        <w:t>).</w:t>
      </w:r>
      <w:r>
        <w:rPr>
          <w:lang w:eastAsia="en-AU"/>
        </w:rPr>
        <w:t xml:space="preserve"> </w:t>
      </w:r>
    </w:p>
    <w:p w14:paraId="1435C8C9" w14:textId="1CA3B98F" w:rsidR="00F22A70" w:rsidRDefault="00F22A70" w:rsidP="00F22A70">
      <w:pPr>
        <w:pStyle w:val="Caption"/>
      </w:pPr>
      <w:bookmarkStart w:id="145" w:name="_Ref462845560"/>
      <w:bookmarkStart w:id="146" w:name="_Toc490481666"/>
      <w:bookmarkStart w:id="147" w:name="_Hlk489623383"/>
      <w:bookmarkEnd w:id="143"/>
      <w:r>
        <w:t xml:space="preserve">Table </w:t>
      </w:r>
      <w:r w:rsidR="00644B63">
        <w:fldChar w:fldCharType="begin"/>
      </w:r>
      <w:r w:rsidR="00644B63">
        <w:instrText xml:space="preserve"> STYLEREF 1 \s </w:instrText>
      </w:r>
      <w:r w:rsidR="00644B63">
        <w:fldChar w:fldCharType="separate"/>
      </w:r>
      <w:r w:rsidR="00487073">
        <w:rPr>
          <w:noProof/>
        </w:rPr>
        <w:t>6</w:t>
      </w:r>
      <w:r w:rsidR="00644B63">
        <w:fldChar w:fldCharType="end"/>
      </w:r>
      <w:r w:rsidR="00644B63">
        <w:noBreakHyphen/>
      </w:r>
      <w:r w:rsidR="00644B63">
        <w:fldChar w:fldCharType="begin"/>
      </w:r>
      <w:r w:rsidR="00644B63">
        <w:instrText xml:space="preserve"> SEQ Table \* ARABIC \s 1 </w:instrText>
      </w:r>
      <w:r w:rsidR="00644B63">
        <w:fldChar w:fldCharType="separate"/>
      </w:r>
      <w:r w:rsidR="00487073">
        <w:rPr>
          <w:noProof/>
        </w:rPr>
        <w:t>1</w:t>
      </w:r>
      <w:r w:rsidR="00644B63">
        <w:fldChar w:fldCharType="end"/>
      </w:r>
      <w:bookmarkEnd w:id="145"/>
      <w:r w:rsidR="00E07D8E">
        <w:t>:</w:t>
      </w:r>
      <w:r w:rsidR="00E07D8E">
        <w:tab/>
      </w:r>
      <w:r>
        <w:t>Reason why respondent did not use 1800 information line</w:t>
      </w:r>
      <w:bookmarkEnd w:id="146"/>
    </w:p>
    <w:tbl>
      <w:tblPr>
        <w:tblStyle w:val="TableGrid"/>
        <w:tblW w:w="9356" w:type="dxa"/>
        <w:tblInd w:w="115"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Description w:val="Table 6 1: Reason why respondent did not use 1800 information line"/>
      </w:tblPr>
      <w:tblGrid>
        <w:gridCol w:w="1560"/>
        <w:gridCol w:w="567"/>
        <w:gridCol w:w="992"/>
        <w:gridCol w:w="567"/>
        <w:gridCol w:w="899"/>
        <w:gridCol w:w="567"/>
        <w:gridCol w:w="944"/>
        <w:gridCol w:w="567"/>
        <w:gridCol w:w="992"/>
        <w:gridCol w:w="567"/>
        <w:gridCol w:w="1134"/>
      </w:tblGrid>
      <w:tr w:rsidR="00012EA6" w:rsidRPr="00400687" w14:paraId="24CED021" w14:textId="77777777" w:rsidTr="008E7495">
        <w:trPr>
          <w:tblHeader/>
        </w:trPr>
        <w:tc>
          <w:tcPr>
            <w:tcW w:w="1560" w:type="dxa"/>
            <w:vMerge w:val="restart"/>
            <w:shd w:val="clear" w:color="auto" w:fill="0079C1" w:themeFill="text2"/>
            <w:vAlign w:val="center"/>
          </w:tcPr>
          <w:p w14:paraId="6E648F19" w14:textId="77777777" w:rsidR="00F22A70" w:rsidRPr="00400687" w:rsidRDefault="00F22A70" w:rsidP="00BE045A">
            <w:pPr>
              <w:pStyle w:val="TableHeading1"/>
              <w:rPr>
                <w:sz w:val="20"/>
              </w:rPr>
            </w:pPr>
            <w:r w:rsidRPr="00400687">
              <w:rPr>
                <w:sz w:val="20"/>
              </w:rPr>
              <w:t>Reason for not using 1800 information line</w:t>
            </w:r>
          </w:p>
        </w:tc>
        <w:tc>
          <w:tcPr>
            <w:tcW w:w="3025" w:type="dxa"/>
            <w:gridSpan w:val="4"/>
            <w:shd w:val="clear" w:color="auto" w:fill="0079C1" w:themeFill="text2"/>
          </w:tcPr>
          <w:p w14:paraId="22D2A83F" w14:textId="77777777" w:rsidR="00F22A70" w:rsidRPr="00400687" w:rsidRDefault="00F22A70" w:rsidP="00BE045A">
            <w:pPr>
              <w:pStyle w:val="TableHeading1Centred"/>
              <w:rPr>
                <w:sz w:val="20"/>
              </w:rPr>
            </w:pPr>
            <w:r w:rsidRPr="00400687">
              <w:rPr>
                <w:sz w:val="20"/>
              </w:rPr>
              <w:t>Wanting to adopt</w:t>
            </w:r>
          </w:p>
        </w:tc>
        <w:tc>
          <w:tcPr>
            <w:tcW w:w="1511" w:type="dxa"/>
            <w:gridSpan w:val="2"/>
            <w:vMerge w:val="restart"/>
            <w:shd w:val="clear" w:color="auto" w:fill="0079C1" w:themeFill="text2"/>
            <w:vAlign w:val="center"/>
          </w:tcPr>
          <w:p w14:paraId="068D3D9A" w14:textId="77777777" w:rsidR="00F22A70" w:rsidRPr="00400687" w:rsidRDefault="00F22A70" w:rsidP="00BE045A">
            <w:pPr>
              <w:pStyle w:val="TableHeading1Centred"/>
              <w:rPr>
                <w:sz w:val="20"/>
              </w:rPr>
            </w:pPr>
            <w:r w:rsidRPr="00400687">
              <w:rPr>
                <w:sz w:val="20"/>
              </w:rPr>
              <w:t>Post adoption</w:t>
            </w:r>
          </w:p>
        </w:tc>
        <w:tc>
          <w:tcPr>
            <w:tcW w:w="1559" w:type="dxa"/>
            <w:gridSpan w:val="2"/>
            <w:vMerge w:val="restart"/>
            <w:shd w:val="clear" w:color="auto" w:fill="0079C1" w:themeFill="text2"/>
            <w:vAlign w:val="center"/>
          </w:tcPr>
          <w:p w14:paraId="7380DFB6" w14:textId="77777777" w:rsidR="00F22A70" w:rsidRPr="00400687" w:rsidRDefault="00F22A70" w:rsidP="00BE045A">
            <w:pPr>
              <w:pStyle w:val="TableHeading1Centred"/>
              <w:rPr>
                <w:sz w:val="20"/>
              </w:rPr>
            </w:pPr>
            <w:r w:rsidRPr="00400687">
              <w:rPr>
                <w:sz w:val="20"/>
              </w:rPr>
              <w:t>Did not continue</w:t>
            </w:r>
          </w:p>
        </w:tc>
        <w:tc>
          <w:tcPr>
            <w:tcW w:w="1701" w:type="dxa"/>
            <w:gridSpan w:val="2"/>
            <w:vMerge w:val="restart"/>
            <w:shd w:val="clear" w:color="auto" w:fill="0079C1" w:themeFill="text2"/>
            <w:vAlign w:val="center"/>
          </w:tcPr>
          <w:p w14:paraId="32132DBF" w14:textId="77777777" w:rsidR="00F22A70" w:rsidRPr="00400687" w:rsidRDefault="00F22A70" w:rsidP="00BE045A">
            <w:pPr>
              <w:pStyle w:val="TableHeading1Centred"/>
              <w:rPr>
                <w:sz w:val="20"/>
              </w:rPr>
            </w:pPr>
            <w:r w:rsidRPr="00400687">
              <w:rPr>
                <w:sz w:val="20"/>
              </w:rPr>
              <w:t>Total</w:t>
            </w:r>
          </w:p>
        </w:tc>
      </w:tr>
      <w:tr w:rsidR="00F67BCB" w:rsidRPr="00400687" w14:paraId="63106851" w14:textId="77777777" w:rsidTr="008E7495">
        <w:trPr>
          <w:tblHeader/>
        </w:trPr>
        <w:tc>
          <w:tcPr>
            <w:tcW w:w="1560" w:type="dxa"/>
            <w:vMerge/>
            <w:shd w:val="clear" w:color="auto" w:fill="0079C1" w:themeFill="text2"/>
          </w:tcPr>
          <w:p w14:paraId="2D13505D" w14:textId="77777777" w:rsidR="00F22A70" w:rsidRPr="00400687" w:rsidRDefault="00F22A70" w:rsidP="00BE045A">
            <w:pPr>
              <w:pStyle w:val="TableHeading1Centred"/>
              <w:rPr>
                <w:sz w:val="20"/>
              </w:rPr>
            </w:pPr>
          </w:p>
        </w:tc>
        <w:tc>
          <w:tcPr>
            <w:tcW w:w="1559" w:type="dxa"/>
            <w:gridSpan w:val="2"/>
            <w:shd w:val="clear" w:color="auto" w:fill="0079C1" w:themeFill="text2"/>
          </w:tcPr>
          <w:p w14:paraId="58FED979" w14:textId="77777777" w:rsidR="00F22A70" w:rsidRPr="00400687" w:rsidRDefault="00F22A70" w:rsidP="00BE045A">
            <w:pPr>
              <w:pStyle w:val="TableHeading1Centred"/>
              <w:rPr>
                <w:sz w:val="20"/>
              </w:rPr>
            </w:pPr>
            <w:r w:rsidRPr="00400687">
              <w:rPr>
                <w:sz w:val="20"/>
              </w:rPr>
              <w:t>First time</w:t>
            </w:r>
          </w:p>
        </w:tc>
        <w:tc>
          <w:tcPr>
            <w:tcW w:w="1466" w:type="dxa"/>
            <w:gridSpan w:val="2"/>
            <w:shd w:val="clear" w:color="auto" w:fill="0079C1" w:themeFill="text2"/>
          </w:tcPr>
          <w:p w14:paraId="43E9E10E" w14:textId="77777777" w:rsidR="00F22A70" w:rsidRPr="00400687" w:rsidRDefault="00F22A70" w:rsidP="00BE045A">
            <w:pPr>
              <w:pStyle w:val="TableHeading1Centred"/>
              <w:rPr>
                <w:sz w:val="20"/>
              </w:rPr>
            </w:pPr>
            <w:r w:rsidRPr="00400687">
              <w:rPr>
                <w:sz w:val="20"/>
              </w:rPr>
              <w:t>Repeat</w:t>
            </w:r>
          </w:p>
        </w:tc>
        <w:tc>
          <w:tcPr>
            <w:tcW w:w="1511" w:type="dxa"/>
            <w:gridSpan w:val="2"/>
            <w:vMerge/>
            <w:shd w:val="clear" w:color="auto" w:fill="0079C1" w:themeFill="text2"/>
          </w:tcPr>
          <w:p w14:paraId="7E6BB7B7" w14:textId="77777777" w:rsidR="00F22A70" w:rsidRPr="00400687" w:rsidRDefault="00F22A70" w:rsidP="00BE045A">
            <w:pPr>
              <w:pStyle w:val="TableHeading1Centred"/>
              <w:rPr>
                <w:sz w:val="20"/>
              </w:rPr>
            </w:pPr>
          </w:p>
        </w:tc>
        <w:tc>
          <w:tcPr>
            <w:tcW w:w="1559" w:type="dxa"/>
            <w:gridSpan w:val="2"/>
            <w:vMerge/>
            <w:shd w:val="clear" w:color="auto" w:fill="0079C1" w:themeFill="text2"/>
          </w:tcPr>
          <w:p w14:paraId="0573DB53" w14:textId="77777777" w:rsidR="00F22A70" w:rsidRPr="00400687" w:rsidRDefault="00F22A70" w:rsidP="00BE045A">
            <w:pPr>
              <w:pStyle w:val="TableHeading1Centred"/>
              <w:rPr>
                <w:sz w:val="20"/>
              </w:rPr>
            </w:pPr>
          </w:p>
        </w:tc>
        <w:tc>
          <w:tcPr>
            <w:tcW w:w="1701" w:type="dxa"/>
            <w:gridSpan w:val="2"/>
            <w:vMerge/>
            <w:shd w:val="clear" w:color="auto" w:fill="0079C1" w:themeFill="text2"/>
          </w:tcPr>
          <w:p w14:paraId="48B1AB96" w14:textId="77777777" w:rsidR="00F22A70" w:rsidRPr="00400687" w:rsidRDefault="00F22A70" w:rsidP="00BE045A">
            <w:pPr>
              <w:pStyle w:val="TableHeading1Centred"/>
              <w:rPr>
                <w:sz w:val="20"/>
              </w:rPr>
            </w:pPr>
          </w:p>
        </w:tc>
      </w:tr>
      <w:tr w:rsidR="00F67BCB" w:rsidRPr="00400687" w14:paraId="4BEC946F" w14:textId="77777777" w:rsidTr="008E7495">
        <w:trPr>
          <w:tblHeader/>
        </w:trPr>
        <w:tc>
          <w:tcPr>
            <w:tcW w:w="1560" w:type="dxa"/>
            <w:vMerge/>
          </w:tcPr>
          <w:p w14:paraId="077EC891" w14:textId="77777777" w:rsidR="00F22A70" w:rsidRPr="00400687" w:rsidRDefault="00F22A70" w:rsidP="00BE045A">
            <w:pPr>
              <w:pStyle w:val="TableHeading1Centred"/>
              <w:rPr>
                <w:sz w:val="20"/>
              </w:rPr>
            </w:pPr>
          </w:p>
        </w:tc>
        <w:tc>
          <w:tcPr>
            <w:tcW w:w="567" w:type="dxa"/>
            <w:shd w:val="clear" w:color="auto" w:fill="0079C1" w:themeFill="text2"/>
          </w:tcPr>
          <w:p w14:paraId="25E10DB0" w14:textId="77777777" w:rsidR="00F22A70" w:rsidRPr="00400687" w:rsidRDefault="00F22A70" w:rsidP="00BE045A">
            <w:pPr>
              <w:pStyle w:val="TableHeading1Centred"/>
              <w:rPr>
                <w:sz w:val="20"/>
              </w:rPr>
            </w:pPr>
            <w:r w:rsidRPr="00400687">
              <w:rPr>
                <w:sz w:val="20"/>
              </w:rPr>
              <w:t>n</w:t>
            </w:r>
          </w:p>
        </w:tc>
        <w:tc>
          <w:tcPr>
            <w:tcW w:w="992" w:type="dxa"/>
            <w:shd w:val="clear" w:color="auto" w:fill="0079C1" w:themeFill="text2"/>
          </w:tcPr>
          <w:p w14:paraId="45D6D674" w14:textId="77777777" w:rsidR="00F22A70" w:rsidRPr="00400687" w:rsidRDefault="00F22A70" w:rsidP="00BE045A">
            <w:pPr>
              <w:pStyle w:val="TableHeading1Centred"/>
              <w:rPr>
                <w:sz w:val="20"/>
              </w:rPr>
            </w:pPr>
            <w:r w:rsidRPr="00400687">
              <w:rPr>
                <w:sz w:val="20"/>
              </w:rPr>
              <w:t>%</w:t>
            </w:r>
          </w:p>
        </w:tc>
        <w:tc>
          <w:tcPr>
            <w:tcW w:w="567" w:type="dxa"/>
            <w:shd w:val="clear" w:color="auto" w:fill="0079C1" w:themeFill="text2"/>
          </w:tcPr>
          <w:p w14:paraId="5DEDFED9" w14:textId="77777777" w:rsidR="00F22A70" w:rsidRPr="00400687" w:rsidRDefault="00F22A70" w:rsidP="00BE045A">
            <w:pPr>
              <w:pStyle w:val="TableHeading1Centred"/>
              <w:rPr>
                <w:sz w:val="20"/>
              </w:rPr>
            </w:pPr>
            <w:r w:rsidRPr="00400687">
              <w:rPr>
                <w:sz w:val="20"/>
              </w:rPr>
              <w:t>n</w:t>
            </w:r>
          </w:p>
        </w:tc>
        <w:tc>
          <w:tcPr>
            <w:tcW w:w="899" w:type="dxa"/>
            <w:shd w:val="clear" w:color="auto" w:fill="0079C1" w:themeFill="text2"/>
          </w:tcPr>
          <w:p w14:paraId="0E56BB74" w14:textId="77777777" w:rsidR="00F22A70" w:rsidRPr="00400687" w:rsidRDefault="00F22A70" w:rsidP="00BE045A">
            <w:pPr>
              <w:pStyle w:val="TableHeading1Centred"/>
              <w:rPr>
                <w:sz w:val="20"/>
              </w:rPr>
            </w:pPr>
            <w:r w:rsidRPr="00400687">
              <w:rPr>
                <w:sz w:val="20"/>
              </w:rPr>
              <w:t>%</w:t>
            </w:r>
          </w:p>
        </w:tc>
        <w:tc>
          <w:tcPr>
            <w:tcW w:w="567" w:type="dxa"/>
            <w:shd w:val="clear" w:color="auto" w:fill="0079C1" w:themeFill="text2"/>
          </w:tcPr>
          <w:p w14:paraId="306204D8" w14:textId="77777777" w:rsidR="00F22A70" w:rsidRPr="00400687" w:rsidRDefault="00F22A70" w:rsidP="00BE045A">
            <w:pPr>
              <w:pStyle w:val="TableHeading1Centred"/>
              <w:rPr>
                <w:sz w:val="20"/>
              </w:rPr>
            </w:pPr>
            <w:r w:rsidRPr="00400687">
              <w:rPr>
                <w:sz w:val="20"/>
              </w:rPr>
              <w:t>n</w:t>
            </w:r>
          </w:p>
        </w:tc>
        <w:tc>
          <w:tcPr>
            <w:tcW w:w="944" w:type="dxa"/>
            <w:shd w:val="clear" w:color="auto" w:fill="0079C1" w:themeFill="text2"/>
          </w:tcPr>
          <w:p w14:paraId="3B6092AF" w14:textId="77777777" w:rsidR="00F22A70" w:rsidRPr="00400687" w:rsidRDefault="00F22A70" w:rsidP="00BE045A">
            <w:pPr>
              <w:pStyle w:val="TableHeading1Centred"/>
              <w:rPr>
                <w:sz w:val="20"/>
              </w:rPr>
            </w:pPr>
            <w:r w:rsidRPr="00400687">
              <w:rPr>
                <w:sz w:val="20"/>
              </w:rPr>
              <w:t>%</w:t>
            </w:r>
          </w:p>
        </w:tc>
        <w:tc>
          <w:tcPr>
            <w:tcW w:w="567" w:type="dxa"/>
            <w:shd w:val="clear" w:color="auto" w:fill="0079C1" w:themeFill="text2"/>
          </w:tcPr>
          <w:p w14:paraId="02E8109B" w14:textId="77777777" w:rsidR="00F22A70" w:rsidRPr="00400687" w:rsidRDefault="00F22A70" w:rsidP="00BE045A">
            <w:pPr>
              <w:pStyle w:val="TableHeading1Centred"/>
              <w:rPr>
                <w:sz w:val="20"/>
              </w:rPr>
            </w:pPr>
            <w:r w:rsidRPr="00400687">
              <w:rPr>
                <w:sz w:val="20"/>
              </w:rPr>
              <w:t>n</w:t>
            </w:r>
          </w:p>
        </w:tc>
        <w:tc>
          <w:tcPr>
            <w:tcW w:w="992" w:type="dxa"/>
            <w:shd w:val="clear" w:color="auto" w:fill="0079C1" w:themeFill="text2"/>
          </w:tcPr>
          <w:p w14:paraId="1BD1B34C" w14:textId="77777777" w:rsidR="00F22A70" w:rsidRPr="00400687" w:rsidRDefault="00F22A70" w:rsidP="00BE045A">
            <w:pPr>
              <w:pStyle w:val="TableHeading1Centred"/>
              <w:rPr>
                <w:sz w:val="20"/>
              </w:rPr>
            </w:pPr>
            <w:r w:rsidRPr="00400687">
              <w:rPr>
                <w:sz w:val="20"/>
              </w:rPr>
              <w:t>%</w:t>
            </w:r>
          </w:p>
        </w:tc>
        <w:tc>
          <w:tcPr>
            <w:tcW w:w="567" w:type="dxa"/>
            <w:shd w:val="clear" w:color="auto" w:fill="0079C1" w:themeFill="text2"/>
          </w:tcPr>
          <w:p w14:paraId="56D82BCC" w14:textId="77777777" w:rsidR="00F22A70" w:rsidRPr="00400687" w:rsidRDefault="00F22A70" w:rsidP="00BE045A">
            <w:pPr>
              <w:pStyle w:val="TableHeading1Centred"/>
              <w:rPr>
                <w:sz w:val="20"/>
              </w:rPr>
            </w:pPr>
            <w:r w:rsidRPr="00400687">
              <w:rPr>
                <w:sz w:val="20"/>
              </w:rPr>
              <w:t>n</w:t>
            </w:r>
          </w:p>
        </w:tc>
        <w:tc>
          <w:tcPr>
            <w:tcW w:w="1134" w:type="dxa"/>
            <w:shd w:val="clear" w:color="auto" w:fill="0079C1" w:themeFill="text2"/>
          </w:tcPr>
          <w:p w14:paraId="3E152300" w14:textId="77777777" w:rsidR="00F22A70" w:rsidRPr="00400687" w:rsidRDefault="00F22A70" w:rsidP="00BE045A">
            <w:pPr>
              <w:pStyle w:val="TableHeading1Centred"/>
              <w:rPr>
                <w:sz w:val="20"/>
              </w:rPr>
            </w:pPr>
            <w:r w:rsidRPr="00400687">
              <w:rPr>
                <w:sz w:val="20"/>
              </w:rPr>
              <w:t>%</w:t>
            </w:r>
          </w:p>
        </w:tc>
      </w:tr>
      <w:tr w:rsidR="008615BB" w:rsidRPr="00400687" w14:paraId="371DB34E" w14:textId="77777777" w:rsidTr="00400687">
        <w:tc>
          <w:tcPr>
            <w:tcW w:w="1560" w:type="dxa"/>
            <w:tcBorders>
              <w:right w:val="single" w:sz="4" w:space="0" w:color="0079C1"/>
            </w:tcBorders>
            <w:shd w:val="clear" w:color="auto" w:fill="auto"/>
          </w:tcPr>
          <w:p w14:paraId="4E075392" w14:textId="7526011D" w:rsidR="008615BB" w:rsidRPr="00400687" w:rsidRDefault="008615BB" w:rsidP="008615BB">
            <w:pPr>
              <w:pStyle w:val="TableText"/>
              <w:rPr>
                <w:sz w:val="20"/>
                <w:szCs w:val="20"/>
              </w:rPr>
            </w:pPr>
            <w:r w:rsidRPr="00400687">
              <w:rPr>
                <w:sz w:val="20"/>
                <w:szCs w:val="20"/>
              </w:rPr>
              <w:t>I contacted my STCA directly</w:t>
            </w:r>
          </w:p>
        </w:tc>
        <w:tc>
          <w:tcPr>
            <w:tcW w:w="567" w:type="dxa"/>
            <w:tcBorders>
              <w:left w:val="single" w:sz="4" w:space="0" w:color="0079C1"/>
            </w:tcBorders>
            <w:shd w:val="clear" w:color="auto" w:fill="auto"/>
            <w:vAlign w:val="center"/>
          </w:tcPr>
          <w:p w14:paraId="0A1DDB70" w14:textId="6F319053" w:rsidR="008615BB" w:rsidRPr="00400687" w:rsidRDefault="008615BB" w:rsidP="008615BB">
            <w:pPr>
              <w:pStyle w:val="TableTextCentred"/>
              <w:rPr>
                <w:sz w:val="20"/>
                <w:szCs w:val="20"/>
              </w:rPr>
            </w:pPr>
            <w:r w:rsidRPr="00400687">
              <w:rPr>
                <w:sz w:val="20"/>
                <w:szCs w:val="20"/>
              </w:rPr>
              <w:t>23</w:t>
            </w:r>
          </w:p>
        </w:tc>
        <w:tc>
          <w:tcPr>
            <w:tcW w:w="992" w:type="dxa"/>
            <w:tcBorders>
              <w:right w:val="single" w:sz="4" w:space="0" w:color="0079C1"/>
            </w:tcBorders>
            <w:shd w:val="clear" w:color="auto" w:fill="auto"/>
            <w:vAlign w:val="center"/>
          </w:tcPr>
          <w:p w14:paraId="36781188" w14:textId="0DCDC4D8" w:rsidR="008615BB" w:rsidRPr="00400687" w:rsidRDefault="008615BB" w:rsidP="008615BB">
            <w:pPr>
              <w:pStyle w:val="TableTextCentred"/>
              <w:rPr>
                <w:sz w:val="20"/>
                <w:szCs w:val="20"/>
              </w:rPr>
            </w:pPr>
            <w:r w:rsidRPr="00400687">
              <w:rPr>
                <w:sz w:val="20"/>
                <w:szCs w:val="20"/>
              </w:rPr>
              <w:t>21.3%</w:t>
            </w:r>
          </w:p>
        </w:tc>
        <w:tc>
          <w:tcPr>
            <w:tcW w:w="567" w:type="dxa"/>
            <w:tcBorders>
              <w:left w:val="single" w:sz="4" w:space="0" w:color="0079C1"/>
            </w:tcBorders>
            <w:shd w:val="clear" w:color="auto" w:fill="auto"/>
            <w:vAlign w:val="center"/>
          </w:tcPr>
          <w:p w14:paraId="374570F0" w14:textId="2A2AA620" w:rsidR="008615BB" w:rsidRPr="00400687" w:rsidRDefault="008615BB" w:rsidP="008615BB">
            <w:pPr>
              <w:pStyle w:val="TableTextCentred"/>
              <w:rPr>
                <w:sz w:val="20"/>
                <w:szCs w:val="20"/>
              </w:rPr>
            </w:pPr>
            <w:r w:rsidRPr="00400687">
              <w:rPr>
                <w:sz w:val="20"/>
                <w:szCs w:val="20"/>
              </w:rPr>
              <w:t>7</w:t>
            </w:r>
          </w:p>
        </w:tc>
        <w:tc>
          <w:tcPr>
            <w:tcW w:w="899" w:type="dxa"/>
            <w:tcBorders>
              <w:right w:val="single" w:sz="4" w:space="0" w:color="0079C1"/>
            </w:tcBorders>
            <w:shd w:val="clear" w:color="auto" w:fill="auto"/>
            <w:vAlign w:val="center"/>
          </w:tcPr>
          <w:p w14:paraId="7E0A7B8E" w14:textId="01354C3A" w:rsidR="008615BB" w:rsidRPr="00400687" w:rsidRDefault="008615BB" w:rsidP="008615BB">
            <w:pPr>
              <w:pStyle w:val="TableTextCentred"/>
              <w:rPr>
                <w:sz w:val="20"/>
                <w:szCs w:val="20"/>
              </w:rPr>
            </w:pPr>
            <w:r w:rsidRPr="00400687">
              <w:rPr>
                <w:sz w:val="20"/>
                <w:szCs w:val="20"/>
              </w:rPr>
              <w:t>36.8%</w:t>
            </w:r>
          </w:p>
        </w:tc>
        <w:tc>
          <w:tcPr>
            <w:tcW w:w="567" w:type="dxa"/>
            <w:tcBorders>
              <w:left w:val="single" w:sz="4" w:space="0" w:color="0079C1"/>
            </w:tcBorders>
            <w:shd w:val="clear" w:color="auto" w:fill="auto"/>
            <w:vAlign w:val="center"/>
          </w:tcPr>
          <w:p w14:paraId="7332E4A7" w14:textId="1C5B0790" w:rsidR="008615BB" w:rsidRPr="00400687" w:rsidRDefault="008615BB" w:rsidP="008615BB">
            <w:pPr>
              <w:pStyle w:val="TableTextCentred"/>
              <w:rPr>
                <w:sz w:val="20"/>
                <w:szCs w:val="20"/>
              </w:rPr>
            </w:pPr>
            <w:r w:rsidRPr="00400687">
              <w:rPr>
                <w:sz w:val="20"/>
                <w:szCs w:val="20"/>
              </w:rPr>
              <w:t>13</w:t>
            </w:r>
          </w:p>
        </w:tc>
        <w:tc>
          <w:tcPr>
            <w:tcW w:w="944" w:type="dxa"/>
            <w:tcBorders>
              <w:right w:val="single" w:sz="4" w:space="0" w:color="0079C1"/>
            </w:tcBorders>
            <w:shd w:val="clear" w:color="auto" w:fill="auto"/>
            <w:vAlign w:val="center"/>
          </w:tcPr>
          <w:p w14:paraId="027AD46E" w14:textId="4210AFE9" w:rsidR="008615BB" w:rsidRPr="00400687" w:rsidRDefault="008615BB" w:rsidP="008615BB">
            <w:pPr>
              <w:pStyle w:val="TableTextCentred"/>
              <w:rPr>
                <w:sz w:val="20"/>
                <w:szCs w:val="20"/>
              </w:rPr>
            </w:pPr>
            <w:r w:rsidRPr="00400687">
              <w:rPr>
                <w:sz w:val="20"/>
                <w:szCs w:val="20"/>
              </w:rPr>
              <w:t>17.8%</w:t>
            </w:r>
          </w:p>
        </w:tc>
        <w:tc>
          <w:tcPr>
            <w:tcW w:w="567" w:type="dxa"/>
            <w:tcBorders>
              <w:left w:val="single" w:sz="4" w:space="0" w:color="0079C1"/>
            </w:tcBorders>
            <w:shd w:val="clear" w:color="auto" w:fill="auto"/>
            <w:vAlign w:val="center"/>
          </w:tcPr>
          <w:p w14:paraId="3D3439E2" w14:textId="54DAF656" w:rsidR="008615BB" w:rsidRPr="00400687" w:rsidRDefault="008615BB" w:rsidP="008615BB">
            <w:pPr>
              <w:pStyle w:val="TableTextCentred"/>
              <w:rPr>
                <w:sz w:val="20"/>
                <w:szCs w:val="20"/>
              </w:rPr>
            </w:pPr>
            <w:r w:rsidRPr="00400687">
              <w:rPr>
                <w:sz w:val="20"/>
                <w:szCs w:val="20"/>
              </w:rPr>
              <w:t>4</w:t>
            </w:r>
          </w:p>
        </w:tc>
        <w:tc>
          <w:tcPr>
            <w:tcW w:w="992" w:type="dxa"/>
            <w:shd w:val="clear" w:color="auto" w:fill="auto"/>
            <w:vAlign w:val="center"/>
          </w:tcPr>
          <w:p w14:paraId="179D563E" w14:textId="1A1462DE" w:rsidR="008615BB" w:rsidRPr="00400687" w:rsidRDefault="008615BB" w:rsidP="008615BB">
            <w:pPr>
              <w:pStyle w:val="TableTextCentred"/>
              <w:rPr>
                <w:sz w:val="20"/>
                <w:szCs w:val="20"/>
              </w:rPr>
            </w:pPr>
            <w:r w:rsidRPr="00400687">
              <w:rPr>
                <w:sz w:val="20"/>
                <w:szCs w:val="20"/>
              </w:rPr>
              <w:t>20.0%</w:t>
            </w:r>
          </w:p>
        </w:tc>
        <w:tc>
          <w:tcPr>
            <w:tcW w:w="567" w:type="dxa"/>
            <w:shd w:val="clear" w:color="auto" w:fill="auto"/>
            <w:vAlign w:val="center"/>
          </w:tcPr>
          <w:p w14:paraId="0A02496A" w14:textId="75200291" w:rsidR="008615BB" w:rsidRPr="00400687" w:rsidRDefault="008615BB" w:rsidP="008615BB">
            <w:pPr>
              <w:pStyle w:val="TableTextCentred"/>
              <w:rPr>
                <w:rStyle w:val="Strong"/>
                <w:rFonts w:asciiTheme="minorHAnsi" w:hAnsiTheme="minorHAnsi"/>
                <w:b w:val="0"/>
                <w:sz w:val="20"/>
                <w:szCs w:val="20"/>
              </w:rPr>
            </w:pPr>
            <w:r w:rsidRPr="00400687">
              <w:rPr>
                <w:b/>
                <w:sz w:val="20"/>
                <w:szCs w:val="20"/>
              </w:rPr>
              <w:t>47</w:t>
            </w:r>
          </w:p>
        </w:tc>
        <w:tc>
          <w:tcPr>
            <w:tcW w:w="1134" w:type="dxa"/>
            <w:shd w:val="clear" w:color="auto" w:fill="auto"/>
            <w:vAlign w:val="center"/>
          </w:tcPr>
          <w:p w14:paraId="14C72687" w14:textId="31070FE3" w:rsidR="008615BB" w:rsidRPr="00400687" w:rsidRDefault="008615BB" w:rsidP="008615BB">
            <w:pPr>
              <w:pStyle w:val="TableTextCentred"/>
              <w:rPr>
                <w:rStyle w:val="Strong"/>
                <w:rFonts w:asciiTheme="minorHAnsi" w:hAnsiTheme="minorHAnsi"/>
                <w:b w:val="0"/>
                <w:sz w:val="20"/>
                <w:szCs w:val="20"/>
              </w:rPr>
            </w:pPr>
            <w:r w:rsidRPr="00400687">
              <w:rPr>
                <w:b/>
                <w:sz w:val="20"/>
                <w:szCs w:val="20"/>
              </w:rPr>
              <w:t>21.4%</w:t>
            </w:r>
          </w:p>
        </w:tc>
      </w:tr>
      <w:tr w:rsidR="008615BB" w:rsidRPr="00400687" w14:paraId="4EC636E9" w14:textId="77777777" w:rsidTr="00400687">
        <w:tc>
          <w:tcPr>
            <w:tcW w:w="1560" w:type="dxa"/>
            <w:tcBorders>
              <w:right w:val="single" w:sz="4" w:space="0" w:color="0079C1"/>
            </w:tcBorders>
            <w:shd w:val="clear" w:color="auto" w:fill="auto"/>
          </w:tcPr>
          <w:p w14:paraId="09747BE6" w14:textId="77777777" w:rsidR="008615BB" w:rsidRPr="00400687" w:rsidRDefault="008615BB" w:rsidP="008615BB">
            <w:pPr>
              <w:pStyle w:val="TableText"/>
              <w:rPr>
                <w:sz w:val="20"/>
                <w:szCs w:val="20"/>
              </w:rPr>
            </w:pPr>
            <w:r w:rsidRPr="00400687">
              <w:rPr>
                <w:sz w:val="20"/>
                <w:szCs w:val="20"/>
              </w:rPr>
              <w:t>The service did not exist when I started/went through the process</w:t>
            </w:r>
          </w:p>
        </w:tc>
        <w:tc>
          <w:tcPr>
            <w:tcW w:w="567" w:type="dxa"/>
            <w:tcBorders>
              <w:left w:val="single" w:sz="4" w:space="0" w:color="0079C1"/>
            </w:tcBorders>
            <w:shd w:val="clear" w:color="auto" w:fill="auto"/>
            <w:vAlign w:val="center"/>
          </w:tcPr>
          <w:p w14:paraId="54C1E1BF" w14:textId="54385FF3" w:rsidR="008615BB" w:rsidRPr="00400687" w:rsidRDefault="008615BB" w:rsidP="008615BB">
            <w:pPr>
              <w:pStyle w:val="TableTextCentred"/>
              <w:rPr>
                <w:sz w:val="20"/>
                <w:szCs w:val="20"/>
              </w:rPr>
            </w:pPr>
            <w:r w:rsidRPr="00400687">
              <w:rPr>
                <w:sz w:val="20"/>
                <w:szCs w:val="20"/>
              </w:rPr>
              <w:t>6</w:t>
            </w:r>
          </w:p>
        </w:tc>
        <w:tc>
          <w:tcPr>
            <w:tcW w:w="992" w:type="dxa"/>
            <w:tcBorders>
              <w:right w:val="single" w:sz="4" w:space="0" w:color="0079C1"/>
            </w:tcBorders>
            <w:shd w:val="clear" w:color="auto" w:fill="auto"/>
            <w:vAlign w:val="center"/>
          </w:tcPr>
          <w:p w14:paraId="2CFE4942" w14:textId="6BD0976E" w:rsidR="008615BB" w:rsidRPr="00400687" w:rsidRDefault="008615BB" w:rsidP="008615BB">
            <w:pPr>
              <w:pStyle w:val="TableTextCentred"/>
              <w:rPr>
                <w:sz w:val="20"/>
                <w:szCs w:val="20"/>
              </w:rPr>
            </w:pPr>
            <w:r w:rsidRPr="00400687">
              <w:rPr>
                <w:sz w:val="20"/>
                <w:szCs w:val="20"/>
              </w:rPr>
              <w:t>5.6%</w:t>
            </w:r>
          </w:p>
        </w:tc>
        <w:tc>
          <w:tcPr>
            <w:tcW w:w="567" w:type="dxa"/>
            <w:tcBorders>
              <w:left w:val="single" w:sz="4" w:space="0" w:color="0079C1"/>
            </w:tcBorders>
            <w:shd w:val="clear" w:color="auto" w:fill="auto"/>
            <w:vAlign w:val="center"/>
          </w:tcPr>
          <w:p w14:paraId="324D3FE5" w14:textId="21DD95C0" w:rsidR="008615BB" w:rsidRPr="00400687" w:rsidRDefault="008615BB" w:rsidP="008615BB">
            <w:pPr>
              <w:pStyle w:val="TableTextCentred"/>
              <w:rPr>
                <w:sz w:val="20"/>
                <w:szCs w:val="20"/>
              </w:rPr>
            </w:pPr>
            <w:r w:rsidRPr="00400687">
              <w:rPr>
                <w:sz w:val="20"/>
                <w:szCs w:val="20"/>
              </w:rPr>
              <w:t>1</w:t>
            </w:r>
          </w:p>
        </w:tc>
        <w:tc>
          <w:tcPr>
            <w:tcW w:w="899" w:type="dxa"/>
            <w:tcBorders>
              <w:right w:val="single" w:sz="4" w:space="0" w:color="0079C1"/>
            </w:tcBorders>
            <w:shd w:val="clear" w:color="auto" w:fill="auto"/>
            <w:vAlign w:val="center"/>
          </w:tcPr>
          <w:p w14:paraId="589902A4" w14:textId="7F221AAC" w:rsidR="008615BB" w:rsidRPr="00400687" w:rsidRDefault="008615BB" w:rsidP="008615BB">
            <w:pPr>
              <w:pStyle w:val="TableTextCentred"/>
              <w:rPr>
                <w:sz w:val="20"/>
                <w:szCs w:val="20"/>
              </w:rPr>
            </w:pPr>
            <w:r w:rsidRPr="00400687">
              <w:rPr>
                <w:sz w:val="20"/>
                <w:szCs w:val="20"/>
              </w:rPr>
              <w:t>5.3%</w:t>
            </w:r>
          </w:p>
        </w:tc>
        <w:tc>
          <w:tcPr>
            <w:tcW w:w="567" w:type="dxa"/>
            <w:tcBorders>
              <w:left w:val="single" w:sz="4" w:space="0" w:color="0079C1"/>
            </w:tcBorders>
            <w:shd w:val="clear" w:color="auto" w:fill="auto"/>
            <w:vAlign w:val="center"/>
          </w:tcPr>
          <w:p w14:paraId="01072E3D" w14:textId="1D3239ED" w:rsidR="008615BB" w:rsidRPr="00400687" w:rsidRDefault="008615BB" w:rsidP="008615BB">
            <w:pPr>
              <w:pStyle w:val="TableTextCentred"/>
              <w:rPr>
                <w:sz w:val="20"/>
                <w:szCs w:val="20"/>
              </w:rPr>
            </w:pPr>
            <w:r w:rsidRPr="00400687">
              <w:rPr>
                <w:sz w:val="20"/>
                <w:szCs w:val="20"/>
              </w:rPr>
              <w:t>20</w:t>
            </w:r>
          </w:p>
        </w:tc>
        <w:tc>
          <w:tcPr>
            <w:tcW w:w="944" w:type="dxa"/>
            <w:tcBorders>
              <w:right w:val="single" w:sz="4" w:space="0" w:color="0079C1"/>
            </w:tcBorders>
            <w:shd w:val="clear" w:color="auto" w:fill="auto"/>
            <w:vAlign w:val="center"/>
          </w:tcPr>
          <w:p w14:paraId="0B8599C7" w14:textId="2FCF8179" w:rsidR="008615BB" w:rsidRPr="00400687" w:rsidRDefault="008615BB" w:rsidP="008615BB">
            <w:pPr>
              <w:pStyle w:val="TableTextCentred"/>
              <w:rPr>
                <w:sz w:val="20"/>
                <w:szCs w:val="20"/>
              </w:rPr>
            </w:pPr>
            <w:r w:rsidRPr="00400687">
              <w:rPr>
                <w:sz w:val="20"/>
                <w:szCs w:val="20"/>
              </w:rPr>
              <w:t>27.4%</w:t>
            </w:r>
          </w:p>
        </w:tc>
        <w:tc>
          <w:tcPr>
            <w:tcW w:w="567" w:type="dxa"/>
            <w:tcBorders>
              <w:left w:val="single" w:sz="4" w:space="0" w:color="0079C1"/>
            </w:tcBorders>
            <w:shd w:val="clear" w:color="auto" w:fill="auto"/>
            <w:vAlign w:val="center"/>
          </w:tcPr>
          <w:p w14:paraId="1F6922F0" w14:textId="0A92B361" w:rsidR="008615BB" w:rsidRPr="00400687" w:rsidRDefault="008615BB" w:rsidP="008615BB">
            <w:pPr>
              <w:pStyle w:val="TableTextCentred"/>
              <w:rPr>
                <w:sz w:val="20"/>
                <w:szCs w:val="20"/>
              </w:rPr>
            </w:pPr>
            <w:r w:rsidRPr="00400687">
              <w:rPr>
                <w:sz w:val="20"/>
                <w:szCs w:val="20"/>
              </w:rPr>
              <w:t>4</w:t>
            </w:r>
          </w:p>
        </w:tc>
        <w:tc>
          <w:tcPr>
            <w:tcW w:w="992" w:type="dxa"/>
            <w:shd w:val="clear" w:color="auto" w:fill="auto"/>
            <w:vAlign w:val="center"/>
          </w:tcPr>
          <w:p w14:paraId="1F6E26A5" w14:textId="275334C4" w:rsidR="008615BB" w:rsidRPr="00400687" w:rsidRDefault="008615BB" w:rsidP="008615BB">
            <w:pPr>
              <w:pStyle w:val="TableTextCentred"/>
              <w:rPr>
                <w:sz w:val="20"/>
                <w:szCs w:val="20"/>
              </w:rPr>
            </w:pPr>
            <w:r w:rsidRPr="00400687">
              <w:rPr>
                <w:sz w:val="20"/>
                <w:szCs w:val="20"/>
              </w:rPr>
              <w:t>20.0%</w:t>
            </w:r>
          </w:p>
        </w:tc>
        <w:tc>
          <w:tcPr>
            <w:tcW w:w="567" w:type="dxa"/>
            <w:shd w:val="clear" w:color="auto" w:fill="auto"/>
            <w:vAlign w:val="center"/>
          </w:tcPr>
          <w:p w14:paraId="5FCD54C7" w14:textId="55A776C8" w:rsidR="008615BB" w:rsidRPr="00400687" w:rsidRDefault="008615BB" w:rsidP="008615BB">
            <w:pPr>
              <w:pStyle w:val="TableTextCentred"/>
              <w:rPr>
                <w:rStyle w:val="Strong"/>
                <w:rFonts w:asciiTheme="minorHAnsi" w:hAnsiTheme="minorHAnsi"/>
                <w:b w:val="0"/>
                <w:sz w:val="20"/>
                <w:szCs w:val="20"/>
              </w:rPr>
            </w:pPr>
            <w:r w:rsidRPr="00400687">
              <w:rPr>
                <w:b/>
                <w:sz w:val="20"/>
                <w:szCs w:val="20"/>
              </w:rPr>
              <w:t>31</w:t>
            </w:r>
          </w:p>
        </w:tc>
        <w:tc>
          <w:tcPr>
            <w:tcW w:w="1134" w:type="dxa"/>
            <w:shd w:val="clear" w:color="auto" w:fill="auto"/>
            <w:vAlign w:val="center"/>
          </w:tcPr>
          <w:p w14:paraId="633A4DC4" w14:textId="4381D224" w:rsidR="008615BB" w:rsidRPr="00400687" w:rsidRDefault="008615BB" w:rsidP="008615BB">
            <w:pPr>
              <w:pStyle w:val="TableTextCentred"/>
              <w:rPr>
                <w:rStyle w:val="Strong"/>
                <w:rFonts w:asciiTheme="minorHAnsi" w:hAnsiTheme="minorHAnsi"/>
                <w:b w:val="0"/>
                <w:sz w:val="20"/>
                <w:szCs w:val="20"/>
              </w:rPr>
            </w:pPr>
            <w:r w:rsidRPr="00400687">
              <w:rPr>
                <w:b/>
                <w:sz w:val="20"/>
                <w:szCs w:val="20"/>
              </w:rPr>
              <w:t>14.1%</w:t>
            </w:r>
          </w:p>
        </w:tc>
      </w:tr>
      <w:tr w:rsidR="008615BB" w:rsidRPr="00400687" w14:paraId="29AE13B9" w14:textId="77777777" w:rsidTr="00400687">
        <w:tc>
          <w:tcPr>
            <w:tcW w:w="1560" w:type="dxa"/>
            <w:tcBorders>
              <w:right w:val="single" w:sz="4" w:space="0" w:color="0079C1"/>
            </w:tcBorders>
            <w:shd w:val="clear" w:color="auto" w:fill="auto"/>
          </w:tcPr>
          <w:p w14:paraId="25357944" w14:textId="77777777" w:rsidR="008615BB" w:rsidRPr="00400687" w:rsidRDefault="008615BB" w:rsidP="008615BB">
            <w:pPr>
              <w:pStyle w:val="TableText"/>
              <w:rPr>
                <w:sz w:val="20"/>
                <w:szCs w:val="20"/>
              </w:rPr>
            </w:pPr>
            <w:r w:rsidRPr="00400687">
              <w:rPr>
                <w:sz w:val="20"/>
                <w:szCs w:val="20"/>
              </w:rPr>
              <w:t>I didn't know about it</w:t>
            </w:r>
          </w:p>
        </w:tc>
        <w:tc>
          <w:tcPr>
            <w:tcW w:w="567" w:type="dxa"/>
            <w:tcBorders>
              <w:left w:val="single" w:sz="4" w:space="0" w:color="0079C1"/>
            </w:tcBorders>
            <w:shd w:val="clear" w:color="auto" w:fill="auto"/>
            <w:vAlign w:val="center"/>
          </w:tcPr>
          <w:p w14:paraId="0F79D968" w14:textId="2EE23B30" w:rsidR="008615BB" w:rsidRPr="00400687" w:rsidRDefault="008615BB" w:rsidP="008615BB">
            <w:pPr>
              <w:pStyle w:val="TableTextCentred"/>
              <w:rPr>
                <w:sz w:val="20"/>
                <w:szCs w:val="20"/>
              </w:rPr>
            </w:pPr>
            <w:r w:rsidRPr="00400687">
              <w:rPr>
                <w:sz w:val="20"/>
                <w:szCs w:val="20"/>
              </w:rPr>
              <w:t>32</w:t>
            </w:r>
          </w:p>
        </w:tc>
        <w:tc>
          <w:tcPr>
            <w:tcW w:w="992" w:type="dxa"/>
            <w:tcBorders>
              <w:right w:val="single" w:sz="4" w:space="0" w:color="0079C1"/>
            </w:tcBorders>
            <w:shd w:val="clear" w:color="auto" w:fill="auto"/>
            <w:vAlign w:val="center"/>
          </w:tcPr>
          <w:p w14:paraId="50962AFE" w14:textId="443C7275" w:rsidR="008615BB" w:rsidRPr="00400687" w:rsidRDefault="008615BB" w:rsidP="008615BB">
            <w:pPr>
              <w:pStyle w:val="TableTextCentred"/>
              <w:rPr>
                <w:sz w:val="20"/>
                <w:szCs w:val="20"/>
              </w:rPr>
            </w:pPr>
            <w:r w:rsidRPr="00400687">
              <w:rPr>
                <w:sz w:val="20"/>
                <w:szCs w:val="20"/>
              </w:rPr>
              <w:t>29.6%</w:t>
            </w:r>
          </w:p>
        </w:tc>
        <w:tc>
          <w:tcPr>
            <w:tcW w:w="567" w:type="dxa"/>
            <w:tcBorders>
              <w:left w:val="single" w:sz="4" w:space="0" w:color="0079C1"/>
            </w:tcBorders>
            <w:shd w:val="clear" w:color="auto" w:fill="auto"/>
            <w:vAlign w:val="center"/>
          </w:tcPr>
          <w:p w14:paraId="2BFC45AA" w14:textId="39FE75C1" w:rsidR="008615BB" w:rsidRPr="00400687" w:rsidRDefault="008615BB" w:rsidP="008615BB">
            <w:pPr>
              <w:pStyle w:val="TableTextCentred"/>
              <w:rPr>
                <w:sz w:val="20"/>
                <w:szCs w:val="20"/>
              </w:rPr>
            </w:pPr>
            <w:r w:rsidRPr="00400687">
              <w:rPr>
                <w:sz w:val="20"/>
                <w:szCs w:val="20"/>
              </w:rPr>
              <w:t>6</w:t>
            </w:r>
          </w:p>
        </w:tc>
        <w:tc>
          <w:tcPr>
            <w:tcW w:w="899" w:type="dxa"/>
            <w:tcBorders>
              <w:right w:val="single" w:sz="4" w:space="0" w:color="0079C1"/>
            </w:tcBorders>
            <w:shd w:val="clear" w:color="auto" w:fill="auto"/>
            <w:vAlign w:val="center"/>
          </w:tcPr>
          <w:p w14:paraId="08095A1C" w14:textId="598815B0" w:rsidR="008615BB" w:rsidRPr="00400687" w:rsidRDefault="008615BB" w:rsidP="008615BB">
            <w:pPr>
              <w:pStyle w:val="TableTextCentred"/>
              <w:rPr>
                <w:sz w:val="20"/>
                <w:szCs w:val="20"/>
              </w:rPr>
            </w:pPr>
            <w:r w:rsidRPr="00400687">
              <w:rPr>
                <w:sz w:val="20"/>
                <w:szCs w:val="20"/>
              </w:rPr>
              <w:t>31.6%</w:t>
            </w:r>
          </w:p>
        </w:tc>
        <w:tc>
          <w:tcPr>
            <w:tcW w:w="567" w:type="dxa"/>
            <w:tcBorders>
              <w:left w:val="single" w:sz="4" w:space="0" w:color="0079C1"/>
            </w:tcBorders>
            <w:shd w:val="clear" w:color="auto" w:fill="auto"/>
            <w:vAlign w:val="center"/>
          </w:tcPr>
          <w:p w14:paraId="69D2A55B" w14:textId="396D93A3" w:rsidR="008615BB" w:rsidRPr="00400687" w:rsidRDefault="008615BB" w:rsidP="008615BB">
            <w:pPr>
              <w:pStyle w:val="TableTextCentred"/>
              <w:rPr>
                <w:sz w:val="20"/>
                <w:szCs w:val="20"/>
              </w:rPr>
            </w:pPr>
            <w:r w:rsidRPr="00400687">
              <w:rPr>
                <w:sz w:val="20"/>
                <w:szCs w:val="20"/>
              </w:rPr>
              <w:t>20</w:t>
            </w:r>
          </w:p>
        </w:tc>
        <w:tc>
          <w:tcPr>
            <w:tcW w:w="944" w:type="dxa"/>
            <w:tcBorders>
              <w:right w:val="single" w:sz="4" w:space="0" w:color="0079C1"/>
            </w:tcBorders>
            <w:shd w:val="clear" w:color="auto" w:fill="auto"/>
            <w:vAlign w:val="center"/>
          </w:tcPr>
          <w:p w14:paraId="511E954F" w14:textId="2A039D23" w:rsidR="008615BB" w:rsidRPr="00400687" w:rsidRDefault="008615BB" w:rsidP="008615BB">
            <w:pPr>
              <w:pStyle w:val="TableTextCentred"/>
              <w:rPr>
                <w:sz w:val="20"/>
                <w:szCs w:val="20"/>
              </w:rPr>
            </w:pPr>
            <w:r w:rsidRPr="00400687">
              <w:rPr>
                <w:sz w:val="20"/>
                <w:szCs w:val="20"/>
              </w:rPr>
              <w:t>27.4%</w:t>
            </w:r>
          </w:p>
        </w:tc>
        <w:tc>
          <w:tcPr>
            <w:tcW w:w="567" w:type="dxa"/>
            <w:tcBorders>
              <w:left w:val="single" w:sz="4" w:space="0" w:color="0079C1"/>
            </w:tcBorders>
            <w:shd w:val="clear" w:color="auto" w:fill="auto"/>
            <w:vAlign w:val="center"/>
          </w:tcPr>
          <w:p w14:paraId="1D52DE34" w14:textId="6AE7578C" w:rsidR="008615BB" w:rsidRPr="00400687" w:rsidRDefault="008615BB" w:rsidP="008615BB">
            <w:pPr>
              <w:pStyle w:val="TableTextCentred"/>
              <w:rPr>
                <w:sz w:val="20"/>
                <w:szCs w:val="20"/>
              </w:rPr>
            </w:pPr>
            <w:r w:rsidRPr="00400687">
              <w:rPr>
                <w:sz w:val="20"/>
                <w:szCs w:val="20"/>
              </w:rPr>
              <w:t>5</w:t>
            </w:r>
          </w:p>
        </w:tc>
        <w:tc>
          <w:tcPr>
            <w:tcW w:w="992" w:type="dxa"/>
            <w:shd w:val="clear" w:color="auto" w:fill="auto"/>
            <w:vAlign w:val="center"/>
          </w:tcPr>
          <w:p w14:paraId="0F2336F4" w14:textId="25E3B16C" w:rsidR="008615BB" w:rsidRPr="00400687" w:rsidRDefault="008615BB" w:rsidP="008615BB">
            <w:pPr>
              <w:pStyle w:val="TableTextCentred"/>
              <w:rPr>
                <w:sz w:val="20"/>
                <w:szCs w:val="20"/>
              </w:rPr>
            </w:pPr>
            <w:r w:rsidRPr="00400687">
              <w:rPr>
                <w:sz w:val="20"/>
                <w:szCs w:val="20"/>
              </w:rPr>
              <w:t>25.0%</w:t>
            </w:r>
          </w:p>
        </w:tc>
        <w:tc>
          <w:tcPr>
            <w:tcW w:w="567" w:type="dxa"/>
            <w:shd w:val="clear" w:color="auto" w:fill="auto"/>
            <w:vAlign w:val="center"/>
          </w:tcPr>
          <w:p w14:paraId="54FFDBBF" w14:textId="2ADB1A4B" w:rsidR="008615BB" w:rsidRPr="00400687" w:rsidRDefault="008615BB" w:rsidP="008615BB">
            <w:pPr>
              <w:pStyle w:val="TableTextCentred"/>
              <w:rPr>
                <w:rStyle w:val="Strong"/>
                <w:rFonts w:asciiTheme="minorHAnsi" w:hAnsiTheme="minorHAnsi"/>
                <w:b w:val="0"/>
                <w:sz w:val="20"/>
                <w:szCs w:val="20"/>
              </w:rPr>
            </w:pPr>
            <w:r w:rsidRPr="00400687">
              <w:rPr>
                <w:b/>
                <w:sz w:val="20"/>
                <w:szCs w:val="20"/>
              </w:rPr>
              <w:t>63</w:t>
            </w:r>
          </w:p>
        </w:tc>
        <w:tc>
          <w:tcPr>
            <w:tcW w:w="1134" w:type="dxa"/>
            <w:shd w:val="clear" w:color="auto" w:fill="auto"/>
            <w:vAlign w:val="center"/>
          </w:tcPr>
          <w:p w14:paraId="769E158F" w14:textId="52C1D631" w:rsidR="008615BB" w:rsidRPr="00400687" w:rsidRDefault="008615BB" w:rsidP="008615BB">
            <w:pPr>
              <w:pStyle w:val="TableTextCentred"/>
              <w:rPr>
                <w:rStyle w:val="Strong"/>
                <w:rFonts w:asciiTheme="minorHAnsi" w:hAnsiTheme="minorHAnsi"/>
                <w:b w:val="0"/>
                <w:sz w:val="20"/>
                <w:szCs w:val="20"/>
              </w:rPr>
            </w:pPr>
            <w:r w:rsidRPr="00400687">
              <w:rPr>
                <w:b/>
                <w:sz w:val="20"/>
                <w:szCs w:val="20"/>
              </w:rPr>
              <w:t>28.6%</w:t>
            </w:r>
          </w:p>
        </w:tc>
      </w:tr>
      <w:tr w:rsidR="008615BB" w:rsidRPr="00400687" w14:paraId="5C0BD8E1" w14:textId="77777777" w:rsidTr="00400687">
        <w:tc>
          <w:tcPr>
            <w:tcW w:w="1560" w:type="dxa"/>
            <w:tcBorders>
              <w:right w:val="single" w:sz="4" w:space="0" w:color="0079C1"/>
            </w:tcBorders>
            <w:shd w:val="clear" w:color="auto" w:fill="auto"/>
          </w:tcPr>
          <w:p w14:paraId="163774F4" w14:textId="77777777" w:rsidR="008615BB" w:rsidRPr="00400687" w:rsidRDefault="008615BB" w:rsidP="008615BB">
            <w:pPr>
              <w:pStyle w:val="TableText"/>
              <w:rPr>
                <w:sz w:val="20"/>
                <w:szCs w:val="20"/>
              </w:rPr>
            </w:pPr>
            <w:r w:rsidRPr="00400687">
              <w:rPr>
                <w:sz w:val="20"/>
                <w:szCs w:val="20"/>
              </w:rPr>
              <w:lastRenderedPageBreak/>
              <w:t xml:space="preserve">Other </w:t>
            </w:r>
          </w:p>
        </w:tc>
        <w:tc>
          <w:tcPr>
            <w:tcW w:w="567" w:type="dxa"/>
            <w:tcBorders>
              <w:left w:val="single" w:sz="4" w:space="0" w:color="0079C1"/>
            </w:tcBorders>
            <w:shd w:val="clear" w:color="auto" w:fill="auto"/>
            <w:vAlign w:val="center"/>
          </w:tcPr>
          <w:p w14:paraId="688E78D3" w14:textId="3123CA6A" w:rsidR="008615BB" w:rsidRPr="00400687" w:rsidRDefault="008615BB" w:rsidP="008615BB">
            <w:pPr>
              <w:pStyle w:val="TableTextCentred"/>
              <w:rPr>
                <w:sz w:val="20"/>
                <w:szCs w:val="20"/>
              </w:rPr>
            </w:pPr>
            <w:r w:rsidRPr="00400687">
              <w:rPr>
                <w:sz w:val="20"/>
                <w:szCs w:val="20"/>
              </w:rPr>
              <w:t>9</w:t>
            </w:r>
          </w:p>
        </w:tc>
        <w:tc>
          <w:tcPr>
            <w:tcW w:w="992" w:type="dxa"/>
            <w:tcBorders>
              <w:right w:val="single" w:sz="4" w:space="0" w:color="0079C1"/>
            </w:tcBorders>
            <w:shd w:val="clear" w:color="auto" w:fill="auto"/>
            <w:vAlign w:val="center"/>
          </w:tcPr>
          <w:p w14:paraId="3CBE1BBB" w14:textId="6CC86F5E" w:rsidR="008615BB" w:rsidRPr="00400687" w:rsidRDefault="008615BB" w:rsidP="008615BB">
            <w:pPr>
              <w:pStyle w:val="TableTextCentred"/>
              <w:rPr>
                <w:sz w:val="20"/>
                <w:szCs w:val="20"/>
              </w:rPr>
            </w:pPr>
            <w:r w:rsidRPr="00400687">
              <w:rPr>
                <w:sz w:val="20"/>
                <w:szCs w:val="20"/>
              </w:rPr>
              <w:t>8.3%</w:t>
            </w:r>
          </w:p>
        </w:tc>
        <w:tc>
          <w:tcPr>
            <w:tcW w:w="567" w:type="dxa"/>
            <w:tcBorders>
              <w:left w:val="single" w:sz="4" w:space="0" w:color="0079C1"/>
            </w:tcBorders>
            <w:shd w:val="clear" w:color="auto" w:fill="auto"/>
            <w:vAlign w:val="center"/>
          </w:tcPr>
          <w:p w14:paraId="643AB00B" w14:textId="2BD2871A" w:rsidR="008615BB" w:rsidRPr="00400687" w:rsidRDefault="008615BB" w:rsidP="008615BB">
            <w:pPr>
              <w:pStyle w:val="TableTextCentred"/>
              <w:rPr>
                <w:sz w:val="20"/>
                <w:szCs w:val="20"/>
              </w:rPr>
            </w:pPr>
            <w:r w:rsidRPr="00400687">
              <w:rPr>
                <w:sz w:val="20"/>
                <w:szCs w:val="20"/>
              </w:rPr>
              <w:t>3</w:t>
            </w:r>
          </w:p>
        </w:tc>
        <w:tc>
          <w:tcPr>
            <w:tcW w:w="899" w:type="dxa"/>
            <w:tcBorders>
              <w:right w:val="single" w:sz="4" w:space="0" w:color="0079C1"/>
            </w:tcBorders>
            <w:shd w:val="clear" w:color="auto" w:fill="auto"/>
            <w:vAlign w:val="center"/>
          </w:tcPr>
          <w:p w14:paraId="3A809167" w14:textId="789B656D" w:rsidR="008615BB" w:rsidRPr="00400687" w:rsidRDefault="008615BB" w:rsidP="008615BB">
            <w:pPr>
              <w:pStyle w:val="TableTextCentred"/>
              <w:rPr>
                <w:sz w:val="20"/>
                <w:szCs w:val="20"/>
              </w:rPr>
            </w:pPr>
            <w:r w:rsidRPr="00400687">
              <w:rPr>
                <w:sz w:val="20"/>
                <w:szCs w:val="20"/>
              </w:rPr>
              <w:t>15.8%</w:t>
            </w:r>
          </w:p>
        </w:tc>
        <w:tc>
          <w:tcPr>
            <w:tcW w:w="567" w:type="dxa"/>
            <w:tcBorders>
              <w:left w:val="single" w:sz="4" w:space="0" w:color="0079C1"/>
            </w:tcBorders>
            <w:shd w:val="clear" w:color="auto" w:fill="auto"/>
            <w:vAlign w:val="center"/>
          </w:tcPr>
          <w:p w14:paraId="7156FC79" w14:textId="13B1B2EB" w:rsidR="008615BB" w:rsidRPr="00400687" w:rsidRDefault="008615BB" w:rsidP="008615BB">
            <w:pPr>
              <w:pStyle w:val="TableTextCentred"/>
              <w:rPr>
                <w:sz w:val="20"/>
                <w:szCs w:val="20"/>
              </w:rPr>
            </w:pPr>
            <w:r w:rsidRPr="00400687">
              <w:rPr>
                <w:sz w:val="20"/>
                <w:szCs w:val="20"/>
              </w:rPr>
              <w:t>8</w:t>
            </w:r>
          </w:p>
        </w:tc>
        <w:tc>
          <w:tcPr>
            <w:tcW w:w="944" w:type="dxa"/>
            <w:tcBorders>
              <w:right w:val="single" w:sz="4" w:space="0" w:color="0079C1"/>
            </w:tcBorders>
            <w:shd w:val="clear" w:color="auto" w:fill="auto"/>
            <w:vAlign w:val="center"/>
          </w:tcPr>
          <w:p w14:paraId="3120A8EA" w14:textId="0E8D8B81" w:rsidR="008615BB" w:rsidRPr="00400687" w:rsidRDefault="008615BB" w:rsidP="008615BB">
            <w:pPr>
              <w:pStyle w:val="TableTextCentred"/>
              <w:rPr>
                <w:sz w:val="20"/>
                <w:szCs w:val="20"/>
              </w:rPr>
            </w:pPr>
            <w:r w:rsidRPr="00400687">
              <w:rPr>
                <w:sz w:val="20"/>
                <w:szCs w:val="20"/>
              </w:rPr>
              <w:t>11.0%</w:t>
            </w:r>
          </w:p>
        </w:tc>
        <w:tc>
          <w:tcPr>
            <w:tcW w:w="567" w:type="dxa"/>
            <w:tcBorders>
              <w:left w:val="single" w:sz="4" w:space="0" w:color="0079C1"/>
            </w:tcBorders>
            <w:shd w:val="clear" w:color="auto" w:fill="auto"/>
            <w:vAlign w:val="center"/>
          </w:tcPr>
          <w:p w14:paraId="4CFCF5B2" w14:textId="5BB6035C" w:rsidR="008615BB" w:rsidRPr="00400687" w:rsidRDefault="008615BB" w:rsidP="008615BB">
            <w:pPr>
              <w:pStyle w:val="TableTextCentred"/>
              <w:rPr>
                <w:sz w:val="20"/>
                <w:szCs w:val="20"/>
              </w:rPr>
            </w:pPr>
            <w:r w:rsidRPr="00400687">
              <w:rPr>
                <w:sz w:val="20"/>
                <w:szCs w:val="20"/>
              </w:rPr>
              <w:t>3</w:t>
            </w:r>
          </w:p>
        </w:tc>
        <w:tc>
          <w:tcPr>
            <w:tcW w:w="992" w:type="dxa"/>
            <w:shd w:val="clear" w:color="auto" w:fill="auto"/>
            <w:vAlign w:val="center"/>
          </w:tcPr>
          <w:p w14:paraId="1F6A7B98" w14:textId="06FE6F0D" w:rsidR="008615BB" w:rsidRPr="00400687" w:rsidRDefault="008615BB" w:rsidP="008615BB">
            <w:pPr>
              <w:pStyle w:val="TableTextCentred"/>
              <w:rPr>
                <w:sz w:val="20"/>
                <w:szCs w:val="20"/>
              </w:rPr>
            </w:pPr>
            <w:r w:rsidRPr="00400687">
              <w:rPr>
                <w:sz w:val="20"/>
                <w:szCs w:val="20"/>
              </w:rPr>
              <w:t>15.0%</w:t>
            </w:r>
          </w:p>
        </w:tc>
        <w:tc>
          <w:tcPr>
            <w:tcW w:w="567" w:type="dxa"/>
            <w:shd w:val="clear" w:color="auto" w:fill="auto"/>
            <w:vAlign w:val="center"/>
          </w:tcPr>
          <w:p w14:paraId="53142619" w14:textId="41E87507" w:rsidR="008615BB" w:rsidRPr="00400687" w:rsidRDefault="008615BB" w:rsidP="008615BB">
            <w:pPr>
              <w:pStyle w:val="TableTextCentred"/>
              <w:rPr>
                <w:rStyle w:val="Strong"/>
                <w:rFonts w:asciiTheme="minorHAnsi" w:hAnsiTheme="minorHAnsi"/>
                <w:b w:val="0"/>
                <w:sz w:val="20"/>
                <w:szCs w:val="20"/>
              </w:rPr>
            </w:pPr>
            <w:r w:rsidRPr="00400687">
              <w:rPr>
                <w:b/>
                <w:sz w:val="20"/>
                <w:szCs w:val="20"/>
              </w:rPr>
              <w:t>23</w:t>
            </w:r>
          </w:p>
        </w:tc>
        <w:tc>
          <w:tcPr>
            <w:tcW w:w="1134" w:type="dxa"/>
            <w:shd w:val="clear" w:color="auto" w:fill="auto"/>
            <w:vAlign w:val="center"/>
          </w:tcPr>
          <w:p w14:paraId="4706698B" w14:textId="29112230" w:rsidR="008615BB" w:rsidRPr="00400687" w:rsidRDefault="008615BB" w:rsidP="008615BB">
            <w:pPr>
              <w:pStyle w:val="TableTextCentred"/>
              <w:rPr>
                <w:rStyle w:val="Strong"/>
                <w:rFonts w:asciiTheme="minorHAnsi" w:hAnsiTheme="minorHAnsi"/>
                <w:b w:val="0"/>
                <w:sz w:val="20"/>
                <w:szCs w:val="20"/>
              </w:rPr>
            </w:pPr>
            <w:r w:rsidRPr="00400687">
              <w:rPr>
                <w:b/>
                <w:sz w:val="20"/>
                <w:szCs w:val="20"/>
              </w:rPr>
              <w:t>10.5%</w:t>
            </w:r>
          </w:p>
        </w:tc>
      </w:tr>
      <w:tr w:rsidR="008615BB" w:rsidRPr="00400687" w14:paraId="6B005BDC" w14:textId="77777777" w:rsidTr="00400687">
        <w:tc>
          <w:tcPr>
            <w:tcW w:w="1560" w:type="dxa"/>
            <w:tcBorders>
              <w:bottom w:val="single" w:sz="4" w:space="0" w:color="0079C1" w:themeColor="text2"/>
              <w:right w:val="single" w:sz="4" w:space="0" w:color="0079C1"/>
            </w:tcBorders>
            <w:shd w:val="clear" w:color="auto" w:fill="auto"/>
          </w:tcPr>
          <w:p w14:paraId="4D8C1258" w14:textId="15EE21EB" w:rsidR="008615BB" w:rsidRPr="00400687" w:rsidRDefault="008615BB" w:rsidP="008615BB">
            <w:pPr>
              <w:pStyle w:val="TableText"/>
              <w:rPr>
                <w:sz w:val="20"/>
                <w:szCs w:val="20"/>
              </w:rPr>
            </w:pPr>
            <w:r w:rsidRPr="00400687">
              <w:rPr>
                <w:sz w:val="20"/>
                <w:szCs w:val="20"/>
              </w:rPr>
              <w:t xml:space="preserve">Not stated/not applicable </w:t>
            </w:r>
          </w:p>
        </w:tc>
        <w:tc>
          <w:tcPr>
            <w:tcW w:w="567" w:type="dxa"/>
            <w:tcBorders>
              <w:left w:val="single" w:sz="4" w:space="0" w:color="0079C1"/>
              <w:bottom w:val="single" w:sz="4" w:space="0" w:color="0079C1" w:themeColor="text2"/>
            </w:tcBorders>
            <w:shd w:val="clear" w:color="auto" w:fill="auto"/>
            <w:vAlign w:val="center"/>
          </w:tcPr>
          <w:p w14:paraId="11A8954F" w14:textId="2B504055" w:rsidR="008615BB" w:rsidRPr="00400687" w:rsidRDefault="008615BB" w:rsidP="008615BB">
            <w:pPr>
              <w:pStyle w:val="TableTextCentred"/>
              <w:rPr>
                <w:sz w:val="20"/>
                <w:szCs w:val="20"/>
              </w:rPr>
            </w:pPr>
            <w:r w:rsidRPr="00400687">
              <w:rPr>
                <w:sz w:val="20"/>
                <w:szCs w:val="20"/>
              </w:rPr>
              <w:t>38</w:t>
            </w:r>
          </w:p>
        </w:tc>
        <w:tc>
          <w:tcPr>
            <w:tcW w:w="992" w:type="dxa"/>
            <w:tcBorders>
              <w:bottom w:val="single" w:sz="4" w:space="0" w:color="0079C1" w:themeColor="text2"/>
              <w:right w:val="single" w:sz="4" w:space="0" w:color="0079C1"/>
            </w:tcBorders>
            <w:shd w:val="clear" w:color="auto" w:fill="auto"/>
            <w:vAlign w:val="center"/>
          </w:tcPr>
          <w:p w14:paraId="0B74BB4A" w14:textId="3DF2056F" w:rsidR="008615BB" w:rsidRPr="00400687" w:rsidRDefault="008615BB" w:rsidP="008615BB">
            <w:pPr>
              <w:pStyle w:val="TableTextCentred"/>
              <w:rPr>
                <w:sz w:val="20"/>
                <w:szCs w:val="20"/>
              </w:rPr>
            </w:pPr>
            <w:r w:rsidRPr="00400687">
              <w:rPr>
                <w:sz w:val="20"/>
                <w:szCs w:val="20"/>
              </w:rPr>
              <w:t>35.2%</w:t>
            </w:r>
          </w:p>
        </w:tc>
        <w:tc>
          <w:tcPr>
            <w:tcW w:w="567" w:type="dxa"/>
            <w:tcBorders>
              <w:left w:val="single" w:sz="4" w:space="0" w:color="0079C1"/>
              <w:bottom w:val="single" w:sz="4" w:space="0" w:color="0079C1" w:themeColor="text2"/>
            </w:tcBorders>
            <w:shd w:val="clear" w:color="auto" w:fill="auto"/>
            <w:vAlign w:val="center"/>
          </w:tcPr>
          <w:p w14:paraId="1841B338" w14:textId="60DC9672" w:rsidR="008615BB" w:rsidRPr="00400687" w:rsidRDefault="008615BB" w:rsidP="008615BB">
            <w:pPr>
              <w:pStyle w:val="TableTextCentred"/>
              <w:rPr>
                <w:sz w:val="20"/>
                <w:szCs w:val="20"/>
              </w:rPr>
            </w:pPr>
            <w:r w:rsidRPr="00400687">
              <w:rPr>
                <w:sz w:val="20"/>
                <w:szCs w:val="20"/>
              </w:rPr>
              <w:t>2</w:t>
            </w:r>
          </w:p>
        </w:tc>
        <w:tc>
          <w:tcPr>
            <w:tcW w:w="899" w:type="dxa"/>
            <w:tcBorders>
              <w:bottom w:val="single" w:sz="4" w:space="0" w:color="0079C1" w:themeColor="text2"/>
              <w:right w:val="single" w:sz="4" w:space="0" w:color="0079C1"/>
            </w:tcBorders>
            <w:shd w:val="clear" w:color="auto" w:fill="auto"/>
            <w:vAlign w:val="center"/>
          </w:tcPr>
          <w:p w14:paraId="2B851AB3" w14:textId="3AC74C9C" w:rsidR="008615BB" w:rsidRPr="00400687" w:rsidRDefault="008615BB" w:rsidP="008615BB">
            <w:pPr>
              <w:pStyle w:val="TableTextCentred"/>
              <w:rPr>
                <w:sz w:val="20"/>
                <w:szCs w:val="20"/>
              </w:rPr>
            </w:pPr>
            <w:r w:rsidRPr="00400687">
              <w:rPr>
                <w:sz w:val="20"/>
                <w:szCs w:val="20"/>
              </w:rPr>
              <w:t>10.5%</w:t>
            </w:r>
          </w:p>
        </w:tc>
        <w:tc>
          <w:tcPr>
            <w:tcW w:w="567" w:type="dxa"/>
            <w:tcBorders>
              <w:left w:val="single" w:sz="4" w:space="0" w:color="0079C1"/>
              <w:bottom w:val="single" w:sz="4" w:space="0" w:color="0079C1" w:themeColor="text2"/>
            </w:tcBorders>
            <w:shd w:val="clear" w:color="auto" w:fill="auto"/>
            <w:vAlign w:val="center"/>
          </w:tcPr>
          <w:p w14:paraId="2C5E1713" w14:textId="557C3143" w:rsidR="008615BB" w:rsidRPr="00400687" w:rsidRDefault="008615BB" w:rsidP="008615BB">
            <w:pPr>
              <w:pStyle w:val="TableTextCentred"/>
              <w:rPr>
                <w:sz w:val="20"/>
                <w:szCs w:val="20"/>
              </w:rPr>
            </w:pPr>
            <w:r w:rsidRPr="00400687">
              <w:rPr>
                <w:sz w:val="20"/>
                <w:szCs w:val="20"/>
              </w:rPr>
              <w:t>12</w:t>
            </w:r>
          </w:p>
        </w:tc>
        <w:tc>
          <w:tcPr>
            <w:tcW w:w="944" w:type="dxa"/>
            <w:tcBorders>
              <w:bottom w:val="single" w:sz="4" w:space="0" w:color="0079C1" w:themeColor="text2"/>
              <w:right w:val="single" w:sz="4" w:space="0" w:color="0079C1"/>
            </w:tcBorders>
            <w:shd w:val="clear" w:color="auto" w:fill="auto"/>
            <w:vAlign w:val="center"/>
          </w:tcPr>
          <w:p w14:paraId="30A809C5" w14:textId="35DAC429" w:rsidR="008615BB" w:rsidRPr="00400687" w:rsidRDefault="008615BB" w:rsidP="008615BB">
            <w:pPr>
              <w:pStyle w:val="TableTextCentred"/>
              <w:rPr>
                <w:sz w:val="20"/>
                <w:szCs w:val="20"/>
              </w:rPr>
            </w:pPr>
            <w:r w:rsidRPr="00400687">
              <w:rPr>
                <w:sz w:val="20"/>
                <w:szCs w:val="20"/>
              </w:rPr>
              <w:t>16.4%</w:t>
            </w:r>
          </w:p>
        </w:tc>
        <w:tc>
          <w:tcPr>
            <w:tcW w:w="567" w:type="dxa"/>
            <w:tcBorders>
              <w:left w:val="single" w:sz="4" w:space="0" w:color="0079C1"/>
              <w:bottom w:val="single" w:sz="4" w:space="0" w:color="0079C1" w:themeColor="text2"/>
            </w:tcBorders>
            <w:shd w:val="clear" w:color="auto" w:fill="auto"/>
            <w:vAlign w:val="center"/>
          </w:tcPr>
          <w:p w14:paraId="398BAA8D" w14:textId="481EC048" w:rsidR="008615BB" w:rsidRPr="00400687" w:rsidRDefault="008615BB" w:rsidP="008615BB">
            <w:pPr>
              <w:pStyle w:val="TableTextCentred"/>
              <w:rPr>
                <w:sz w:val="20"/>
                <w:szCs w:val="20"/>
              </w:rPr>
            </w:pPr>
            <w:r w:rsidRPr="00400687">
              <w:rPr>
                <w:sz w:val="20"/>
                <w:szCs w:val="20"/>
              </w:rPr>
              <w:t>4</w:t>
            </w:r>
          </w:p>
        </w:tc>
        <w:tc>
          <w:tcPr>
            <w:tcW w:w="992" w:type="dxa"/>
            <w:tcBorders>
              <w:bottom w:val="single" w:sz="4" w:space="0" w:color="0079C1" w:themeColor="text2"/>
            </w:tcBorders>
            <w:shd w:val="clear" w:color="auto" w:fill="auto"/>
            <w:vAlign w:val="center"/>
          </w:tcPr>
          <w:p w14:paraId="3E1AB0D9" w14:textId="09EE3328" w:rsidR="008615BB" w:rsidRPr="00400687" w:rsidRDefault="008615BB" w:rsidP="008615BB">
            <w:pPr>
              <w:pStyle w:val="TableTextCentred"/>
              <w:rPr>
                <w:sz w:val="20"/>
                <w:szCs w:val="20"/>
              </w:rPr>
            </w:pPr>
            <w:r w:rsidRPr="00400687">
              <w:rPr>
                <w:sz w:val="20"/>
                <w:szCs w:val="20"/>
              </w:rPr>
              <w:t>20.0%</w:t>
            </w:r>
          </w:p>
        </w:tc>
        <w:tc>
          <w:tcPr>
            <w:tcW w:w="567" w:type="dxa"/>
            <w:tcBorders>
              <w:bottom w:val="single" w:sz="4" w:space="0" w:color="0079C1" w:themeColor="text2"/>
            </w:tcBorders>
            <w:shd w:val="clear" w:color="auto" w:fill="auto"/>
            <w:vAlign w:val="center"/>
          </w:tcPr>
          <w:p w14:paraId="20FF5591" w14:textId="6B4FDAA3" w:rsidR="008615BB" w:rsidRPr="00400687" w:rsidRDefault="008615BB" w:rsidP="008615BB">
            <w:pPr>
              <w:pStyle w:val="TableTextCentred"/>
              <w:rPr>
                <w:rStyle w:val="Strong"/>
                <w:rFonts w:asciiTheme="minorHAnsi" w:hAnsiTheme="minorHAnsi"/>
                <w:b w:val="0"/>
                <w:sz w:val="20"/>
                <w:szCs w:val="20"/>
              </w:rPr>
            </w:pPr>
            <w:r w:rsidRPr="00400687">
              <w:rPr>
                <w:b/>
                <w:sz w:val="20"/>
                <w:szCs w:val="20"/>
              </w:rPr>
              <w:t>56</w:t>
            </w:r>
          </w:p>
        </w:tc>
        <w:tc>
          <w:tcPr>
            <w:tcW w:w="1134" w:type="dxa"/>
            <w:tcBorders>
              <w:bottom w:val="single" w:sz="4" w:space="0" w:color="0079C1" w:themeColor="text2"/>
            </w:tcBorders>
            <w:shd w:val="clear" w:color="auto" w:fill="auto"/>
            <w:vAlign w:val="center"/>
          </w:tcPr>
          <w:p w14:paraId="7E826241" w14:textId="618D5D5C" w:rsidR="008615BB" w:rsidRPr="00400687" w:rsidRDefault="008615BB" w:rsidP="008615BB">
            <w:pPr>
              <w:pStyle w:val="TableTextCentred"/>
              <w:rPr>
                <w:rStyle w:val="Strong"/>
                <w:rFonts w:asciiTheme="minorHAnsi" w:hAnsiTheme="minorHAnsi"/>
                <w:b w:val="0"/>
                <w:sz w:val="20"/>
                <w:szCs w:val="20"/>
              </w:rPr>
            </w:pPr>
            <w:r w:rsidRPr="00400687">
              <w:rPr>
                <w:b/>
                <w:sz w:val="20"/>
                <w:szCs w:val="20"/>
              </w:rPr>
              <w:t>25.5%</w:t>
            </w:r>
          </w:p>
        </w:tc>
      </w:tr>
      <w:tr w:rsidR="00F67BCB" w:rsidRPr="00400687" w14:paraId="7B1311B3" w14:textId="77777777" w:rsidTr="00400687">
        <w:tc>
          <w:tcPr>
            <w:tcW w:w="1560"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07D0F7B1" w14:textId="4E059EE2" w:rsidR="00F22A70" w:rsidRPr="00400687" w:rsidRDefault="00F22A70" w:rsidP="00750F45">
            <w:pPr>
              <w:pStyle w:val="TableText"/>
              <w:rPr>
                <w:rStyle w:val="Bold"/>
                <w:sz w:val="20"/>
                <w:szCs w:val="20"/>
              </w:rPr>
            </w:pPr>
            <w:r w:rsidRPr="00400687">
              <w:rPr>
                <w:rStyle w:val="Bold"/>
                <w:sz w:val="20"/>
                <w:szCs w:val="20"/>
              </w:rPr>
              <w:t>Total</w:t>
            </w:r>
          </w:p>
        </w:tc>
        <w:tc>
          <w:tcPr>
            <w:tcW w:w="567"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76BB0303" w14:textId="77777777" w:rsidR="00F22A70" w:rsidRPr="00400687" w:rsidRDefault="00F22A70" w:rsidP="00750F45">
            <w:pPr>
              <w:pStyle w:val="TableTextCentred"/>
              <w:rPr>
                <w:rStyle w:val="Bold"/>
                <w:sz w:val="20"/>
                <w:szCs w:val="20"/>
              </w:rPr>
            </w:pPr>
            <w:r w:rsidRPr="00400687">
              <w:rPr>
                <w:rStyle w:val="Bold"/>
                <w:sz w:val="20"/>
                <w:szCs w:val="20"/>
              </w:rPr>
              <w:t>108</w:t>
            </w:r>
          </w:p>
        </w:tc>
        <w:tc>
          <w:tcPr>
            <w:tcW w:w="992"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7F6F6F64" w14:textId="77777777" w:rsidR="00F22A70" w:rsidRPr="00400687" w:rsidRDefault="00F22A70" w:rsidP="00750F45">
            <w:pPr>
              <w:pStyle w:val="TableTextCentred"/>
              <w:rPr>
                <w:rStyle w:val="Bold"/>
                <w:sz w:val="20"/>
                <w:szCs w:val="20"/>
              </w:rPr>
            </w:pPr>
            <w:r w:rsidRPr="00400687">
              <w:rPr>
                <w:rStyle w:val="Bold"/>
                <w:sz w:val="20"/>
                <w:szCs w:val="20"/>
              </w:rPr>
              <w:t>100.0%</w:t>
            </w:r>
          </w:p>
        </w:tc>
        <w:tc>
          <w:tcPr>
            <w:tcW w:w="567"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71113F58" w14:textId="77777777" w:rsidR="00F22A70" w:rsidRPr="00400687" w:rsidRDefault="00F22A70" w:rsidP="00750F45">
            <w:pPr>
              <w:pStyle w:val="TableTextCentred"/>
              <w:rPr>
                <w:rStyle w:val="Bold"/>
                <w:sz w:val="20"/>
                <w:szCs w:val="20"/>
              </w:rPr>
            </w:pPr>
            <w:r w:rsidRPr="00400687">
              <w:rPr>
                <w:rStyle w:val="Bold"/>
                <w:sz w:val="20"/>
                <w:szCs w:val="20"/>
              </w:rPr>
              <w:t>19</w:t>
            </w:r>
          </w:p>
        </w:tc>
        <w:tc>
          <w:tcPr>
            <w:tcW w:w="899"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3DB80216" w14:textId="77777777" w:rsidR="00F22A70" w:rsidRPr="00400687" w:rsidRDefault="00F22A70" w:rsidP="00750F45">
            <w:pPr>
              <w:pStyle w:val="TableTextCentred"/>
              <w:rPr>
                <w:rStyle w:val="Bold"/>
                <w:sz w:val="20"/>
                <w:szCs w:val="20"/>
              </w:rPr>
            </w:pPr>
            <w:r w:rsidRPr="00400687">
              <w:rPr>
                <w:rStyle w:val="Bold"/>
                <w:sz w:val="20"/>
                <w:szCs w:val="20"/>
              </w:rPr>
              <w:t>100.0%</w:t>
            </w:r>
          </w:p>
        </w:tc>
        <w:tc>
          <w:tcPr>
            <w:tcW w:w="567"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5734EE37" w14:textId="77777777" w:rsidR="00F22A70" w:rsidRPr="00400687" w:rsidRDefault="00F22A70" w:rsidP="00750F45">
            <w:pPr>
              <w:pStyle w:val="TableTextCentred"/>
              <w:rPr>
                <w:rStyle w:val="Bold"/>
                <w:sz w:val="20"/>
                <w:szCs w:val="20"/>
              </w:rPr>
            </w:pPr>
            <w:r w:rsidRPr="00400687">
              <w:rPr>
                <w:rStyle w:val="Bold"/>
                <w:sz w:val="20"/>
                <w:szCs w:val="20"/>
              </w:rPr>
              <w:t>73</w:t>
            </w:r>
          </w:p>
        </w:tc>
        <w:tc>
          <w:tcPr>
            <w:tcW w:w="944"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24A3A739" w14:textId="77777777" w:rsidR="00F22A70" w:rsidRPr="00400687" w:rsidRDefault="00F22A70" w:rsidP="00750F45">
            <w:pPr>
              <w:pStyle w:val="TableTextCentred"/>
              <w:rPr>
                <w:rStyle w:val="Bold"/>
                <w:sz w:val="20"/>
                <w:szCs w:val="20"/>
              </w:rPr>
            </w:pPr>
            <w:r w:rsidRPr="00400687">
              <w:rPr>
                <w:rStyle w:val="Bold"/>
                <w:sz w:val="20"/>
                <w:szCs w:val="20"/>
              </w:rPr>
              <w:t>100.0%</w:t>
            </w:r>
          </w:p>
        </w:tc>
        <w:tc>
          <w:tcPr>
            <w:tcW w:w="567"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3552F71F" w14:textId="77777777" w:rsidR="00F22A70" w:rsidRPr="00400687" w:rsidRDefault="00F22A70" w:rsidP="00750F45">
            <w:pPr>
              <w:pStyle w:val="TableTextCentred"/>
              <w:rPr>
                <w:rStyle w:val="Bold"/>
                <w:sz w:val="20"/>
                <w:szCs w:val="20"/>
              </w:rPr>
            </w:pPr>
            <w:r w:rsidRPr="00400687">
              <w:rPr>
                <w:rStyle w:val="Bold"/>
                <w:sz w:val="20"/>
                <w:szCs w:val="20"/>
              </w:rPr>
              <w:t>20</w:t>
            </w:r>
          </w:p>
        </w:tc>
        <w:tc>
          <w:tcPr>
            <w:tcW w:w="992" w:type="dxa"/>
            <w:tcBorders>
              <w:top w:val="single" w:sz="4" w:space="0" w:color="0079C1" w:themeColor="text2"/>
              <w:bottom w:val="single" w:sz="4" w:space="0" w:color="0079C1" w:themeColor="text2"/>
            </w:tcBorders>
            <w:shd w:val="clear" w:color="auto" w:fill="E2F4FF" w:themeFill="accent1" w:themeFillTint="33"/>
            <w:vAlign w:val="center"/>
          </w:tcPr>
          <w:p w14:paraId="4ADF29B1" w14:textId="77777777" w:rsidR="00F22A70" w:rsidRPr="00400687" w:rsidRDefault="00F22A70" w:rsidP="00750F45">
            <w:pPr>
              <w:pStyle w:val="TableTextCentred"/>
              <w:rPr>
                <w:rStyle w:val="Bold"/>
                <w:sz w:val="20"/>
                <w:szCs w:val="20"/>
              </w:rPr>
            </w:pPr>
            <w:r w:rsidRPr="00400687">
              <w:rPr>
                <w:rStyle w:val="Bold"/>
                <w:sz w:val="20"/>
                <w:szCs w:val="20"/>
              </w:rPr>
              <w:t>100.0%</w:t>
            </w:r>
          </w:p>
        </w:tc>
        <w:tc>
          <w:tcPr>
            <w:tcW w:w="567" w:type="dxa"/>
            <w:tcBorders>
              <w:top w:val="single" w:sz="4" w:space="0" w:color="0079C1" w:themeColor="text2"/>
              <w:bottom w:val="single" w:sz="4" w:space="0" w:color="0079C1" w:themeColor="text2"/>
            </w:tcBorders>
            <w:shd w:val="clear" w:color="auto" w:fill="E2F4FF" w:themeFill="accent1" w:themeFillTint="33"/>
            <w:vAlign w:val="center"/>
          </w:tcPr>
          <w:p w14:paraId="6E4F4570" w14:textId="77777777" w:rsidR="00F22A70" w:rsidRPr="00400687" w:rsidRDefault="00F22A70" w:rsidP="00750F45">
            <w:pPr>
              <w:pStyle w:val="TableTextCentred"/>
              <w:rPr>
                <w:rStyle w:val="Bold"/>
                <w:sz w:val="20"/>
                <w:szCs w:val="20"/>
              </w:rPr>
            </w:pPr>
            <w:r w:rsidRPr="00400687">
              <w:rPr>
                <w:rStyle w:val="Bold"/>
                <w:sz w:val="20"/>
                <w:szCs w:val="20"/>
              </w:rPr>
              <w:t>220</w:t>
            </w:r>
          </w:p>
        </w:tc>
        <w:tc>
          <w:tcPr>
            <w:tcW w:w="1134" w:type="dxa"/>
            <w:tcBorders>
              <w:top w:val="single" w:sz="4" w:space="0" w:color="0079C1" w:themeColor="text2"/>
              <w:bottom w:val="single" w:sz="4" w:space="0" w:color="0079C1" w:themeColor="text2"/>
            </w:tcBorders>
            <w:shd w:val="clear" w:color="auto" w:fill="E2F4FF" w:themeFill="accent1" w:themeFillTint="33"/>
            <w:vAlign w:val="center"/>
          </w:tcPr>
          <w:p w14:paraId="7227C73B" w14:textId="77777777" w:rsidR="00F22A70" w:rsidRPr="00400687" w:rsidRDefault="00F22A70" w:rsidP="00750F45">
            <w:pPr>
              <w:pStyle w:val="TableTextCentred"/>
              <w:rPr>
                <w:rStyle w:val="Bold"/>
                <w:sz w:val="20"/>
                <w:szCs w:val="20"/>
              </w:rPr>
            </w:pPr>
            <w:r w:rsidRPr="00400687">
              <w:rPr>
                <w:rStyle w:val="Bold"/>
                <w:sz w:val="20"/>
                <w:szCs w:val="20"/>
              </w:rPr>
              <w:t>100.0%</w:t>
            </w:r>
          </w:p>
        </w:tc>
      </w:tr>
    </w:tbl>
    <w:bookmarkEnd w:id="147"/>
    <w:p w14:paraId="259AF631" w14:textId="38151CDA" w:rsidR="00F22A70" w:rsidRDefault="00F22A70" w:rsidP="00F22A70">
      <w:pPr>
        <w:pStyle w:val="Paragraph"/>
      </w:pPr>
      <w:r>
        <w:t xml:space="preserve">Likewise, </w:t>
      </w:r>
      <w:r w:rsidRPr="00566E23">
        <w:t>t</w:t>
      </w:r>
      <w:bookmarkStart w:id="148" w:name="_Hlk489974329"/>
      <w:r w:rsidRPr="00566E23">
        <w:t xml:space="preserve">he service </w:t>
      </w:r>
      <w:r>
        <w:t>not having ex</w:t>
      </w:r>
      <w:r w:rsidRPr="00566E23">
        <w:t xml:space="preserve">isted when the respondent had started the process </w:t>
      </w:r>
      <w:bookmarkStart w:id="149" w:name="_Hlk489974455"/>
      <w:r w:rsidRPr="00566E23">
        <w:t>(</w:t>
      </w:r>
      <w:r w:rsidR="00C36EAF">
        <w:t>35</w:t>
      </w:r>
      <w:r w:rsidR="00050B6F">
        <w:t>/</w:t>
      </w:r>
      <w:r w:rsidR="008615BB">
        <w:t>81</w:t>
      </w:r>
      <w:r w:rsidR="00050B6F">
        <w:t xml:space="preserve">, </w:t>
      </w:r>
      <w:r w:rsidR="008615BB">
        <w:t>43.2</w:t>
      </w:r>
      <w:r w:rsidRPr="00566E23">
        <w:t xml:space="preserve">%) </w:t>
      </w:r>
      <w:bookmarkEnd w:id="149"/>
      <w:r w:rsidRPr="00566E23">
        <w:t xml:space="preserve">and that respondents did not know about the service </w:t>
      </w:r>
      <w:bookmarkStart w:id="150" w:name="_Hlk489974469"/>
      <w:r w:rsidRPr="00566E23">
        <w:t>(</w:t>
      </w:r>
      <w:r w:rsidR="008615BB">
        <w:t>32</w:t>
      </w:r>
      <w:r w:rsidR="00050B6F">
        <w:t>/</w:t>
      </w:r>
      <w:r w:rsidR="008615BB">
        <w:t>81</w:t>
      </w:r>
      <w:r w:rsidR="00050B6F">
        <w:t xml:space="preserve">, </w:t>
      </w:r>
      <w:r w:rsidR="008615BB">
        <w:t>39.5</w:t>
      </w:r>
      <w:r w:rsidR="00050B6F">
        <w:t>%</w:t>
      </w:r>
      <w:r w:rsidRPr="00566E23">
        <w:t>)</w:t>
      </w:r>
      <w:bookmarkEnd w:id="150"/>
      <w:r>
        <w:t xml:space="preserve"> were </w:t>
      </w:r>
      <w:r w:rsidRPr="00566E23">
        <w:t xml:space="preserve">the two main reasons </w:t>
      </w:r>
      <w:r w:rsidR="00D12910">
        <w:t xml:space="preserve">reported by non-users </w:t>
      </w:r>
      <w:r w:rsidRPr="00566E23">
        <w:t>for not having used the IAA website</w:t>
      </w:r>
      <w:bookmarkEnd w:id="148"/>
      <w:r w:rsidRPr="00566E23">
        <w:t xml:space="preserve"> </w:t>
      </w:r>
      <w:r>
        <w:t>(</w:t>
      </w:r>
      <w:r w:rsidRPr="008A5308">
        <w:rPr>
          <w:rStyle w:val="Emphasis"/>
        </w:rPr>
        <w:fldChar w:fldCharType="begin"/>
      </w:r>
      <w:r w:rsidRPr="008A5308">
        <w:rPr>
          <w:rStyle w:val="Emphasis"/>
        </w:rPr>
        <w:instrText xml:space="preserve"> REF _Ref462845574 \h  \* MERGEFORMAT </w:instrText>
      </w:r>
      <w:r w:rsidRPr="008A5308">
        <w:rPr>
          <w:rStyle w:val="Emphasis"/>
        </w:rPr>
      </w:r>
      <w:r w:rsidRPr="008A5308">
        <w:rPr>
          <w:rStyle w:val="Emphasis"/>
        </w:rPr>
        <w:fldChar w:fldCharType="separate"/>
      </w:r>
      <w:r w:rsidR="00487073" w:rsidRPr="00487073">
        <w:rPr>
          <w:rStyle w:val="Emphasis"/>
        </w:rPr>
        <w:t>Table 6</w:t>
      </w:r>
      <w:r w:rsidR="00487073" w:rsidRPr="00487073">
        <w:rPr>
          <w:rStyle w:val="Emphasis"/>
        </w:rPr>
        <w:noBreakHyphen/>
        <w:t>2</w:t>
      </w:r>
      <w:r w:rsidRPr="008A5308">
        <w:rPr>
          <w:rStyle w:val="Emphasis"/>
        </w:rPr>
        <w:fldChar w:fldCharType="end"/>
      </w:r>
      <w:r>
        <w:t xml:space="preserve">).  </w:t>
      </w:r>
    </w:p>
    <w:p w14:paraId="1250E1D0" w14:textId="3B90751A" w:rsidR="00F22A70" w:rsidRPr="00262D6D" w:rsidRDefault="00F22A70" w:rsidP="00F22A70">
      <w:pPr>
        <w:pStyle w:val="Caption"/>
      </w:pPr>
      <w:bookmarkStart w:id="151" w:name="_Ref462845574"/>
      <w:bookmarkStart w:id="152" w:name="_Toc490481667"/>
      <w:bookmarkStart w:id="153" w:name="_Hlk489623878"/>
      <w:r w:rsidRPr="00262D6D">
        <w:t>Table </w:t>
      </w:r>
      <w:r w:rsidR="00644B63">
        <w:fldChar w:fldCharType="begin"/>
      </w:r>
      <w:r w:rsidR="00644B63">
        <w:instrText xml:space="preserve"> STYLEREF 1 \s </w:instrText>
      </w:r>
      <w:r w:rsidR="00644B63">
        <w:fldChar w:fldCharType="separate"/>
      </w:r>
      <w:r w:rsidR="00487073">
        <w:rPr>
          <w:noProof/>
        </w:rPr>
        <w:t>6</w:t>
      </w:r>
      <w:r w:rsidR="00644B63">
        <w:fldChar w:fldCharType="end"/>
      </w:r>
      <w:r w:rsidR="00644B63">
        <w:noBreakHyphen/>
      </w:r>
      <w:r w:rsidR="00644B63">
        <w:fldChar w:fldCharType="begin"/>
      </w:r>
      <w:r w:rsidR="00644B63">
        <w:instrText xml:space="preserve"> SEQ Table \* ARABIC \s 1 </w:instrText>
      </w:r>
      <w:r w:rsidR="00644B63">
        <w:fldChar w:fldCharType="separate"/>
      </w:r>
      <w:r w:rsidR="00487073">
        <w:rPr>
          <w:noProof/>
        </w:rPr>
        <w:t>2</w:t>
      </w:r>
      <w:r w:rsidR="00644B63">
        <w:fldChar w:fldCharType="end"/>
      </w:r>
      <w:bookmarkEnd w:id="151"/>
      <w:r w:rsidRPr="00262D6D">
        <w:t>:</w:t>
      </w:r>
      <w:r w:rsidRPr="00262D6D">
        <w:tab/>
        <w:t>Reasons for not using the website</w:t>
      </w:r>
      <w:bookmarkEnd w:id="152"/>
    </w:p>
    <w:tbl>
      <w:tblPr>
        <w:tblStyle w:val="TableGrid2"/>
        <w:tblW w:w="9362" w:type="dxa"/>
        <w:tblInd w:w="108"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Description w:val="Table 6 2: Reasons for not using the website"/>
      </w:tblPr>
      <w:tblGrid>
        <w:gridCol w:w="1992"/>
        <w:gridCol w:w="567"/>
        <w:gridCol w:w="907"/>
        <w:gridCol w:w="567"/>
        <w:gridCol w:w="907"/>
        <w:gridCol w:w="567"/>
        <w:gridCol w:w="907"/>
        <w:gridCol w:w="567"/>
        <w:gridCol w:w="907"/>
        <w:gridCol w:w="567"/>
        <w:gridCol w:w="907"/>
      </w:tblGrid>
      <w:tr w:rsidR="00552C07" w:rsidRPr="00136F68" w14:paraId="2DA1EDB0" w14:textId="77777777" w:rsidTr="008E7495">
        <w:trPr>
          <w:trHeight w:val="376"/>
          <w:tblHeader/>
        </w:trPr>
        <w:tc>
          <w:tcPr>
            <w:tcW w:w="1992" w:type="dxa"/>
            <w:vMerge w:val="restart"/>
            <w:shd w:val="clear" w:color="auto" w:fill="0079C1" w:themeFill="text2"/>
            <w:vAlign w:val="center"/>
          </w:tcPr>
          <w:p w14:paraId="43F3A21C" w14:textId="77777777" w:rsidR="00552C07" w:rsidRPr="00400687" w:rsidRDefault="00552C07" w:rsidP="00136F68">
            <w:pPr>
              <w:pStyle w:val="TableHeading1"/>
              <w:rPr>
                <w:sz w:val="20"/>
              </w:rPr>
            </w:pPr>
            <w:r w:rsidRPr="00400687">
              <w:rPr>
                <w:sz w:val="20"/>
              </w:rPr>
              <w:t>Reason</w:t>
            </w:r>
          </w:p>
        </w:tc>
        <w:tc>
          <w:tcPr>
            <w:tcW w:w="2948" w:type="dxa"/>
            <w:gridSpan w:val="4"/>
            <w:shd w:val="clear" w:color="auto" w:fill="0079C1" w:themeFill="text2"/>
            <w:vAlign w:val="center"/>
          </w:tcPr>
          <w:p w14:paraId="749ED2D4" w14:textId="77777777" w:rsidR="00552C07" w:rsidRPr="00400687" w:rsidRDefault="00552C07" w:rsidP="00136F68">
            <w:pPr>
              <w:pStyle w:val="TableHeading1Centred"/>
              <w:rPr>
                <w:sz w:val="20"/>
              </w:rPr>
            </w:pPr>
            <w:r w:rsidRPr="00400687">
              <w:rPr>
                <w:sz w:val="20"/>
              </w:rPr>
              <w:t>Wanting to adopt</w:t>
            </w:r>
          </w:p>
        </w:tc>
        <w:tc>
          <w:tcPr>
            <w:tcW w:w="1474" w:type="dxa"/>
            <w:gridSpan w:val="2"/>
            <w:vMerge w:val="restart"/>
            <w:shd w:val="clear" w:color="auto" w:fill="0079C1" w:themeFill="text2"/>
            <w:vAlign w:val="center"/>
          </w:tcPr>
          <w:p w14:paraId="0C0AF3DF" w14:textId="77777777" w:rsidR="00552C07" w:rsidRPr="00400687" w:rsidRDefault="00552C07" w:rsidP="00136F68">
            <w:pPr>
              <w:pStyle w:val="TableHeading1Centred"/>
              <w:rPr>
                <w:sz w:val="20"/>
              </w:rPr>
            </w:pPr>
            <w:r w:rsidRPr="00400687">
              <w:rPr>
                <w:sz w:val="20"/>
              </w:rPr>
              <w:t>Post adoption</w:t>
            </w:r>
          </w:p>
        </w:tc>
        <w:tc>
          <w:tcPr>
            <w:tcW w:w="1474" w:type="dxa"/>
            <w:gridSpan w:val="2"/>
            <w:vMerge w:val="restart"/>
            <w:shd w:val="clear" w:color="auto" w:fill="0079C1" w:themeFill="text2"/>
            <w:vAlign w:val="center"/>
          </w:tcPr>
          <w:p w14:paraId="1B3A7839" w14:textId="77777777" w:rsidR="00552C07" w:rsidRPr="00400687" w:rsidRDefault="00552C07" w:rsidP="00136F68">
            <w:pPr>
              <w:pStyle w:val="TableHeading1Centred"/>
              <w:rPr>
                <w:sz w:val="20"/>
              </w:rPr>
            </w:pPr>
            <w:r w:rsidRPr="00400687">
              <w:rPr>
                <w:sz w:val="20"/>
              </w:rPr>
              <w:t>Did not continue</w:t>
            </w:r>
          </w:p>
        </w:tc>
        <w:tc>
          <w:tcPr>
            <w:tcW w:w="1474" w:type="dxa"/>
            <w:gridSpan w:val="2"/>
            <w:vMerge w:val="restart"/>
            <w:shd w:val="clear" w:color="auto" w:fill="0079C1" w:themeFill="text2"/>
            <w:vAlign w:val="center"/>
          </w:tcPr>
          <w:p w14:paraId="2D22DDC1" w14:textId="77777777" w:rsidR="00552C07" w:rsidRPr="00400687" w:rsidRDefault="00552C07" w:rsidP="00136F68">
            <w:pPr>
              <w:pStyle w:val="TableHeading1Centred"/>
              <w:rPr>
                <w:sz w:val="20"/>
              </w:rPr>
            </w:pPr>
            <w:r w:rsidRPr="00400687">
              <w:rPr>
                <w:sz w:val="20"/>
              </w:rPr>
              <w:t>Total</w:t>
            </w:r>
          </w:p>
        </w:tc>
      </w:tr>
      <w:tr w:rsidR="00552C07" w:rsidRPr="00136F68" w14:paraId="79A8C98F" w14:textId="77777777" w:rsidTr="008E7495">
        <w:trPr>
          <w:trHeight w:val="375"/>
          <w:tblHeader/>
        </w:trPr>
        <w:tc>
          <w:tcPr>
            <w:tcW w:w="1992" w:type="dxa"/>
            <w:vMerge/>
            <w:shd w:val="clear" w:color="auto" w:fill="0079C1" w:themeFill="text2"/>
            <w:vAlign w:val="center"/>
          </w:tcPr>
          <w:p w14:paraId="382831BC" w14:textId="77777777" w:rsidR="00552C07" w:rsidRPr="00400687" w:rsidRDefault="00552C07" w:rsidP="00136F68">
            <w:pPr>
              <w:pStyle w:val="TableHeading1Centred"/>
              <w:rPr>
                <w:sz w:val="20"/>
              </w:rPr>
            </w:pPr>
          </w:p>
        </w:tc>
        <w:tc>
          <w:tcPr>
            <w:tcW w:w="1474" w:type="dxa"/>
            <w:gridSpan w:val="2"/>
            <w:shd w:val="clear" w:color="auto" w:fill="0079C1" w:themeFill="text2"/>
            <w:vAlign w:val="center"/>
          </w:tcPr>
          <w:p w14:paraId="7908C6FF" w14:textId="77777777" w:rsidR="00552C07" w:rsidRPr="00400687" w:rsidDel="004B47C6" w:rsidRDefault="00552C07" w:rsidP="00136F68">
            <w:pPr>
              <w:pStyle w:val="TableHeading1Centred"/>
              <w:rPr>
                <w:sz w:val="20"/>
              </w:rPr>
            </w:pPr>
            <w:r w:rsidRPr="00400687">
              <w:rPr>
                <w:sz w:val="20"/>
              </w:rPr>
              <w:t>First time</w:t>
            </w:r>
          </w:p>
        </w:tc>
        <w:tc>
          <w:tcPr>
            <w:tcW w:w="1474" w:type="dxa"/>
            <w:gridSpan w:val="2"/>
            <w:shd w:val="clear" w:color="auto" w:fill="0079C1" w:themeFill="text2"/>
            <w:vAlign w:val="center"/>
          </w:tcPr>
          <w:p w14:paraId="60C70C56" w14:textId="77777777" w:rsidR="00552C07" w:rsidRPr="00400687" w:rsidRDefault="00552C07" w:rsidP="00136F68">
            <w:pPr>
              <w:pStyle w:val="TableHeading1Centred"/>
              <w:rPr>
                <w:sz w:val="20"/>
              </w:rPr>
            </w:pPr>
            <w:r w:rsidRPr="00400687">
              <w:rPr>
                <w:sz w:val="20"/>
              </w:rPr>
              <w:t>Repeat</w:t>
            </w:r>
          </w:p>
        </w:tc>
        <w:tc>
          <w:tcPr>
            <w:tcW w:w="1474" w:type="dxa"/>
            <w:gridSpan w:val="2"/>
            <w:vMerge/>
            <w:shd w:val="clear" w:color="auto" w:fill="0079C1" w:themeFill="text2"/>
            <w:vAlign w:val="center"/>
          </w:tcPr>
          <w:p w14:paraId="4F312811" w14:textId="77777777" w:rsidR="00552C07" w:rsidRPr="00400687" w:rsidRDefault="00552C07" w:rsidP="00136F68">
            <w:pPr>
              <w:pStyle w:val="TableHeading1Centred"/>
              <w:rPr>
                <w:sz w:val="20"/>
              </w:rPr>
            </w:pPr>
          </w:p>
        </w:tc>
        <w:tc>
          <w:tcPr>
            <w:tcW w:w="1474" w:type="dxa"/>
            <w:gridSpan w:val="2"/>
            <w:vMerge/>
            <w:shd w:val="clear" w:color="auto" w:fill="0079C1" w:themeFill="text2"/>
            <w:vAlign w:val="center"/>
          </w:tcPr>
          <w:p w14:paraId="2BDAF270" w14:textId="77777777" w:rsidR="00552C07" w:rsidRPr="00400687" w:rsidRDefault="00552C07" w:rsidP="00136F68">
            <w:pPr>
              <w:pStyle w:val="TableHeading1Centred"/>
              <w:rPr>
                <w:sz w:val="20"/>
              </w:rPr>
            </w:pPr>
          </w:p>
        </w:tc>
        <w:tc>
          <w:tcPr>
            <w:tcW w:w="1474" w:type="dxa"/>
            <w:gridSpan w:val="2"/>
            <w:vMerge/>
            <w:shd w:val="clear" w:color="auto" w:fill="0079C1" w:themeFill="text2"/>
            <w:vAlign w:val="center"/>
          </w:tcPr>
          <w:p w14:paraId="09937980" w14:textId="77777777" w:rsidR="00552C07" w:rsidRPr="00400687" w:rsidRDefault="00552C07" w:rsidP="00136F68">
            <w:pPr>
              <w:pStyle w:val="TableHeading1Centred"/>
              <w:rPr>
                <w:sz w:val="20"/>
              </w:rPr>
            </w:pPr>
          </w:p>
        </w:tc>
      </w:tr>
      <w:tr w:rsidR="00BF2389" w:rsidRPr="00136F68" w14:paraId="61550151" w14:textId="77777777" w:rsidTr="008E7495">
        <w:trPr>
          <w:tblHeader/>
        </w:trPr>
        <w:tc>
          <w:tcPr>
            <w:tcW w:w="1992" w:type="dxa"/>
            <w:vMerge/>
            <w:shd w:val="clear" w:color="auto" w:fill="0079C1" w:themeFill="text2"/>
            <w:vAlign w:val="center"/>
          </w:tcPr>
          <w:p w14:paraId="5B497DA4" w14:textId="77777777" w:rsidR="00F22A70" w:rsidRPr="00400687" w:rsidRDefault="00F22A70" w:rsidP="00136F68">
            <w:pPr>
              <w:pStyle w:val="TableHeading1Centred"/>
              <w:rPr>
                <w:sz w:val="20"/>
              </w:rPr>
            </w:pPr>
          </w:p>
        </w:tc>
        <w:tc>
          <w:tcPr>
            <w:tcW w:w="567" w:type="dxa"/>
            <w:shd w:val="clear" w:color="auto" w:fill="0079C1" w:themeFill="text2"/>
            <w:vAlign w:val="center"/>
          </w:tcPr>
          <w:p w14:paraId="2D65DED0" w14:textId="77777777" w:rsidR="00F22A70" w:rsidRPr="00400687" w:rsidRDefault="00F22A70" w:rsidP="00136F68">
            <w:pPr>
              <w:pStyle w:val="TableHeading1Centred"/>
              <w:rPr>
                <w:sz w:val="20"/>
              </w:rPr>
            </w:pPr>
            <w:r w:rsidRPr="00400687">
              <w:rPr>
                <w:sz w:val="20"/>
              </w:rPr>
              <w:t>n</w:t>
            </w:r>
          </w:p>
        </w:tc>
        <w:tc>
          <w:tcPr>
            <w:tcW w:w="907" w:type="dxa"/>
            <w:shd w:val="clear" w:color="auto" w:fill="0079C1" w:themeFill="text2"/>
            <w:vAlign w:val="center"/>
          </w:tcPr>
          <w:p w14:paraId="38218A0F" w14:textId="77777777" w:rsidR="00F22A70" w:rsidRPr="00400687" w:rsidRDefault="00F22A70" w:rsidP="00136F68">
            <w:pPr>
              <w:pStyle w:val="TableHeading1Centred"/>
              <w:rPr>
                <w:sz w:val="20"/>
              </w:rPr>
            </w:pPr>
            <w:r w:rsidRPr="00400687">
              <w:rPr>
                <w:sz w:val="20"/>
              </w:rPr>
              <w:t>%</w:t>
            </w:r>
          </w:p>
        </w:tc>
        <w:tc>
          <w:tcPr>
            <w:tcW w:w="567" w:type="dxa"/>
            <w:shd w:val="clear" w:color="auto" w:fill="0079C1" w:themeFill="text2"/>
            <w:vAlign w:val="center"/>
          </w:tcPr>
          <w:p w14:paraId="79BA39A3" w14:textId="77777777" w:rsidR="00F22A70" w:rsidRPr="00400687" w:rsidRDefault="00F22A70" w:rsidP="00136F68">
            <w:pPr>
              <w:pStyle w:val="TableHeading1Centred"/>
              <w:rPr>
                <w:sz w:val="20"/>
              </w:rPr>
            </w:pPr>
            <w:r w:rsidRPr="00400687">
              <w:rPr>
                <w:sz w:val="20"/>
              </w:rPr>
              <w:t>n</w:t>
            </w:r>
          </w:p>
        </w:tc>
        <w:tc>
          <w:tcPr>
            <w:tcW w:w="907" w:type="dxa"/>
            <w:shd w:val="clear" w:color="auto" w:fill="0079C1" w:themeFill="text2"/>
            <w:vAlign w:val="center"/>
          </w:tcPr>
          <w:p w14:paraId="78421A66" w14:textId="77777777" w:rsidR="00F22A70" w:rsidRPr="00400687" w:rsidRDefault="00F22A70" w:rsidP="00136F68">
            <w:pPr>
              <w:pStyle w:val="TableHeading1Centred"/>
              <w:rPr>
                <w:sz w:val="20"/>
              </w:rPr>
            </w:pPr>
            <w:r w:rsidRPr="00400687">
              <w:rPr>
                <w:sz w:val="20"/>
              </w:rPr>
              <w:t>%</w:t>
            </w:r>
          </w:p>
        </w:tc>
        <w:tc>
          <w:tcPr>
            <w:tcW w:w="567" w:type="dxa"/>
            <w:shd w:val="clear" w:color="auto" w:fill="0079C1" w:themeFill="text2"/>
            <w:vAlign w:val="center"/>
          </w:tcPr>
          <w:p w14:paraId="1AFBA262" w14:textId="77777777" w:rsidR="00F22A70" w:rsidRPr="00400687" w:rsidRDefault="00F22A70" w:rsidP="00136F68">
            <w:pPr>
              <w:pStyle w:val="TableHeading1Centred"/>
              <w:rPr>
                <w:sz w:val="20"/>
              </w:rPr>
            </w:pPr>
            <w:r w:rsidRPr="00400687">
              <w:rPr>
                <w:sz w:val="20"/>
              </w:rPr>
              <w:t>n</w:t>
            </w:r>
          </w:p>
        </w:tc>
        <w:tc>
          <w:tcPr>
            <w:tcW w:w="907" w:type="dxa"/>
            <w:shd w:val="clear" w:color="auto" w:fill="0079C1" w:themeFill="text2"/>
            <w:vAlign w:val="center"/>
          </w:tcPr>
          <w:p w14:paraId="42914FA9" w14:textId="77777777" w:rsidR="00F22A70" w:rsidRPr="00400687" w:rsidRDefault="00F22A70" w:rsidP="00136F68">
            <w:pPr>
              <w:pStyle w:val="TableHeading1Centred"/>
              <w:rPr>
                <w:sz w:val="20"/>
              </w:rPr>
            </w:pPr>
            <w:r w:rsidRPr="00400687">
              <w:rPr>
                <w:sz w:val="20"/>
              </w:rPr>
              <w:t>%</w:t>
            </w:r>
          </w:p>
        </w:tc>
        <w:tc>
          <w:tcPr>
            <w:tcW w:w="567" w:type="dxa"/>
            <w:shd w:val="clear" w:color="auto" w:fill="0079C1" w:themeFill="text2"/>
            <w:vAlign w:val="center"/>
          </w:tcPr>
          <w:p w14:paraId="5BA9D9DD" w14:textId="77777777" w:rsidR="00F22A70" w:rsidRPr="00400687" w:rsidRDefault="00F22A70" w:rsidP="00136F68">
            <w:pPr>
              <w:pStyle w:val="TableHeading1Centred"/>
              <w:rPr>
                <w:sz w:val="20"/>
              </w:rPr>
            </w:pPr>
            <w:r w:rsidRPr="00400687">
              <w:rPr>
                <w:sz w:val="20"/>
              </w:rPr>
              <w:t>n</w:t>
            </w:r>
          </w:p>
        </w:tc>
        <w:tc>
          <w:tcPr>
            <w:tcW w:w="907" w:type="dxa"/>
            <w:shd w:val="clear" w:color="auto" w:fill="0079C1" w:themeFill="text2"/>
            <w:vAlign w:val="center"/>
          </w:tcPr>
          <w:p w14:paraId="1E17DA77" w14:textId="77777777" w:rsidR="00F22A70" w:rsidRPr="00400687" w:rsidRDefault="00F22A70" w:rsidP="00136F68">
            <w:pPr>
              <w:pStyle w:val="TableHeading1Centred"/>
              <w:rPr>
                <w:sz w:val="20"/>
              </w:rPr>
            </w:pPr>
            <w:r w:rsidRPr="00400687">
              <w:rPr>
                <w:sz w:val="20"/>
              </w:rPr>
              <w:t>%</w:t>
            </w:r>
          </w:p>
        </w:tc>
        <w:tc>
          <w:tcPr>
            <w:tcW w:w="567" w:type="dxa"/>
            <w:shd w:val="clear" w:color="auto" w:fill="0079C1" w:themeFill="text2"/>
            <w:vAlign w:val="center"/>
          </w:tcPr>
          <w:p w14:paraId="1424BF48" w14:textId="77777777" w:rsidR="00F22A70" w:rsidRPr="00400687" w:rsidRDefault="00F22A70" w:rsidP="00136F68">
            <w:pPr>
              <w:pStyle w:val="TableHeading1Centred"/>
              <w:rPr>
                <w:sz w:val="20"/>
              </w:rPr>
            </w:pPr>
            <w:r w:rsidRPr="00400687">
              <w:rPr>
                <w:sz w:val="20"/>
              </w:rPr>
              <w:t>n</w:t>
            </w:r>
          </w:p>
        </w:tc>
        <w:tc>
          <w:tcPr>
            <w:tcW w:w="907" w:type="dxa"/>
            <w:shd w:val="clear" w:color="auto" w:fill="0079C1" w:themeFill="text2"/>
            <w:vAlign w:val="center"/>
          </w:tcPr>
          <w:p w14:paraId="60CADB89" w14:textId="77777777" w:rsidR="00F22A70" w:rsidRPr="00400687" w:rsidRDefault="00F22A70" w:rsidP="00136F68">
            <w:pPr>
              <w:pStyle w:val="TableHeading1Centred"/>
              <w:rPr>
                <w:sz w:val="20"/>
              </w:rPr>
            </w:pPr>
            <w:r w:rsidRPr="00400687">
              <w:rPr>
                <w:sz w:val="20"/>
              </w:rPr>
              <w:t>%</w:t>
            </w:r>
          </w:p>
        </w:tc>
      </w:tr>
      <w:tr w:rsidR="00BF2389" w:rsidRPr="00136F68" w14:paraId="3351D0D8" w14:textId="77777777" w:rsidTr="00400687">
        <w:tc>
          <w:tcPr>
            <w:tcW w:w="1992" w:type="dxa"/>
            <w:tcBorders>
              <w:right w:val="single" w:sz="4" w:space="0" w:color="0079C1"/>
            </w:tcBorders>
            <w:vAlign w:val="center"/>
          </w:tcPr>
          <w:p w14:paraId="15206582" w14:textId="77777777" w:rsidR="00F22A70" w:rsidRPr="00400687" w:rsidRDefault="00F22A70" w:rsidP="00136F68">
            <w:pPr>
              <w:pStyle w:val="TableText"/>
              <w:rPr>
                <w:sz w:val="20"/>
                <w:szCs w:val="20"/>
              </w:rPr>
            </w:pPr>
            <w:r w:rsidRPr="00400687">
              <w:rPr>
                <w:sz w:val="20"/>
                <w:szCs w:val="20"/>
              </w:rPr>
              <w:t>I contacted my STCA directly</w:t>
            </w:r>
          </w:p>
        </w:tc>
        <w:tc>
          <w:tcPr>
            <w:tcW w:w="567" w:type="dxa"/>
            <w:tcBorders>
              <w:left w:val="single" w:sz="4" w:space="0" w:color="0079C1"/>
            </w:tcBorders>
            <w:vAlign w:val="center"/>
          </w:tcPr>
          <w:p w14:paraId="16E2E0FB" w14:textId="77777777" w:rsidR="00F22A70" w:rsidRPr="00400687" w:rsidRDefault="00F22A70" w:rsidP="00136F68">
            <w:pPr>
              <w:pStyle w:val="TableTextCentred"/>
              <w:rPr>
                <w:sz w:val="20"/>
                <w:szCs w:val="20"/>
              </w:rPr>
            </w:pPr>
            <w:r w:rsidRPr="00400687">
              <w:rPr>
                <w:sz w:val="20"/>
                <w:szCs w:val="20"/>
              </w:rPr>
              <w:t>1</w:t>
            </w:r>
          </w:p>
        </w:tc>
        <w:tc>
          <w:tcPr>
            <w:tcW w:w="907" w:type="dxa"/>
            <w:tcBorders>
              <w:right w:val="single" w:sz="4" w:space="0" w:color="0079C1"/>
            </w:tcBorders>
            <w:vAlign w:val="center"/>
          </w:tcPr>
          <w:p w14:paraId="18DDABDE" w14:textId="77777777" w:rsidR="00F22A70" w:rsidRPr="00400687" w:rsidRDefault="00F22A70" w:rsidP="00136F68">
            <w:pPr>
              <w:pStyle w:val="TableTextCentred"/>
              <w:rPr>
                <w:sz w:val="20"/>
                <w:szCs w:val="20"/>
              </w:rPr>
            </w:pPr>
            <w:r w:rsidRPr="00400687">
              <w:rPr>
                <w:sz w:val="20"/>
                <w:szCs w:val="20"/>
              </w:rPr>
              <w:t>0.9%</w:t>
            </w:r>
          </w:p>
        </w:tc>
        <w:tc>
          <w:tcPr>
            <w:tcW w:w="567" w:type="dxa"/>
            <w:tcBorders>
              <w:left w:val="single" w:sz="4" w:space="0" w:color="0079C1"/>
            </w:tcBorders>
            <w:vAlign w:val="center"/>
          </w:tcPr>
          <w:p w14:paraId="0B171D59" w14:textId="77777777" w:rsidR="00F22A70" w:rsidRPr="00400687" w:rsidRDefault="00F22A70" w:rsidP="00136F68">
            <w:pPr>
              <w:pStyle w:val="TableTextCentred"/>
              <w:rPr>
                <w:sz w:val="20"/>
                <w:szCs w:val="20"/>
              </w:rPr>
            </w:pPr>
            <w:r w:rsidRPr="00400687">
              <w:rPr>
                <w:sz w:val="20"/>
                <w:szCs w:val="20"/>
              </w:rPr>
              <w:t>4</w:t>
            </w:r>
          </w:p>
        </w:tc>
        <w:tc>
          <w:tcPr>
            <w:tcW w:w="907" w:type="dxa"/>
            <w:tcBorders>
              <w:right w:val="single" w:sz="4" w:space="0" w:color="0079C1"/>
            </w:tcBorders>
            <w:vAlign w:val="center"/>
          </w:tcPr>
          <w:p w14:paraId="10CD8D91" w14:textId="77777777" w:rsidR="00F22A70" w:rsidRPr="00400687" w:rsidRDefault="00F22A70" w:rsidP="00136F68">
            <w:pPr>
              <w:pStyle w:val="TableTextCentred"/>
              <w:rPr>
                <w:sz w:val="20"/>
                <w:szCs w:val="20"/>
              </w:rPr>
            </w:pPr>
            <w:r w:rsidRPr="00400687">
              <w:rPr>
                <w:sz w:val="20"/>
                <w:szCs w:val="20"/>
              </w:rPr>
              <w:t>21.1%</w:t>
            </w:r>
          </w:p>
        </w:tc>
        <w:tc>
          <w:tcPr>
            <w:tcW w:w="567" w:type="dxa"/>
            <w:tcBorders>
              <w:left w:val="single" w:sz="4" w:space="0" w:color="0079C1"/>
            </w:tcBorders>
            <w:vAlign w:val="center"/>
          </w:tcPr>
          <w:p w14:paraId="38BCA9ED" w14:textId="77777777" w:rsidR="00F22A70" w:rsidRPr="00400687" w:rsidRDefault="00F22A70" w:rsidP="00136F68">
            <w:pPr>
              <w:pStyle w:val="TableTextCentred"/>
              <w:rPr>
                <w:sz w:val="20"/>
                <w:szCs w:val="20"/>
              </w:rPr>
            </w:pPr>
            <w:r w:rsidRPr="00400687">
              <w:rPr>
                <w:sz w:val="20"/>
                <w:szCs w:val="20"/>
              </w:rPr>
              <w:t>4</w:t>
            </w:r>
          </w:p>
        </w:tc>
        <w:tc>
          <w:tcPr>
            <w:tcW w:w="907" w:type="dxa"/>
            <w:tcBorders>
              <w:right w:val="single" w:sz="4" w:space="0" w:color="0079C1"/>
            </w:tcBorders>
            <w:vAlign w:val="center"/>
          </w:tcPr>
          <w:p w14:paraId="38CFB00E" w14:textId="77777777" w:rsidR="00F22A70" w:rsidRPr="00400687" w:rsidRDefault="00F22A70" w:rsidP="00136F68">
            <w:pPr>
              <w:pStyle w:val="TableTextCentred"/>
              <w:rPr>
                <w:sz w:val="20"/>
                <w:szCs w:val="20"/>
              </w:rPr>
            </w:pPr>
            <w:r w:rsidRPr="00400687">
              <w:rPr>
                <w:sz w:val="20"/>
                <w:szCs w:val="20"/>
              </w:rPr>
              <w:t>5.5%</w:t>
            </w:r>
          </w:p>
        </w:tc>
        <w:tc>
          <w:tcPr>
            <w:tcW w:w="567" w:type="dxa"/>
            <w:tcBorders>
              <w:left w:val="single" w:sz="4" w:space="0" w:color="0079C1"/>
            </w:tcBorders>
            <w:vAlign w:val="center"/>
          </w:tcPr>
          <w:p w14:paraId="12A1E374" w14:textId="77777777" w:rsidR="00F22A70" w:rsidRPr="00400687" w:rsidRDefault="00F22A70" w:rsidP="00136F68">
            <w:pPr>
              <w:pStyle w:val="TableTextCentred"/>
              <w:rPr>
                <w:sz w:val="20"/>
                <w:szCs w:val="20"/>
              </w:rPr>
            </w:pPr>
            <w:r w:rsidRPr="00400687">
              <w:rPr>
                <w:sz w:val="20"/>
                <w:szCs w:val="20"/>
              </w:rPr>
              <w:t>-</w:t>
            </w:r>
          </w:p>
        </w:tc>
        <w:tc>
          <w:tcPr>
            <w:tcW w:w="907" w:type="dxa"/>
            <w:tcBorders>
              <w:right w:val="single" w:sz="4" w:space="0" w:color="0079C1"/>
            </w:tcBorders>
            <w:vAlign w:val="center"/>
          </w:tcPr>
          <w:p w14:paraId="679F8EDD" w14:textId="77777777" w:rsidR="00F22A70" w:rsidRPr="00400687" w:rsidRDefault="00F22A70" w:rsidP="00136F68">
            <w:pPr>
              <w:pStyle w:val="TableTextCentred"/>
              <w:rPr>
                <w:sz w:val="20"/>
                <w:szCs w:val="20"/>
              </w:rPr>
            </w:pPr>
            <w:r w:rsidRPr="00400687">
              <w:rPr>
                <w:sz w:val="20"/>
                <w:szCs w:val="20"/>
              </w:rPr>
              <w:t>-</w:t>
            </w:r>
          </w:p>
        </w:tc>
        <w:tc>
          <w:tcPr>
            <w:tcW w:w="567" w:type="dxa"/>
            <w:tcBorders>
              <w:left w:val="single" w:sz="4" w:space="0" w:color="0079C1"/>
            </w:tcBorders>
            <w:vAlign w:val="center"/>
          </w:tcPr>
          <w:p w14:paraId="6F389730" w14:textId="77777777" w:rsidR="00F22A70" w:rsidRPr="00400687" w:rsidRDefault="00F22A70" w:rsidP="00136F68">
            <w:pPr>
              <w:pStyle w:val="TableTextCentred"/>
              <w:rPr>
                <w:rStyle w:val="Bold"/>
                <w:sz w:val="20"/>
                <w:szCs w:val="20"/>
              </w:rPr>
            </w:pPr>
            <w:r w:rsidRPr="00400687">
              <w:rPr>
                <w:rStyle w:val="Bold"/>
                <w:sz w:val="20"/>
                <w:szCs w:val="20"/>
              </w:rPr>
              <w:t>9</w:t>
            </w:r>
          </w:p>
        </w:tc>
        <w:tc>
          <w:tcPr>
            <w:tcW w:w="907" w:type="dxa"/>
            <w:vAlign w:val="center"/>
          </w:tcPr>
          <w:p w14:paraId="690D03A5" w14:textId="77777777" w:rsidR="00F22A70" w:rsidRPr="00400687" w:rsidRDefault="00F22A70" w:rsidP="00136F68">
            <w:pPr>
              <w:pStyle w:val="TableTextCentred"/>
              <w:rPr>
                <w:rStyle w:val="Bold"/>
                <w:sz w:val="20"/>
                <w:szCs w:val="20"/>
              </w:rPr>
            </w:pPr>
            <w:r w:rsidRPr="00400687">
              <w:rPr>
                <w:rStyle w:val="Bold"/>
                <w:sz w:val="20"/>
                <w:szCs w:val="20"/>
              </w:rPr>
              <w:t>4.1%</w:t>
            </w:r>
          </w:p>
        </w:tc>
      </w:tr>
      <w:tr w:rsidR="00BF2389" w:rsidRPr="00136F68" w14:paraId="612C4C9A" w14:textId="77777777" w:rsidTr="00400687">
        <w:tc>
          <w:tcPr>
            <w:tcW w:w="1992" w:type="dxa"/>
            <w:tcBorders>
              <w:right w:val="single" w:sz="4" w:space="0" w:color="0079C1"/>
            </w:tcBorders>
            <w:vAlign w:val="center"/>
          </w:tcPr>
          <w:p w14:paraId="64C5CAA1" w14:textId="77777777" w:rsidR="00F22A70" w:rsidRPr="00400687" w:rsidRDefault="00F22A70" w:rsidP="00136F68">
            <w:pPr>
              <w:pStyle w:val="TableText"/>
              <w:rPr>
                <w:sz w:val="20"/>
                <w:szCs w:val="20"/>
              </w:rPr>
            </w:pPr>
            <w:r w:rsidRPr="00400687">
              <w:rPr>
                <w:sz w:val="20"/>
                <w:szCs w:val="20"/>
              </w:rPr>
              <w:t>I did not know about it</w:t>
            </w:r>
          </w:p>
        </w:tc>
        <w:tc>
          <w:tcPr>
            <w:tcW w:w="567" w:type="dxa"/>
            <w:tcBorders>
              <w:left w:val="single" w:sz="4" w:space="0" w:color="0079C1"/>
            </w:tcBorders>
            <w:vAlign w:val="center"/>
          </w:tcPr>
          <w:p w14:paraId="12FB6C5D" w14:textId="77777777" w:rsidR="00F22A70" w:rsidRPr="00400687" w:rsidRDefault="00F22A70" w:rsidP="00136F68">
            <w:pPr>
              <w:pStyle w:val="TableTextCentred"/>
              <w:rPr>
                <w:sz w:val="20"/>
                <w:szCs w:val="20"/>
              </w:rPr>
            </w:pPr>
            <w:r w:rsidRPr="00400687">
              <w:rPr>
                <w:sz w:val="20"/>
                <w:szCs w:val="20"/>
              </w:rPr>
              <w:t>16</w:t>
            </w:r>
          </w:p>
        </w:tc>
        <w:tc>
          <w:tcPr>
            <w:tcW w:w="907" w:type="dxa"/>
            <w:tcBorders>
              <w:right w:val="single" w:sz="4" w:space="0" w:color="0079C1"/>
            </w:tcBorders>
            <w:vAlign w:val="center"/>
          </w:tcPr>
          <w:p w14:paraId="5278F883" w14:textId="77777777" w:rsidR="00F22A70" w:rsidRPr="00400687" w:rsidRDefault="00F22A70" w:rsidP="00136F68">
            <w:pPr>
              <w:pStyle w:val="TableTextCentred"/>
              <w:rPr>
                <w:sz w:val="20"/>
                <w:szCs w:val="20"/>
              </w:rPr>
            </w:pPr>
            <w:r w:rsidRPr="00400687">
              <w:rPr>
                <w:sz w:val="20"/>
                <w:szCs w:val="20"/>
              </w:rPr>
              <w:t>14.8%</w:t>
            </w:r>
          </w:p>
        </w:tc>
        <w:tc>
          <w:tcPr>
            <w:tcW w:w="567" w:type="dxa"/>
            <w:tcBorders>
              <w:left w:val="single" w:sz="4" w:space="0" w:color="0079C1"/>
            </w:tcBorders>
            <w:vAlign w:val="center"/>
          </w:tcPr>
          <w:p w14:paraId="05E2936F" w14:textId="77777777" w:rsidR="00F22A70" w:rsidRPr="00400687" w:rsidRDefault="00F22A70" w:rsidP="00136F68">
            <w:pPr>
              <w:pStyle w:val="TableTextCentred"/>
              <w:rPr>
                <w:sz w:val="20"/>
                <w:szCs w:val="20"/>
              </w:rPr>
            </w:pPr>
            <w:r w:rsidRPr="00400687">
              <w:rPr>
                <w:sz w:val="20"/>
                <w:szCs w:val="20"/>
              </w:rPr>
              <w:t>3</w:t>
            </w:r>
          </w:p>
        </w:tc>
        <w:tc>
          <w:tcPr>
            <w:tcW w:w="907" w:type="dxa"/>
            <w:tcBorders>
              <w:right w:val="single" w:sz="4" w:space="0" w:color="0079C1"/>
            </w:tcBorders>
            <w:vAlign w:val="center"/>
          </w:tcPr>
          <w:p w14:paraId="603EB4A2" w14:textId="77777777" w:rsidR="00F22A70" w:rsidRPr="00400687" w:rsidRDefault="00F22A70" w:rsidP="00136F68">
            <w:pPr>
              <w:pStyle w:val="TableTextCentred"/>
              <w:rPr>
                <w:sz w:val="20"/>
                <w:szCs w:val="20"/>
              </w:rPr>
            </w:pPr>
            <w:r w:rsidRPr="00400687">
              <w:rPr>
                <w:sz w:val="20"/>
                <w:szCs w:val="20"/>
              </w:rPr>
              <w:t>15.8%</w:t>
            </w:r>
          </w:p>
        </w:tc>
        <w:tc>
          <w:tcPr>
            <w:tcW w:w="567" w:type="dxa"/>
            <w:tcBorders>
              <w:left w:val="single" w:sz="4" w:space="0" w:color="0079C1"/>
            </w:tcBorders>
            <w:vAlign w:val="center"/>
          </w:tcPr>
          <w:p w14:paraId="60A4843D" w14:textId="77777777" w:rsidR="00F22A70" w:rsidRPr="00400687" w:rsidRDefault="00F22A70" w:rsidP="00136F68">
            <w:pPr>
              <w:pStyle w:val="TableTextCentred"/>
              <w:rPr>
                <w:sz w:val="20"/>
                <w:szCs w:val="20"/>
              </w:rPr>
            </w:pPr>
            <w:r w:rsidRPr="00400687">
              <w:rPr>
                <w:sz w:val="20"/>
                <w:szCs w:val="20"/>
              </w:rPr>
              <w:t>12</w:t>
            </w:r>
          </w:p>
        </w:tc>
        <w:tc>
          <w:tcPr>
            <w:tcW w:w="907" w:type="dxa"/>
            <w:tcBorders>
              <w:right w:val="single" w:sz="4" w:space="0" w:color="0079C1"/>
            </w:tcBorders>
            <w:vAlign w:val="center"/>
          </w:tcPr>
          <w:p w14:paraId="22720CC0" w14:textId="77777777" w:rsidR="00F22A70" w:rsidRPr="00400687" w:rsidRDefault="00F22A70" w:rsidP="00136F68">
            <w:pPr>
              <w:pStyle w:val="TableTextCentred"/>
              <w:rPr>
                <w:sz w:val="20"/>
                <w:szCs w:val="20"/>
              </w:rPr>
            </w:pPr>
            <w:r w:rsidRPr="00400687">
              <w:rPr>
                <w:sz w:val="20"/>
                <w:szCs w:val="20"/>
              </w:rPr>
              <w:t>16.4%</w:t>
            </w:r>
          </w:p>
        </w:tc>
        <w:tc>
          <w:tcPr>
            <w:tcW w:w="567" w:type="dxa"/>
            <w:tcBorders>
              <w:left w:val="single" w:sz="4" w:space="0" w:color="0079C1"/>
            </w:tcBorders>
            <w:vAlign w:val="center"/>
          </w:tcPr>
          <w:p w14:paraId="0C5FED82" w14:textId="77777777" w:rsidR="00F22A70" w:rsidRPr="00400687" w:rsidRDefault="00F22A70" w:rsidP="00136F68">
            <w:pPr>
              <w:pStyle w:val="TableTextCentred"/>
              <w:rPr>
                <w:sz w:val="20"/>
                <w:szCs w:val="20"/>
              </w:rPr>
            </w:pPr>
            <w:r w:rsidRPr="00400687">
              <w:rPr>
                <w:sz w:val="20"/>
                <w:szCs w:val="20"/>
              </w:rPr>
              <w:t>1</w:t>
            </w:r>
          </w:p>
        </w:tc>
        <w:tc>
          <w:tcPr>
            <w:tcW w:w="907" w:type="dxa"/>
            <w:tcBorders>
              <w:right w:val="single" w:sz="4" w:space="0" w:color="0079C1"/>
            </w:tcBorders>
            <w:vAlign w:val="center"/>
          </w:tcPr>
          <w:p w14:paraId="572739D7" w14:textId="77777777" w:rsidR="00F22A70" w:rsidRPr="00400687" w:rsidRDefault="00F22A70" w:rsidP="00136F68">
            <w:pPr>
              <w:pStyle w:val="TableTextCentred"/>
              <w:rPr>
                <w:sz w:val="20"/>
                <w:szCs w:val="20"/>
              </w:rPr>
            </w:pPr>
            <w:r w:rsidRPr="00400687">
              <w:rPr>
                <w:sz w:val="20"/>
                <w:szCs w:val="20"/>
              </w:rPr>
              <w:t>5.0%</w:t>
            </w:r>
          </w:p>
        </w:tc>
        <w:tc>
          <w:tcPr>
            <w:tcW w:w="567" w:type="dxa"/>
            <w:tcBorders>
              <w:left w:val="single" w:sz="4" w:space="0" w:color="0079C1"/>
            </w:tcBorders>
            <w:vAlign w:val="center"/>
          </w:tcPr>
          <w:p w14:paraId="16E2CDFE" w14:textId="77777777" w:rsidR="00F22A70" w:rsidRPr="00400687" w:rsidRDefault="00F22A70" w:rsidP="00136F68">
            <w:pPr>
              <w:pStyle w:val="TableTextCentred"/>
              <w:rPr>
                <w:rStyle w:val="Bold"/>
                <w:sz w:val="20"/>
                <w:szCs w:val="20"/>
              </w:rPr>
            </w:pPr>
            <w:r w:rsidRPr="00400687">
              <w:rPr>
                <w:rStyle w:val="Bold"/>
                <w:sz w:val="20"/>
                <w:szCs w:val="20"/>
              </w:rPr>
              <w:t>32</w:t>
            </w:r>
          </w:p>
        </w:tc>
        <w:tc>
          <w:tcPr>
            <w:tcW w:w="907" w:type="dxa"/>
            <w:vAlign w:val="center"/>
          </w:tcPr>
          <w:p w14:paraId="1605376F" w14:textId="77777777" w:rsidR="00F22A70" w:rsidRPr="00400687" w:rsidRDefault="00F22A70" w:rsidP="00136F68">
            <w:pPr>
              <w:pStyle w:val="TableTextCentred"/>
              <w:rPr>
                <w:rStyle w:val="Bold"/>
                <w:sz w:val="20"/>
                <w:szCs w:val="20"/>
              </w:rPr>
            </w:pPr>
            <w:r w:rsidRPr="00400687">
              <w:rPr>
                <w:rStyle w:val="Bold"/>
                <w:sz w:val="20"/>
                <w:szCs w:val="20"/>
              </w:rPr>
              <w:t>14.5%</w:t>
            </w:r>
          </w:p>
        </w:tc>
      </w:tr>
      <w:tr w:rsidR="00BF2389" w:rsidRPr="00136F68" w14:paraId="305AB3D1" w14:textId="77777777" w:rsidTr="00400687">
        <w:tc>
          <w:tcPr>
            <w:tcW w:w="1992" w:type="dxa"/>
            <w:tcBorders>
              <w:right w:val="single" w:sz="4" w:space="0" w:color="0079C1"/>
            </w:tcBorders>
            <w:vAlign w:val="center"/>
          </w:tcPr>
          <w:p w14:paraId="7B83A162" w14:textId="42E7B6B7" w:rsidR="00F22A70" w:rsidRPr="00400687" w:rsidRDefault="00F22A70" w:rsidP="00136F68">
            <w:pPr>
              <w:pStyle w:val="TableText"/>
              <w:rPr>
                <w:sz w:val="20"/>
                <w:szCs w:val="20"/>
              </w:rPr>
            </w:pPr>
            <w:r w:rsidRPr="00400687">
              <w:rPr>
                <w:sz w:val="20"/>
                <w:szCs w:val="20"/>
              </w:rPr>
              <w:t>The service did not exist when I started the process</w:t>
            </w:r>
          </w:p>
        </w:tc>
        <w:tc>
          <w:tcPr>
            <w:tcW w:w="567" w:type="dxa"/>
            <w:tcBorders>
              <w:left w:val="single" w:sz="4" w:space="0" w:color="0079C1"/>
            </w:tcBorders>
            <w:vAlign w:val="center"/>
          </w:tcPr>
          <w:p w14:paraId="03D32CF5" w14:textId="77777777" w:rsidR="00F22A70" w:rsidRPr="00400687" w:rsidRDefault="00F22A70" w:rsidP="00136F68">
            <w:pPr>
              <w:pStyle w:val="TableTextCentred"/>
              <w:rPr>
                <w:sz w:val="20"/>
                <w:szCs w:val="20"/>
              </w:rPr>
            </w:pPr>
            <w:r w:rsidRPr="00400687">
              <w:rPr>
                <w:sz w:val="20"/>
                <w:szCs w:val="20"/>
              </w:rPr>
              <w:t>6</w:t>
            </w:r>
          </w:p>
        </w:tc>
        <w:tc>
          <w:tcPr>
            <w:tcW w:w="907" w:type="dxa"/>
            <w:tcBorders>
              <w:right w:val="single" w:sz="4" w:space="0" w:color="0079C1"/>
            </w:tcBorders>
            <w:vAlign w:val="center"/>
          </w:tcPr>
          <w:p w14:paraId="57706C53" w14:textId="77777777" w:rsidR="00F22A70" w:rsidRPr="00400687" w:rsidRDefault="00F22A70" w:rsidP="00136F68">
            <w:pPr>
              <w:pStyle w:val="TableTextCentred"/>
              <w:rPr>
                <w:sz w:val="20"/>
                <w:szCs w:val="20"/>
              </w:rPr>
            </w:pPr>
            <w:r w:rsidRPr="00400687">
              <w:rPr>
                <w:sz w:val="20"/>
                <w:szCs w:val="20"/>
              </w:rPr>
              <w:t>5.6%</w:t>
            </w:r>
          </w:p>
        </w:tc>
        <w:tc>
          <w:tcPr>
            <w:tcW w:w="567" w:type="dxa"/>
            <w:tcBorders>
              <w:left w:val="single" w:sz="4" w:space="0" w:color="0079C1"/>
            </w:tcBorders>
            <w:vAlign w:val="center"/>
          </w:tcPr>
          <w:p w14:paraId="0EF88445" w14:textId="77777777" w:rsidR="00F22A70" w:rsidRPr="00400687" w:rsidRDefault="00F22A70" w:rsidP="00136F68">
            <w:pPr>
              <w:pStyle w:val="TableTextCentred"/>
              <w:rPr>
                <w:sz w:val="20"/>
                <w:szCs w:val="20"/>
              </w:rPr>
            </w:pPr>
            <w:r w:rsidRPr="00400687">
              <w:rPr>
                <w:sz w:val="20"/>
                <w:szCs w:val="20"/>
              </w:rPr>
              <w:t>3</w:t>
            </w:r>
          </w:p>
        </w:tc>
        <w:tc>
          <w:tcPr>
            <w:tcW w:w="907" w:type="dxa"/>
            <w:tcBorders>
              <w:right w:val="single" w:sz="4" w:space="0" w:color="0079C1"/>
            </w:tcBorders>
            <w:vAlign w:val="center"/>
          </w:tcPr>
          <w:p w14:paraId="6EF715EB" w14:textId="77777777" w:rsidR="00F22A70" w:rsidRPr="00400687" w:rsidRDefault="00F22A70" w:rsidP="00136F68">
            <w:pPr>
              <w:pStyle w:val="TableTextCentred"/>
              <w:rPr>
                <w:sz w:val="20"/>
                <w:szCs w:val="20"/>
              </w:rPr>
            </w:pPr>
            <w:r w:rsidRPr="00400687">
              <w:rPr>
                <w:sz w:val="20"/>
                <w:szCs w:val="20"/>
              </w:rPr>
              <w:t>15.8%</w:t>
            </w:r>
          </w:p>
        </w:tc>
        <w:tc>
          <w:tcPr>
            <w:tcW w:w="567" w:type="dxa"/>
            <w:tcBorders>
              <w:left w:val="single" w:sz="4" w:space="0" w:color="0079C1"/>
            </w:tcBorders>
            <w:vAlign w:val="center"/>
          </w:tcPr>
          <w:p w14:paraId="1810C3D2" w14:textId="77777777" w:rsidR="00F22A70" w:rsidRPr="00400687" w:rsidRDefault="00F22A70" w:rsidP="00136F68">
            <w:pPr>
              <w:pStyle w:val="TableTextCentred"/>
              <w:rPr>
                <w:sz w:val="20"/>
                <w:szCs w:val="20"/>
              </w:rPr>
            </w:pPr>
            <w:r w:rsidRPr="00400687">
              <w:rPr>
                <w:sz w:val="20"/>
                <w:szCs w:val="20"/>
              </w:rPr>
              <w:t>23</w:t>
            </w:r>
          </w:p>
        </w:tc>
        <w:tc>
          <w:tcPr>
            <w:tcW w:w="907" w:type="dxa"/>
            <w:tcBorders>
              <w:right w:val="single" w:sz="4" w:space="0" w:color="0079C1"/>
            </w:tcBorders>
            <w:vAlign w:val="center"/>
          </w:tcPr>
          <w:p w14:paraId="563514E5" w14:textId="77777777" w:rsidR="00F22A70" w:rsidRPr="00400687" w:rsidRDefault="00F22A70" w:rsidP="00136F68">
            <w:pPr>
              <w:pStyle w:val="TableTextCentred"/>
              <w:rPr>
                <w:sz w:val="20"/>
                <w:szCs w:val="20"/>
              </w:rPr>
            </w:pPr>
            <w:r w:rsidRPr="00400687">
              <w:rPr>
                <w:sz w:val="20"/>
                <w:szCs w:val="20"/>
              </w:rPr>
              <w:t>31.5%</w:t>
            </w:r>
          </w:p>
        </w:tc>
        <w:tc>
          <w:tcPr>
            <w:tcW w:w="567" w:type="dxa"/>
            <w:tcBorders>
              <w:left w:val="single" w:sz="4" w:space="0" w:color="0079C1"/>
            </w:tcBorders>
            <w:vAlign w:val="center"/>
          </w:tcPr>
          <w:p w14:paraId="4D6F8B94" w14:textId="77777777" w:rsidR="00F22A70" w:rsidRPr="00400687" w:rsidRDefault="00F22A70" w:rsidP="00136F68">
            <w:pPr>
              <w:pStyle w:val="TableTextCentred"/>
              <w:rPr>
                <w:sz w:val="20"/>
                <w:szCs w:val="20"/>
              </w:rPr>
            </w:pPr>
            <w:r w:rsidRPr="00400687">
              <w:rPr>
                <w:sz w:val="20"/>
                <w:szCs w:val="20"/>
              </w:rPr>
              <w:t>3</w:t>
            </w:r>
          </w:p>
        </w:tc>
        <w:tc>
          <w:tcPr>
            <w:tcW w:w="907" w:type="dxa"/>
            <w:tcBorders>
              <w:right w:val="single" w:sz="4" w:space="0" w:color="0079C1"/>
            </w:tcBorders>
            <w:vAlign w:val="center"/>
          </w:tcPr>
          <w:p w14:paraId="4B4A864E" w14:textId="77777777" w:rsidR="00F22A70" w:rsidRPr="00400687" w:rsidRDefault="00F22A70" w:rsidP="00136F68">
            <w:pPr>
              <w:pStyle w:val="TableTextCentred"/>
              <w:rPr>
                <w:sz w:val="20"/>
                <w:szCs w:val="20"/>
              </w:rPr>
            </w:pPr>
            <w:r w:rsidRPr="00400687">
              <w:rPr>
                <w:sz w:val="20"/>
                <w:szCs w:val="20"/>
              </w:rPr>
              <w:t>15.0%</w:t>
            </w:r>
          </w:p>
        </w:tc>
        <w:tc>
          <w:tcPr>
            <w:tcW w:w="567" w:type="dxa"/>
            <w:tcBorders>
              <w:left w:val="single" w:sz="4" w:space="0" w:color="0079C1"/>
            </w:tcBorders>
            <w:vAlign w:val="center"/>
          </w:tcPr>
          <w:p w14:paraId="050F3A80" w14:textId="77777777" w:rsidR="00F22A70" w:rsidRPr="00400687" w:rsidRDefault="00F22A70" w:rsidP="00136F68">
            <w:pPr>
              <w:pStyle w:val="TableTextCentred"/>
              <w:rPr>
                <w:rStyle w:val="Bold"/>
                <w:sz w:val="20"/>
                <w:szCs w:val="20"/>
              </w:rPr>
            </w:pPr>
            <w:r w:rsidRPr="00400687">
              <w:rPr>
                <w:rStyle w:val="Bold"/>
                <w:sz w:val="20"/>
                <w:szCs w:val="20"/>
              </w:rPr>
              <w:t>35</w:t>
            </w:r>
          </w:p>
        </w:tc>
        <w:tc>
          <w:tcPr>
            <w:tcW w:w="907" w:type="dxa"/>
            <w:vAlign w:val="center"/>
          </w:tcPr>
          <w:p w14:paraId="34440403" w14:textId="77777777" w:rsidR="00F22A70" w:rsidRPr="00400687" w:rsidRDefault="00F22A70" w:rsidP="00136F68">
            <w:pPr>
              <w:pStyle w:val="TableTextCentred"/>
              <w:rPr>
                <w:rStyle w:val="Bold"/>
                <w:sz w:val="20"/>
                <w:szCs w:val="20"/>
              </w:rPr>
            </w:pPr>
            <w:r w:rsidRPr="00400687">
              <w:rPr>
                <w:rStyle w:val="Bold"/>
                <w:sz w:val="20"/>
                <w:szCs w:val="20"/>
              </w:rPr>
              <w:t>15.9%</w:t>
            </w:r>
          </w:p>
        </w:tc>
      </w:tr>
      <w:tr w:rsidR="00BF2389" w:rsidRPr="00136F68" w14:paraId="7EC3D511" w14:textId="77777777" w:rsidTr="00400687">
        <w:tc>
          <w:tcPr>
            <w:tcW w:w="1992" w:type="dxa"/>
            <w:tcBorders>
              <w:right w:val="single" w:sz="4" w:space="0" w:color="0079C1"/>
            </w:tcBorders>
            <w:shd w:val="clear" w:color="auto" w:fill="auto"/>
            <w:vAlign w:val="center"/>
          </w:tcPr>
          <w:p w14:paraId="22B132C4" w14:textId="4E5955EF" w:rsidR="00F22A70" w:rsidRPr="00400687" w:rsidRDefault="00F22A70" w:rsidP="00136F68">
            <w:pPr>
              <w:pStyle w:val="TableText"/>
              <w:rPr>
                <w:sz w:val="20"/>
                <w:szCs w:val="20"/>
              </w:rPr>
            </w:pPr>
            <w:r w:rsidRPr="00400687">
              <w:rPr>
                <w:sz w:val="20"/>
                <w:szCs w:val="20"/>
              </w:rPr>
              <w:t>Other</w:t>
            </w:r>
          </w:p>
        </w:tc>
        <w:tc>
          <w:tcPr>
            <w:tcW w:w="567" w:type="dxa"/>
            <w:tcBorders>
              <w:left w:val="single" w:sz="4" w:space="0" w:color="0079C1"/>
            </w:tcBorders>
            <w:vAlign w:val="center"/>
          </w:tcPr>
          <w:p w14:paraId="02F55AE1" w14:textId="77777777" w:rsidR="00F22A70" w:rsidRPr="00400687" w:rsidRDefault="00F22A70" w:rsidP="00136F68">
            <w:pPr>
              <w:pStyle w:val="TableTextCentred"/>
              <w:rPr>
                <w:sz w:val="20"/>
                <w:szCs w:val="20"/>
              </w:rPr>
            </w:pPr>
            <w:r w:rsidRPr="00400687">
              <w:rPr>
                <w:sz w:val="20"/>
                <w:szCs w:val="20"/>
              </w:rPr>
              <w:t>1</w:t>
            </w:r>
          </w:p>
        </w:tc>
        <w:tc>
          <w:tcPr>
            <w:tcW w:w="907" w:type="dxa"/>
            <w:tcBorders>
              <w:right w:val="single" w:sz="4" w:space="0" w:color="0079C1"/>
            </w:tcBorders>
            <w:vAlign w:val="center"/>
          </w:tcPr>
          <w:p w14:paraId="19AC1CC4" w14:textId="77777777" w:rsidR="00F22A70" w:rsidRPr="00400687" w:rsidRDefault="00F22A70" w:rsidP="00136F68">
            <w:pPr>
              <w:pStyle w:val="TableTextCentred"/>
              <w:rPr>
                <w:sz w:val="20"/>
                <w:szCs w:val="20"/>
              </w:rPr>
            </w:pPr>
            <w:r w:rsidRPr="00400687">
              <w:rPr>
                <w:sz w:val="20"/>
                <w:szCs w:val="20"/>
              </w:rPr>
              <w:t>0.9%</w:t>
            </w:r>
          </w:p>
        </w:tc>
        <w:tc>
          <w:tcPr>
            <w:tcW w:w="567" w:type="dxa"/>
            <w:tcBorders>
              <w:left w:val="single" w:sz="4" w:space="0" w:color="0079C1"/>
            </w:tcBorders>
            <w:vAlign w:val="center"/>
          </w:tcPr>
          <w:p w14:paraId="7AD8596D" w14:textId="77777777" w:rsidR="00F22A70" w:rsidRPr="00400687" w:rsidRDefault="00F22A70" w:rsidP="00136F68">
            <w:pPr>
              <w:pStyle w:val="TableTextCentred"/>
              <w:rPr>
                <w:sz w:val="20"/>
                <w:szCs w:val="20"/>
              </w:rPr>
            </w:pPr>
            <w:r w:rsidRPr="00400687">
              <w:rPr>
                <w:sz w:val="20"/>
                <w:szCs w:val="20"/>
              </w:rPr>
              <w:t>1</w:t>
            </w:r>
          </w:p>
        </w:tc>
        <w:tc>
          <w:tcPr>
            <w:tcW w:w="907" w:type="dxa"/>
            <w:tcBorders>
              <w:right w:val="single" w:sz="4" w:space="0" w:color="0079C1"/>
            </w:tcBorders>
            <w:vAlign w:val="center"/>
          </w:tcPr>
          <w:p w14:paraId="58EBB3B7" w14:textId="77777777" w:rsidR="00F22A70" w:rsidRPr="00400687" w:rsidRDefault="00F22A70" w:rsidP="00136F68">
            <w:pPr>
              <w:pStyle w:val="TableTextCentred"/>
              <w:rPr>
                <w:sz w:val="20"/>
                <w:szCs w:val="20"/>
              </w:rPr>
            </w:pPr>
            <w:r w:rsidRPr="00400687">
              <w:rPr>
                <w:sz w:val="20"/>
                <w:szCs w:val="20"/>
              </w:rPr>
              <w:t>5.3%</w:t>
            </w:r>
          </w:p>
        </w:tc>
        <w:tc>
          <w:tcPr>
            <w:tcW w:w="567" w:type="dxa"/>
            <w:tcBorders>
              <w:left w:val="single" w:sz="4" w:space="0" w:color="0079C1"/>
            </w:tcBorders>
            <w:vAlign w:val="center"/>
          </w:tcPr>
          <w:p w14:paraId="655A5CC1" w14:textId="77777777" w:rsidR="00F22A70" w:rsidRPr="00400687" w:rsidRDefault="00F22A70" w:rsidP="00136F68">
            <w:pPr>
              <w:pStyle w:val="TableTextCentred"/>
              <w:rPr>
                <w:sz w:val="20"/>
                <w:szCs w:val="20"/>
              </w:rPr>
            </w:pPr>
            <w:r w:rsidRPr="00400687">
              <w:rPr>
                <w:sz w:val="20"/>
                <w:szCs w:val="20"/>
              </w:rPr>
              <w:t>3</w:t>
            </w:r>
          </w:p>
        </w:tc>
        <w:tc>
          <w:tcPr>
            <w:tcW w:w="907" w:type="dxa"/>
            <w:tcBorders>
              <w:right w:val="single" w:sz="4" w:space="0" w:color="0079C1"/>
            </w:tcBorders>
            <w:vAlign w:val="center"/>
          </w:tcPr>
          <w:p w14:paraId="56A539D2" w14:textId="77777777" w:rsidR="00F22A70" w:rsidRPr="00400687" w:rsidRDefault="00F22A70" w:rsidP="00136F68">
            <w:pPr>
              <w:pStyle w:val="TableTextCentred"/>
              <w:rPr>
                <w:sz w:val="20"/>
                <w:szCs w:val="20"/>
              </w:rPr>
            </w:pPr>
            <w:r w:rsidRPr="00400687">
              <w:rPr>
                <w:sz w:val="20"/>
                <w:szCs w:val="20"/>
              </w:rPr>
              <w:t>4.1%</w:t>
            </w:r>
          </w:p>
        </w:tc>
        <w:tc>
          <w:tcPr>
            <w:tcW w:w="567" w:type="dxa"/>
            <w:tcBorders>
              <w:left w:val="single" w:sz="4" w:space="0" w:color="0079C1"/>
            </w:tcBorders>
            <w:vAlign w:val="center"/>
          </w:tcPr>
          <w:p w14:paraId="1BA801BC" w14:textId="77777777" w:rsidR="00F22A70" w:rsidRPr="00400687" w:rsidRDefault="00F22A70" w:rsidP="00136F68">
            <w:pPr>
              <w:pStyle w:val="TableTextCentred"/>
              <w:rPr>
                <w:sz w:val="20"/>
                <w:szCs w:val="20"/>
              </w:rPr>
            </w:pPr>
            <w:r w:rsidRPr="00400687">
              <w:rPr>
                <w:sz w:val="20"/>
                <w:szCs w:val="20"/>
              </w:rPr>
              <w:t>-</w:t>
            </w:r>
          </w:p>
        </w:tc>
        <w:tc>
          <w:tcPr>
            <w:tcW w:w="907" w:type="dxa"/>
            <w:tcBorders>
              <w:right w:val="single" w:sz="4" w:space="0" w:color="0079C1"/>
            </w:tcBorders>
            <w:vAlign w:val="center"/>
          </w:tcPr>
          <w:p w14:paraId="175757F9" w14:textId="77777777" w:rsidR="00F22A70" w:rsidRPr="00400687" w:rsidRDefault="00F22A70" w:rsidP="00136F68">
            <w:pPr>
              <w:pStyle w:val="TableTextCentred"/>
              <w:rPr>
                <w:sz w:val="20"/>
                <w:szCs w:val="20"/>
              </w:rPr>
            </w:pPr>
            <w:r w:rsidRPr="00400687">
              <w:rPr>
                <w:sz w:val="20"/>
                <w:szCs w:val="20"/>
              </w:rPr>
              <w:t>-</w:t>
            </w:r>
          </w:p>
        </w:tc>
        <w:tc>
          <w:tcPr>
            <w:tcW w:w="567" w:type="dxa"/>
            <w:tcBorders>
              <w:left w:val="single" w:sz="4" w:space="0" w:color="0079C1"/>
            </w:tcBorders>
            <w:vAlign w:val="center"/>
          </w:tcPr>
          <w:p w14:paraId="0CD6BAA9" w14:textId="77777777" w:rsidR="00F22A70" w:rsidRPr="00400687" w:rsidRDefault="00F22A70" w:rsidP="00136F68">
            <w:pPr>
              <w:pStyle w:val="TableTextCentred"/>
              <w:rPr>
                <w:rStyle w:val="Bold"/>
                <w:sz w:val="20"/>
                <w:szCs w:val="20"/>
              </w:rPr>
            </w:pPr>
            <w:r w:rsidRPr="00400687">
              <w:rPr>
                <w:rStyle w:val="Bold"/>
                <w:sz w:val="20"/>
                <w:szCs w:val="20"/>
              </w:rPr>
              <w:t>5</w:t>
            </w:r>
          </w:p>
        </w:tc>
        <w:tc>
          <w:tcPr>
            <w:tcW w:w="907" w:type="dxa"/>
            <w:vAlign w:val="center"/>
          </w:tcPr>
          <w:p w14:paraId="24C398A6" w14:textId="77777777" w:rsidR="00F22A70" w:rsidRPr="00400687" w:rsidRDefault="00F22A70" w:rsidP="00136F68">
            <w:pPr>
              <w:pStyle w:val="TableTextCentred"/>
              <w:rPr>
                <w:rStyle w:val="Bold"/>
                <w:sz w:val="20"/>
                <w:szCs w:val="20"/>
              </w:rPr>
            </w:pPr>
            <w:r w:rsidRPr="00400687">
              <w:rPr>
                <w:rStyle w:val="Bold"/>
                <w:sz w:val="20"/>
                <w:szCs w:val="20"/>
              </w:rPr>
              <w:t>2.3%</w:t>
            </w:r>
          </w:p>
        </w:tc>
      </w:tr>
      <w:tr w:rsidR="00BF2389" w:rsidRPr="00136F68" w14:paraId="34F5D705" w14:textId="77777777" w:rsidTr="00400687">
        <w:tc>
          <w:tcPr>
            <w:tcW w:w="1992" w:type="dxa"/>
            <w:tcBorders>
              <w:bottom w:val="single" w:sz="4" w:space="0" w:color="0079C1" w:themeColor="text2"/>
              <w:right w:val="single" w:sz="4" w:space="0" w:color="0079C1"/>
            </w:tcBorders>
            <w:vAlign w:val="center"/>
          </w:tcPr>
          <w:p w14:paraId="39D1F94B" w14:textId="31A33816" w:rsidR="00F22A70" w:rsidRPr="00400687" w:rsidRDefault="00F22A70" w:rsidP="00136F68">
            <w:pPr>
              <w:pStyle w:val="TableText"/>
              <w:rPr>
                <w:sz w:val="20"/>
                <w:szCs w:val="20"/>
              </w:rPr>
            </w:pPr>
            <w:r w:rsidRPr="00400687">
              <w:rPr>
                <w:sz w:val="20"/>
                <w:szCs w:val="20"/>
              </w:rPr>
              <w:t>Not stated</w:t>
            </w:r>
            <w:r w:rsidR="00D12910" w:rsidRPr="00400687">
              <w:rPr>
                <w:sz w:val="20"/>
                <w:szCs w:val="20"/>
              </w:rPr>
              <w:t xml:space="preserve">/not applicable </w:t>
            </w:r>
          </w:p>
        </w:tc>
        <w:tc>
          <w:tcPr>
            <w:tcW w:w="567" w:type="dxa"/>
            <w:tcBorders>
              <w:left w:val="single" w:sz="4" w:space="0" w:color="0079C1"/>
              <w:bottom w:val="single" w:sz="4" w:space="0" w:color="0079C1" w:themeColor="text2"/>
            </w:tcBorders>
            <w:vAlign w:val="center"/>
          </w:tcPr>
          <w:p w14:paraId="47557F59" w14:textId="77777777" w:rsidR="00F22A70" w:rsidRPr="00400687" w:rsidRDefault="00F22A70" w:rsidP="00136F68">
            <w:pPr>
              <w:pStyle w:val="TableTextCentred"/>
              <w:rPr>
                <w:sz w:val="20"/>
                <w:szCs w:val="20"/>
              </w:rPr>
            </w:pPr>
            <w:r w:rsidRPr="00400687">
              <w:rPr>
                <w:sz w:val="20"/>
                <w:szCs w:val="20"/>
              </w:rPr>
              <w:t>84</w:t>
            </w:r>
          </w:p>
        </w:tc>
        <w:tc>
          <w:tcPr>
            <w:tcW w:w="907" w:type="dxa"/>
            <w:tcBorders>
              <w:bottom w:val="single" w:sz="4" w:space="0" w:color="0079C1" w:themeColor="text2"/>
              <w:right w:val="single" w:sz="4" w:space="0" w:color="0079C1"/>
            </w:tcBorders>
            <w:vAlign w:val="center"/>
          </w:tcPr>
          <w:p w14:paraId="36034FA6" w14:textId="77777777" w:rsidR="00F22A70" w:rsidRPr="00400687" w:rsidRDefault="00F22A70" w:rsidP="00136F68">
            <w:pPr>
              <w:pStyle w:val="TableTextCentred"/>
              <w:rPr>
                <w:sz w:val="20"/>
                <w:szCs w:val="20"/>
              </w:rPr>
            </w:pPr>
            <w:r w:rsidRPr="00400687">
              <w:rPr>
                <w:sz w:val="20"/>
                <w:szCs w:val="20"/>
              </w:rPr>
              <w:t>77.8%</w:t>
            </w:r>
          </w:p>
        </w:tc>
        <w:tc>
          <w:tcPr>
            <w:tcW w:w="567" w:type="dxa"/>
            <w:tcBorders>
              <w:left w:val="single" w:sz="4" w:space="0" w:color="0079C1"/>
              <w:bottom w:val="single" w:sz="4" w:space="0" w:color="0079C1" w:themeColor="text2"/>
            </w:tcBorders>
            <w:vAlign w:val="center"/>
          </w:tcPr>
          <w:p w14:paraId="381376BC" w14:textId="77777777" w:rsidR="00F22A70" w:rsidRPr="00400687" w:rsidRDefault="00F22A70" w:rsidP="00136F68">
            <w:pPr>
              <w:pStyle w:val="TableTextCentred"/>
              <w:rPr>
                <w:sz w:val="20"/>
                <w:szCs w:val="20"/>
              </w:rPr>
            </w:pPr>
            <w:r w:rsidRPr="00400687">
              <w:rPr>
                <w:sz w:val="20"/>
                <w:szCs w:val="20"/>
              </w:rPr>
              <w:t>8</w:t>
            </w:r>
          </w:p>
        </w:tc>
        <w:tc>
          <w:tcPr>
            <w:tcW w:w="907" w:type="dxa"/>
            <w:tcBorders>
              <w:bottom w:val="single" w:sz="4" w:space="0" w:color="0079C1" w:themeColor="text2"/>
              <w:right w:val="single" w:sz="4" w:space="0" w:color="0079C1"/>
            </w:tcBorders>
            <w:vAlign w:val="center"/>
          </w:tcPr>
          <w:p w14:paraId="5DBEE58F" w14:textId="77777777" w:rsidR="00F22A70" w:rsidRPr="00400687" w:rsidRDefault="00F22A70" w:rsidP="00136F68">
            <w:pPr>
              <w:pStyle w:val="TableTextCentred"/>
              <w:rPr>
                <w:sz w:val="20"/>
                <w:szCs w:val="20"/>
              </w:rPr>
            </w:pPr>
            <w:r w:rsidRPr="00400687">
              <w:rPr>
                <w:sz w:val="20"/>
                <w:szCs w:val="20"/>
              </w:rPr>
              <w:t>42.1%</w:t>
            </w:r>
          </w:p>
        </w:tc>
        <w:tc>
          <w:tcPr>
            <w:tcW w:w="567" w:type="dxa"/>
            <w:tcBorders>
              <w:left w:val="single" w:sz="4" w:space="0" w:color="0079C1"/>
              <w:bottom w:val="single" w:sz="4" w:space="0" w:color="0079C1" w:themeColor="text2"/>
            </w:tcBorders>
            <w:vAlign w:val="center"/>
          </w:tcPr>
          <w:p w14:paraId="7F7981ED" w14:textId="77777777" w:rsidR="00F22A70" w:rsidRPr="00400687" w:rsidRDefault="00F22A70" w:rsidP="00136F68">
            <w:pPr>
              <w:pStyle w:val="TableTextCentred"/>
              <w:rPr>
                <w:sz w:val="20"/>
                <w:szCs w:val="20"/>
              </w:rPr>
            </w:pPr>
            <w:r w:rsidRPr="00400687">
              <w:rPr>
                <w:sz w:val="20"/>
                <w:szCs w:val="20"/>
              </w:rPr>
              <w:t>31</w:t>
            </w:r>
          </w:p>
        </w:tc>
        <w:tc>
          <w:tcPr>
            <w:tcW w:w="907" w:type="dxa"/>
            <w:tcBorders>
              <w:bottom w:val="single" w:sz="4" w:space="0" w:color="0079C1" w:themeColor="text2"/>
              <w:right w:val="single" w:sz="4" w:space="0" w:color="0079C1"/>
            </w:tcBorders>
            <w:vAlign w:val="center"/>
          </w:tcPr>
          <w:p w14:paraId="737A5F46" w14:textId="77777777" w:rsidR="00F22A70" w:rsidRPr="00400687" w:rsidRDefault="00F22A70" w:rsidP="00136F68">
            <w:pPr>
              <w:pStyle w:val="TableTextCentred"/>
              <w:rPr>
                <w:sz w:val="20"/>
                <w:szCs w:val="20"/>
              </w:rPr>
            </w:pPr>
            <w:r w:rsidRPr="00400687">
              <w:rPr>
                <w:sz w:val="20"/>
                <w:szCs w:val="20"/>
              </w:rPr>
              <w:t>42.5%</w:t>
            </w:r>
          </w:p>
        </w:tc>
        <w:tc>
          <w:tcPr>
            <w:tcW w:w="567" w:type="dxa"/>
            <w:tcBorders>
              <w:left w:val="single" w:sz="4" w:space="0" w:color="0079C1"/>
              <w:bottom w:val="single" w:sz="4" w:space="0" w:color="0079C1" w:themeColor="text2"/>
            </w:tcBorders>
            <w:vAlign w:val="center"/>
          </w:tcPr>
          <w:p w14:paraId="38A5FC23" w14:textId="77777777" w:rsidR="00F22A70" w:rsidRPr="00400687" w:rsidRDefault="00F22A70" w:rsidP="00136F68">
            <w:pPr>
              <w:pStyle w:val="TableTextCentred"/>
              <w:rPr>
                <w:sz w:val="20"/>
                <w:szCs w:val="20"/>
              </w:rPr>
            </w:pPr>
            <w:r w:rsidRPr="00400687">
              <w:rPr>
                <w:sz w:val="20"/>
                <w:szCs w:val="20"/>
              </w:rPr>
              <w:t>16</w:t>
            </w:r>
          </w:p>
        </w:tc>
        <w:tc>
          <w:tcPr>
            <w:tcW w:w="907" w:type="dxa"/>
            <w:tcBorders>
              <w:bottom w:val="single" w:sz="4" w:space="0" w:color="0079C1" w:themeColor="text2"/>
              <w:right w:val="single" w:sz="4" w:space="0" w:color="0079C1"/>
            </w:tcBorders>
            <w:vAlign w:val="center"/>
          </w:tcPr>
          <w:p w14:paraId="52C6A05B" w14:textId="77777777" w:rsidR="00F22A70" w:rsidRPr="00400687" w:rsidRDefault="00F22A70" w:rsidP="00136F68">
            <w:pPr>
              <w:pStyle w:val="TableTextCentred"/>
              <w:rPr>
                <w:sz w:val="20"/>
                <w:szCs w:val="20"/>
              </w:rPr>
            </w:pPr>
            <w:r w:rsidRPr="00400687">
              <w:rPr>
                <w:sz w:val="20"/>
                <w:szCs w:val="20"/>
              </w:rPr>
              <w:t>80.0%</w:t>
            </w:r>
          </w:p>
        </w:tc>
        <w:tc>
          <w:tcPr>
            <w:tcW w:w="567" w:type="dxa"/>
            <w:tcBorders>
              <w:left w:val="single" w:sz="4" w:space="0" w:color="0079C1"/>
              <w:bottom w:val="single" w:sz="4" w:space="0" w:color="0079C1" w:themeColor="text2"/>
            </w:tcBorders>
            <w:vAlign w:val="center"/>
          </w:tcPr>
          <w:p w14:paraId="2902B480" w14:textId="77777777" w:rsidR="00F22A70" w:rsidRPr="00400687" w:rsidRDefault="00F22A70" w:rsidP="00136F68">
            <w:pPr>
              <w:pStyle w:val="TableTextCentred"/>
              <w:rPr>
                <w:rStyle w:val="Bold"/>
                <w:sz w:val="20"/>
                <w:szCs w:val="20"/>
              </w:rPr>
            </w:pPr>
            <w:r w:rsidRPr="00400687">
              <w:rPr>
                <w:rStyle w:val="Bold"/>
                <w:sz w:val="20"/>
                <w:szCs w:val="20"/>
              </w:rPr>
              <w:t>139</w:t>
            </w:r>
          </w:p>
        </w:tc>
        <w:tc>
          <w:tcPr>
            <w:tcW w:w="907" w:type="dxa"/>
            <w:tcBorders>
              <w:bottom w:val="single" w:sz="4" w:space="0" w:color="0079C1" w:themeColor="text2"/>
            </w:tcBorders>
            <w:vAlign w:val="center"/>
          </w:tcPr>
          <w:p w14:paraId="67D36C7D" w14:textId="77777777" w:rsidR="00F22A70" w:rsidRPr="00400687" w:rsidRDefault="00F22A70" w:rsidP="00136F68">
            <w:pPr>
              <w:pStyle w:val="TableTextCentred"/>
              <w:rPr>
                <w:rStyle w:val="Bold"/>
                <w:sz w:val="20"/>
                <w:szCs w:val="20"/>
              </w:rPr>
            </w:pPr>
            <w:r w:rsidRPr="00400687">
              <w:rPr>
                <w:rStyle w:val="Bold"/>
                <w:sz w:val="20"/>
                <w:szCs w:val="20"/>
              </w:rPr>
              <w:t>63.2%</w:t>
            </w:r>
          </w:p>
        </w:tc>
      </w:tr>
      <w:tr w:rsidR="00F6322A" w:rsidRPr="00136F68" w14:paraId="5C97F4A0" w14:textId="77777777" w:rsidTr="00400687">
        <w:tc>
          <w:tcPr>
            <w:tcW w:w="1992"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5646ABF6" w14:textId="77777777" w:rsidR="00F22A70" w:rsidRPr="00400687" w:rsidRDefault="00F22A70" w:rsidP="00136F68">
            <w:pPr>
              <w:pStyle w:val="TableText"/>
              <w:rPr>
                <w:rStyle w:val="Bold"/>
                <w:sz w:val="20"/>
                <w:szCs w:val="20"/>
              </w:rPr>
            </w:pPr>
            <w:r w:rsidRPr="00400687">
              <w:rPr>
                <w:rStyle w:val="Bold"/>
                <w:sz w:val="20"/>
                <w:szCs w:val="20"/>
              </w:rPr>
              <w:t>Total</w:t>
            </w:r>
          </w:p>
        </w:tc>
        <w:tc>
          <w:tcPr>
            <w:tcW w:w="567"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703FF1B4" w14:textId="77777777" w:rsidR="00F22A70" w:rsidRPr="00400687" w:rsidRDefault="00F22A70" w:rsidP="00136F68">
            <w:pPr>
              <w:pStyle w:val="TableTextCentred"/>
              <w:rPr>
                <w:rStyle w:val="Bold"/>
                <w:sz w:val="20"/>
                <w:szCs w:val="20"/>
              </w:rPr>
            </w:pPr>
            <w:r w:rsidRPr="00400687">
              <w:rPr>
                <w:rStyle w:val="Bold"/>
                <w:sz w:val="20"/>
                <w:szCs w:val="20"/>
              </w:rPr>
              <w:t>108</w:t>
            </w:r>
          </w:p>
        </w:tc>
        <w:tc>
          <w:tcPr>
            <w:tcW w:w="907"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60287176" w14:textId="77777777" w:rsidR="00F22A70" w:rsidRPr="00400687" w:rsidRDefault="00F22A70" w:rsidP="00136F68">
            <w:pPr>
              <w:pStyle w:val="TableTextCentred"/>
              <w:rPr>
                <w:rStyle w:val="Bold"/>
                <w:sz w:val="20"/>
                <w:szCs w:val="20"/>
              </w:rPr>
            </w:pPr>
            <w:r w:rsidRPr="00400687">
              <w:rPr>
                <w:rStyle w:val="Bold"/>
                <w:sz w:val="20"/>
                <w:szCs w:val="20"/>
              </w:rPr>
              <w:t>100.0%</w:t>
            </w:r>
          </w:p>
        </w:tc>
        <w:tc>
          <w:tcPr>
            <w:tcW w:w="567"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0A95AB70" w14:textId="77777777" w:rsidR="00F22A70" w:rsidRPr="00400687" w:rsidRDefault="00F22A70" w:rsidP="00136F68">
            <w:pPr>
              <w:pStyle w:val="TableTextCentred"/>
              <w:rPr>
                <w:rStyle w:val="Bold"/>
                <w:sz w:val="20"/>
                <w:szCs w:val="20"/>
              </w:rPr>
            </w:pPr>
            <w:r w:rsidRPr="00400687">
              <w:rPr>
                <w:rStyle w:val="Bold"/>
                <w:sz w:val="20"/>
                <w:szCs w:val="20"/>
              </w:rPr>
              <w:t>19</w:t>
            </w:r>
          </w:p>
        </w:tc>
        <w:tc>
          <w:tcPr>
            <w:tcW w:w="907"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2ADEACEC" w14:textId="77777777" w:rsidR="00F22A70" w:rsidRPr="00400687" w:rsidRDefault="00F22A70" w:rsidP="00136F68">
            <w:pPr>
              <w:pStyle w:val="TableTextCentred"/>
              <w:rPr>
                <w:rStyle w:val="Bold"/>
                <w:sz w:val="20"/>
                <w:szCs w:val="20"/>
              </w:rPr>
            </w:pPr>
            <w:r w:rsidRPr="00400687">
              <w:rPr>
                <w:rStyle w:val="Bold"/>
                <w:sz w:val="20"/>
                <w:szCs w:val="20"/>
              </w:rPr>
              <w:t>100.0%</w:t>
            </w:r>
          </w:p>
        </w:tc>
        <w:tc>
          <w:tcPr>
            <w:tcW w:w="567"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3B9CAD48" w14:textId="77777777" w:rsidR="00F22A70" w:rsidRPr="00400687" w:rsidRDefault="00F22A70" w:rsidP="00136F68">
            <w:pPr>
              <w:pStyle w:val="TableTextCentred"/>
              <w:rPr>
                <w:rStyle w:val="Bold"/>
                <w:sz w:val="20"/>
                <w:szCs w:val="20"/>
              </w:rPr>
            </w:pPr>
            <w:r w:rsidRPr="00400687">
              <w:rPr>
                <w:rStyle w:val="Bold"/>
                <w:sz w:val="20"/>
                <w:szCs w:val="20"/>
              </w:rPr>
              <w:t>73</w:t>
            </w:r>
          </w:p>
        </w:tc>
        <w:tc>
          <w:tcPr>
            <w:tcW w:w="907"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04B06AF1" w14:textId="77777777" w:rsidR="00F22A70" w:rsidRPr="00400687" w:rsidRDefault="00F22A70" w:rsidP="00136F68">
            <w:pPr>
              <w:pStyle w:val="TableTextCentred"/>
              <w:rPr>
                <w:rStyle w:val="Bold"/>
                <w:sz w:val="20"/>
                <w:szCs w:val="20"/>
              </w:rPr>
            </w:pPr>
            <w:r w:rsidRPr="00400687">
              <w:rPr>
                <w:rStyle w:val="Bold"/>
                <w:sz w:val="20"/>
                <w:szCs w:val="20"/>
              </w:rPr>
              <w:t>100.0%</w:t>
            </w:r>
          </w:p>
        </w:tc>
        <w:tc>
          <w:tcPr>
            <w:tcW w:w="567"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7F035379" w14:textId="77777777" w:rsidR="00F22A70" w:rsidRPr="00400687" w:rsidRDefault="00F22A70" w:rsidP="00136F68">
            <w:pPr>
              <w:pStyle w:val="TableTextCentred"/>
              <w:rPr>
                <w:rStyle w:val="Bold"/>
                <w:sz w:val="20"/>
                <w:szCs w:val="20"/>
              </w:rPr>
            </w:pPr>
            <w:r w:rsidRPr="00400687">
              <w:rPr>
                <w:rStyle w:val="Bold"/>
                <w:sz w:val="20"/>
                <w:szCs w:val="20"/>
              </w:rPr>
              <w:t>20</w:t>
            </w:r>
          </w:p>
        </w:tc>
        <w:tc>
          <w:tcPr>
            <w:tcW w:w="907"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3DA64470" w14:textId="77777777" w:rsidR="00F22A70" w:rsidRPr="00400687" w:rsidRDefault="00F22A70" w:rsidP="00136F68">
            <w:pPr>
              <w:pStyle w:val="TableTextCentred"/>
              <w:rPr>
                <w:rStyle w:val="Bold"/>
                <w:sz w:val="20"/>
                <w:szCs w:val="20"/>
              </w:rPr>
            </w:pPr>
            <w:r w:rsidRPr="00400687">
              <w:rPr>
                <w:rStyle w:val="Bold"/>
                <w:sz w:val="20"/>
                <w:szCs w:val="20"/>
              </w:rPr>
              <w:t>100.0%</w:t>
            </w:r>
          </w:p>
        </w:tc>
        <w:tc>
          <w:tcPr>
            <w:tcW w:w="567"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2E9C63B7" w14:textId="77777777" w:rsidR="00F22A70" w:rsidRPr="00400687" w:rsidRDefault="00F22A70" w:rsidP="00136F68">
            <w:pPr>
              <w:pStyle w:val="TableTextCentred"/>
              <w:rPr>
                <w:rStyle w:val="Bold"/>
                <w:sz w:val="20"/>
                <w:szCs w:val="20"/>
              </w:rPr>
            </w:pPr>
            <w:r w:rsidRPr="00400687">
              <w:rPr>
                <w:rStyle w:val="Bold"/>
                <w:sz w:val="20"/>
                <w:szCs w:val="20"/>
              </w:rPr>
              <w:t>220</w:t>
            </w:r>
          </w:p>
        </w:tc>
        <w:tc>
          <w:tcPr>
            <w:tcW w:w="907" w:type="dxa"/>
            <w:tcBorders>
              <w:top w:val="single" w:sz="4" w:space="0" w:color="0079C1" w:themeColor="text2"/>
              <w:bottom w:val="single" w:sz="4" w:space="0" w:color="0079C1" w:themeColor="text2"/>
            </w:tcBorders>
            <w:shd w:val="clear" w:color="auto" w:fill="E2F4FF" w:themeFill="accent1" w:themeFillTint="33"/>
            <w:vAlign w:val="center"/>
          </w:tcPr>
          <w:p w14:paraId="40AA33F4" w14:textId="77777777" w:rsidR="00F22A70" w:rsidRPr="00400687" w:rsidRDefault="00F22A70" w:rsidP="00136F68">
            <w:pPr>
              <w:pStyle w:val="TableTextCentred"/>
              <w:rPr>
                <w:rStyle w:val="Bold"/>
                <w:sz w:val="20"/>
                <w:szCs w:val="20"/>
              </w:rPr>
            </w:pPr>
            <w:r w:rsidRPr="00400687">
              <w:rPr>
                <w:rStyle w:val="Bold"/>
                <w:sz w:val="20"/>
                <w:szCs w:val="20"/>
              </w:rPr>
              <w:t>100.0%</w:t>
            </w:r>
          </w:p>
        </w:tc>
      </w:tr>
    </w:tbl>
    <w:bookmarkEnd w:id="153"/>
    <w:p w14:paraId="18D1C9C5" w14:textId="500AA1ED" w:rsidR="00F22A70" w:rsidRDefault="00F22A70" w:rsidP="00F22A70">
      <w:pPr>
        <w:pStyle w:val="Paragraph"/>
        <w:rPr>
          <w:lang w:eastAsia="en-AU"/>
        </w:rPr>
      </w:pPr>
      <w:r>
        <w:rPr>
          <w:lang w:eastAsia="en-AU"/>
        </w:rPr>
        <w:t>For those who had used the website, web browsing was the most frequently cited means through which respondents had first heard about the website</w:t>
      </w:r>
      <w:r w:rsidR="002536F7">
        <w:rPr>
          <w:lang w:eastAsia="en-AU"/>
        </w:rPr>
        <w:t xml:space="preserve"> (DSS paid Google to put the IAA website as the top search when the term ‘intercountry adoption’ was searched)</w:t>
      </w:r>
      <w:r>
        <w:rPr>
          <w:lang w:eastAsia="en-AU"/>
        </w:rPr>
        <w:t xml:space="preserve"> (</w:t>
      </w:r>
      <w:r w:rsidR="00D12910">
        <w:rPr>
          <w:lang w:eastAsia="en-AU"/>
        </w:rPr>
        <w:t>69/131, 52.7</w:t>
      </w:r>
      <w:r>
        <w:rPr>
          <w:lang w:eastAsia="en-AU"/>
        </w:rPr>
        <w:t>%) (</w:t>
      </w:r>
      <w:r>
        <w:rPr>
          <w:lang w:eastAsia="en-AU"/>
        </w:rPr>
        <w:fldChar w:fldCharType="begin"/>
      </w:r>
      <w:r>
        <w:rPr>
          <w:lang w:eastAsia="en-AU"/>
        </w:rPr>
        <w:instrText xml:space="preserve"> REF _Ref462919249 \h  \* MERGEFORMAT </w:instrText>
      </w:r>
      <w:r>
        <w:rPr>
          <w:lang w:eastAsia="en-AU"/>
        </w:rPr>
      </w:r>
      <w:r>
        <w:rPr>
          <w:lang w:eastAsia="en-AU"/>
        </w:rPr>
        <w:fldChar w:fldCharType="separate"/>
      </w:r>
      <w:r w:rsidR="00487073" w:rsidRPr="00487073">
        <w:rPr>
          <w:rStyle w:val="Emphasis"/>
        </w:rPr>
        <w:t>Table 6</w:t>
      </w:r>
      <w:r w:rsidR="00487073" w:rsidRPr="00487073">
        <w:rPr>
          <w:rStyle w:val="Emphasis"/>
        </w:rPr>
        <w:noBreakHyphen/>
        <w:t>3</w:t>
      </w:r>
      <w:r>
        <w:rPr>
          <w:lang w:eastAsia="en-AU"/>
        </w:rPr>
        <w:fldChar w:fldCharType="end"/>
      </w:r>
      <w:r>
        <w:rPr>
          <w:lang w:eastAsia="en-AU"/>
        </w:rPr>
        <w:t>)</w:t>
      </w:r>
      <w:r w:rsidR="002536F7">
        <w:rPr>
          <w:lang w:eastAsia="en-AU"/>
        </w:rPr>
        <w:t xml:space="preserve">.  </w:t>
      </w:r>
      <w:r>
        <w:rPr>
          <w:lang w:eastAsia="en-AU"/>
        </w:rPr>
        <w:t>This was particularly the case where for those wanting to adopt through ICA for the first time (</w:t>
      </w:r>
      <w:r w:rsidR="00D12910">
        <w:rPr>
          <w:lang w:eastAsia="en-AU"/>
        </w:rPr>
        <w:t>50/69, 72.5</w:t>
      </w:r>
      <w:r>
        <w:rPr>
          <w:lang w:eastAsia="en-AU"/>
        </w:rPr>
        <w:t>%).  The website was also cited as the primary source of information about the 1800 information line</w:t>
      </w:r>
      <w:r w:rsidR="00E45E0B">
        <w:rPr>
          <w:lang w:eastAsia="en-AU"/>
        </w:rPr>
        <w:t xml:space="preserve"> (31.4%)</w:t>
      </w:r>
      <w:r>
        <w:rPr>
          <w:lang w:eastAsia="en-AU"/>
        </w:rPr>
        <w:t>.</w:t>
      </w:r>
    </w:p>
    <w:p w14:paraId="43364D54" w14:textId="6FB13059" w:rsidR="00F22A70" w:rsidRPr="00A822D5" w:rsidRDefault="00F22A70" w:rsidP="00F22A70">
      <w:pPr>
        <w:pStyle w:val="Caption"/>
      </w:pPr>
      <w:bookmarkStart w:id="154" w:name="_Ref462919249"/>
      <w:bookmarkStart w:id="155" w:name="_Toc490481668"/>
      <w:r>
        <w:t>Table </w:t>
      </w:r>
      <w:r w:rsidR="00644B63">
        <w:fldChar w:fldCharType="begin"/>
      </w:r>
      <w:r w:rsidR="00644B63">
        <w:instrText xml:space="preserve"> STYLEREF 1 \s </w:instrText>
      </w:r>
      <w:r w:rsidR="00644B63">
        <w:fldChar w:fldCharType="separate"/>
      </w:r>
      <w:r w:rsidR="00487073">
        <w:rPr>
          <w:noProof/>
        </w:rPr>
        <w:t>6</w:t>
      </w:r>
      <w:r w:rsidR="00644B63">
        <w:fldChar w:fldCharType="end"/>
      </w:r>
      <w:r w:rsidR="00644B63">
        <w:noBreakHyphen/>
      </w:r>
      <w:r w:rsidR="00644B63">
        <w:fldChar w:fldCharType="begin"/>
      </w:r>
      <w:r w:rsidR="00644B63">
        <w:instrText xml:space="preserve"> SEQ Table \* ARABIC \s 1 </w:instrText>
      </w:r>
      <w:r w:rsidR="00644B63">
        <w:fldChar w:fldCharType="separate"/>
      </w:r>
      <w:r w:rsidR="00487073">
        <w:rPr>
          <w:noProof/>
        </w:rPr>
        <w:t>3</w:t>
      </w:r>
      <w:r w:rsidR="00644B63">
        <w:fldChar w:fldCharType="end"/>
      </w:r>
      <w:bookmarkEnd w:id="154"/>
      <w:r>
        <w:t>:</w:t>
      </w:r>
      <w:r>
        <w:tab/>
      </w:r>
      <w:r w:rsidRPr="003B607E">
        <w:t xml:space="preserve">How </w:t>
      </w:r>
      <w:r>
        <w:t xml:space="preserve">respondents first </w:t>
      </w:r>
      <w:r w:rsidRPr="003B607E">
        <w:t>hear</w:t>
      </w:r>
      <w:r>
        <w:t>d</w:t>
      </w:r>
      <w:r w:rsidRPr="003B607E">
        <w:t xml:space="preserve"> about the IAA website</w:t>
      </w:r>
      <w:bookmarkEnd w:id="155"/>
    </w:p>
    <w:tbl>
      <w:tblPr>
        <w:tblStyle w:val="TableGrid"/>
        <w:tblW w:w="9505" w:type="dxa"/>
        <w:tblInd w:w="108"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Description w:val="Table 6 3: How respondents first heard about the IAA website"/>
      </w:tblPr>
      <w:tblGrid>
        <w:gridCol w:w="1848"/>
        <w:gridCol w:w="567"/>
        <w:gridCol w:w="994"/>
        <w:gridCol w:w="480"/>
        <w:gridCol w:w="938"/>
        <w:gridCol w:w="536"/>
        <w:gridCol w:w="1023"/>
        <w:gridCol w:w="451"/>
        <w:gridCol w:w="967"/>
        <w:gridCol w:w="567"/>
        <w:gridCol w:w="1134"/>
      </w:tblGrid>
      <w:tr w:rsidR="0035587D" w:rsidRPr="00400687" w14:paraId="62C826D4" w14:textId="77777777" w:rsidTr="00B10F64">
        <w:trPr>
          <w:tblHeader/>
        </w:trPr>
        <w:tc>
          <w:tcPr>
            <w:tcW w:w="1848" w:type="dxa"/>
            <w:vMerge w:val="restart"/>
            <w:shd w:val="clear" w:color="auto" w:fill="0079C1" w:themeFill="text2"/>
            <w:vAlign w:val="center"/>
          </w:tcPr>
          <w:p w14:paraId="1541634A" w14:textId="5BBEFFDE" w:rsidR="00BD111F" w:rsidRPr="00400687" w:rsidRDefault="00BD111F" w:rsidP="00B10F64">
            <w:pPr>
              <w:pStyle w:val="TableHeading1"/>
              <w:rPr>
                <w:sz w:val="20"/>
              </w:rPr>
            </w:pPr>
            <w:r w:rsidRPr="00400687">
              <w:rPr>
                <w:sz w:val="20"/>
              </w:rPr>
              <w:t>Source</w:t>
            </w:r>
          </w:p>
        </w:tc>
        <w:tc>
          <w:tcPr>
            <w:tcW w:w="2979" w:type="dxa"/>
            <w:gridSpan w:val="4"/>
            <w:shd w:val="clear" w:color="auto" w:fill="0079C1" w:themeFill="text2"/>
          </w:tcPr>
          <w:p w14:paraId="088AC436" w14:textId="77777777" w:rsidR="00BD111F" w:rsidRPr="00400687" w:rsidRDefault="00BD111F" w:rsidP="00BD111F">
            <w:pPr>
              <w:pStyle w:val="TableHeading1Centred"/>
              <w:rPr>
                <w:sz w:val="20"/>
              </w:rPr>
            </w:pPr>
            <w:r w:rsidRPr="00400687">
              <w:rPr>
                <w:sz w:val="20"/>
              </w:rPr>
              <w:t>Wanting to adopt</w:t>
            </w:r>
          </w:p>
        </w:tc>
        <w:tc>
          <w:tcPr>
            <w:tcW w:w="1559" w:type="dxa"/>
            <w:gridSpan w:val="2"/>
            <w:vMerge w:val="restart"/>
            <w:shd w:val="clear" w:color="auto" w:fill="0079C1" w:themeFill="text2"/>
            <w:vAlign w:val="center"/>
          </w:tcPr>
          <w:p w14:paraId="4E95F32E" w14:textId="77777777" w:rsidR="00BD111F" w:rsidRPr="00400687" w:rsidRDefault="00BD111F" w:rsidP="00056831">
            <w:pPr>
              <w:pStyle w:val="TableHeading1Centred"/>
              <w:rPr>
                <w:sz w:val="20"/>
              </w:rPr>
            </w:pPr>
            <w:r w:rsidRPr="00400687">
              <w:rPr>
                <w:sz w:val="20"/>
              </w:rPr>
              <w:t>Post adoption</w:t>
            </w:r>
          </w:p>
        </w:tc>
        <w:tc>
          <w:tcPr>
            <w:tcW w:w="1418" w:type="dxa"/>
            <w:gridSpan w:val="2"/>
            <w:vMerge w:val="restart"/>
            <w:shd w:val="clear" w:color="auto" w:fill="0079C1" w:themeFill="text2"/>
            <w:vAlign w:val="center"/>
          </w:tcPr>
          <w:p w14:paraId="699F01F4" w14:textId="77777777" w:rsidR="00BD111F" w:rsidRPr="00400687" w:rsidRDefault="00BD111F" w:rsidP="00056831">
            <w:pPr>
              <w:pStyle w:val="TableHeading1Centred"/>
              <w:rPr>
                <w:sz w:val="20"/>
              </w:rPr>
            </w:pPr>
            <w:r w:rsidRPr="00400687">
              <w:rPr>
                <w:sz w:val="20"/>
              </w:rPr>
              <w:t>Did not continue</w:t>
            </w:r>
          </w:p>
        </w:tc>
        <w:tc>
          <w:tcPr>
            <w:tcW w:w="1701" w:type="dxa"/>
            <w:gridSpan w:val="2"/>
            <w:vMerge w:val="restart"/>
            <w:shd w:val="clear" w:color="auto" w:fill="0079C1" w:themeFill="text2"/>
            <w:vAlign w:val="center"/>
          </w:tcPr>
          <w:p w14:paraId="141ACA1B" w14:textId="77777777" w:rsidR="00BD111F" w:rsidRPr="00400687" w:rsidRDefault="00BD111F" w:rsidP="00056831">
            <w:pPr>
              <w:pStyle w:val="TableHeading1Centred"/>
              <w:rPr>
                <w:sz w:val="20"/>
              </w:rPr>
            </w:pPr>
            <w:r w:rsidRPr="00400687">
              <w:rPr>
                <w:sz w:val="20"/>
              </w:rPr>
              <w:t>Total</w:t>
            </w:r>
          </w:p>
        </w:tc>
      </w:tr>
      <w:tr w:rsidR="0035587D" w:rsidRPr="00400687" w14:paraId="2CEED599" w14:textId="77777777" w:rsidTr="0035587D">
        <w:trPr>
          <w:tblHeader/>
        </w:trPr>
        <w:tc>
          <w:tcPr>
            <w:tcW w:w="1848" w:type="dxa"/>
            <w:vMerge/>
            <w:shd w:val="clear" w:color="auto" w:fill="0079C1" w:themeFill="text2"/>
          </w:tcPr>
          <w:p w14:paraId="3386759F" w14:textId="77777777" w:rsidR="00BD111F" w:rsidRPr="00400687" w:rsidRDefault="00BD111F" w:rsidP="00BD111F">
            <w:pPr>
              <w:pStyle w:val="TableHeading1"/>
              <w:rPr>
                <w:sz w:val="20"/>
              </w:rPr>
            </w:pPr>
          </w:p>
        </w:tc>
        <w:tc>
          <w:tcPr>
            <w:tcW w:w="1561" w:type="dxa"/>
            <w:gridSpan w:val="2"/>
            <w:shd w:val="clear" w:color="auto" w:fill="0079C1" w:themeFill="text2"/>
          </w:tcPr>
          <w:p w14:paraId="485B3019" w14:textId="77777777" w:rsidR="00BD111F" w:rsidRPr="00400687" w:rsidRDefault="00BD111F" w:rsidP="00BD111F">
            <w:pPr>
              <w:pStyle w:val="TableHeading1Centred"/>
              <w:rPr>
                <w:sz w:val="20"/>
              </w:rPr>
            </w:pPr>
            <w:r w:rsidRPr="00400687">
              <w:rPr>
                <w:sz w:val="20"/>
              </w:rPr>
              <w:t>First time</w:t>
            </w:r>
          </w:p>
        </w:tc>
        <w:tc>
          <w:tcPr>
            <w:tcW w:w="1418" w:type="dxa"/>
            <w:gridSpan w:val="2"/>
            <w:shd w:val="clear" w:color="auto" w:fill="0079C1" w:themeFill="text2"/>
          </w:tcPr>
          <w:p w14:paraId="6D511907" w14:textId="77777777" w:rsidR="00BD111F" w:rsidRPr="00400687" w:rsidRDefault="00BD111F" w:rsidP="00BD111F">
            <w:pPr>
              <w:pStyle w:val="TableHeading1Centred"/>
              <w:rPr>
                <w:sz w:val="20"/>
              </w:rPr>
            </w:pPr>
            <w:r w:rsidRPr="00400687">
              <w:rPr>
                <w:sz w:val="20"/>
              </w:rPr>
              <w:t>Repeat</w:t>
            </w:r>
          </w:p>
        </w:tc>
        <w:tc>
          <w:tcPr>
            <w:tcW w:w="1559" w:type="dxa"/>
            <w:gridSpan w:val="2"/>
            <w:vMerge/>
            <w:shd w:val="clear" w:color="auto" w:fill="0079C1" w:themeFill="text2"/>
          </w:tcPr>
          <w:p w14:paraId="5B3A1B9A" w14:textId="77777777" w:rsidR="00BD111F" w:rsidRPr="00400687" w:rsidRDefault="00BD111F" w:rsidP="00BD111F">
            <w:pPr>
              <w:pStyle w:val="TableHeading1Centred"/>
              <w:rPr>
                <w:sz w:val="20"/>
              </w:rPr>
            </w:pPr>
          </w:p>
        </w:tc>
        <w:tc>
          <w:tcPr>
            <w:tcW w:w="1418" w:type="dxa"/>
            <w:gridSpan w:val="2"/>
            <w:vMerge/>
            <w:shd w:val="clear" w:color="auto" w:fill="0079C1" w:themeFill="text2"/>
          </w:tcPr>
          <w:p w14:paraId="5F41B8BD" w14:textId="77777777" w:rsidR="00BD111F" w:rsidRPr="00400687" w:rsidRDefault="00BD111F" w:rsidP="00BD111F">
            <w:pPr>
              <w:pStyle w:val="TableHeading1Centred"/>
              <w:rPr>
                <w:sz w:val="20"/>
              </w:rPr>
            </w:pPr>
          </w:p>
        </w:tc>
        <w:tc>
          <w:tcPr>
            <w:tcW w:w="1701" w:type="dxa"/>
            <w:gridSpan w:val="2"/>
            <w:vMerge/>
            <w:shd w:val="clear" w:color="auto" w:fill="0079C1" w:themeFill="text2"/>
          </w:tcPr>
          <w:p w14:paraId="775903AC" w14:textId="77777777" w:rsidR="00BD111F" w:rsidRPr="00400687" w:rsidRDefault="00BD111F" w:rsidP="00BD111F">
            <w:pPr>
              <w:pStyle w:val="TableHeading1Centred"/>
              <w:rPr>
                <w:sz w:val="20"/>
              </w:rPr>
            </w:pPr>
          </w:p>
        </w:tc>
      </w:tr>
      <w:tr w:rsidR="0035587D" w:rsidRPr="00400687" w14:paraId="01F317D0" w14:textId="77777777" w:rsidTr="0035587D">
        <w:trPr>
          <w:tblHeader/>
        </w:trPr>
        <w:tc>
          <w:tcPr>
            <w:tcW w:w="1848" w:type="dxa"/>
            <w:vMerge/>
          </w:tcPr>
          <w:p w14:paraId="618508A6" w14:textId="77777777" w:rsidR="00F22A70" w:rsidRPr="00400687" w:rsidRDefault="00F22A70" w:rsidP="00BD111F">
            <w:pPr>
              <w:pStyle w:val="TableHeading1"/>
              <w:rPr>
                <w:sz w:val="20"/>
              </w:rPr>
            </w:pPr>
          </w:p>
        </w:tc>
        <w:tc>
          <w:tcPr>
            <w:tcW w:w="567" w:type="dxa"/>
            <w:shd w:val="clear" w:color="auto" w:fill="0079C1" w:themeFill="text2"/>
          </w:tcPr>
          <w:p w14:paraId="47A9BFBE" w14:textId="77777777" w:rsidR="00F22A70" w:rsidRPr="00400687" w:rsidRDefault="00F22A70" w:rsidP="00BD111F">
            <w:pPr>
              <w:pStyle w:val="TableHeading1Centred"/>
              <w:rPr>
                <w:sz w:val="20"/>
              </w:rPr>
            </w:pPr>
            <w:r w:rsidRPr="00400687">
              <w:rPr>
                <w:sz w:val="20"/>
              </w:rPr>
              <w:t>n</w:t>
            </w:r>
          </w:p>
        </w:tc>
        <w:tc>
          <w:tcPr>
            <w:tcW w:w="994" w:type="dxa"/>
            <w:shd w:val="clear" w:color="auto" w:fill="0079C1" w:themeFill="text2"/>
          </w:tcPr>
          <w:p w14:paraId="562DA407" w14:textId="77777777" w:rsidR="00F22A70" w:rsidRPr="00400687" w:rsidRDefault="00F22A70" w:rsidP="00BD111F">
            <w:pPr>
              <w:pStyle w:val="TableHeading1Centred"/>
              <w:rPr>
                <w:sz w:val="20"/>
              </w:rPr>
            </w:pPr>
            <w:r w:rsidRPr="00400687">
              <w:rPr>
                <w:sz w:val="20"/>
              </w:rPr>
              <w:t>%</w:t>
            </w:r>
          </w:p>
        </w:tc>
        <w:tc>
          <w:tcPr>
            <w:tcW w:w="480" w:type="dxa"/>
            <w:shd w:val="clear" w:color="auto" w:fill="0079C1" w:themeFill="text2"/>
          </w:tcPr>
          <w:p w14:paraId="2FFA8FBD" w14:textId="77777777" w:rsidR="00F22A70" w:rsidRPr="00400687" w:rsidRDefault="00F22A70" w:rsidP="00BD111F">
            <w:pPr>
              <w:pStyle w:val="TableHeading1Centred"/>
              <w:rPr>
                <w:sz w:val="20"/>
              </w:rPr>
            </w:pPr>
            <w:r w:rsidRPr="00400687">
              <w:rPr>
                <w:sz w:val="20"/>
              </w:rPr>
              <w:t>n</w:t>
            </w:r>
          </w:p>
        </w:tc>
        <w:tc>
          <w:tcPr>
            <w:tcW w:w="938" w:type="dxa"/>
            <w:shd w:val="clear" w:color="auto" w:fill="0079C1" w:themeFill="text2"/>
          </w:tcPr>
          <w:p w14:paraId="3A690E6B" w14:textId="77777777" w:rsidR="00F22A70" w:rsidRPr="00400687" w:rsidRDefault="00F22A70" w:rsidP="00BD111F">
            <w:pPr>
              <w:pStyle w:val="TableHeading1Centred"/>
              <w:rPr>
                <w:sz w:val="20"/>
              </w:rPr>
            </w:pPr>
            <w:r w:rsidRPr="00400687">
              <w:rPr>
                <w:sz w:val="20"/>
              </w:rPr>
              <w:t>%</w:t>
            </w:r>
          </w:p>
        </w:tc>
        <w:tc>
          <w:tcPr>
            <w:tcW w:w="536" w:type="dxa"/>
            <w:shd w:val="clear" w:color="auto" w:fill="0079C1" w:themeFill="text2"/>
          </w:tcPr>
          <w:p w14:paraId="6B5AE0A8" w14:textId="77777777" w:rsidR="00F22A70" w:rsidRPr="00400687" w:rsidRDefault="00F22A70" w:rsidP="00BD111F">
            <w:pPr>
              <w:pStyle w:val="TableHeading1Centred"/>
              <w:rPr>
                <w:sz w:val="20"/>
              </w:rPr>
            </w:pPr>
            <w:r w:rsidRPr="00400687">
              <w:rPr>
                <w:sz w:val="20"/>
              </w:rPr>
              <w:t>n</w:t>
            </w:r>
          </w:p>
        </w:tc>
        <w:tc>
          <w:tcPr>
            <w:tcW w:w="1023" w:type="dxa"/>
            <w:shd w:val="clear" w:color="auto" w:fill="0079C1" w:themeFill="text2"/>
          </w:tcPr>
          <w:p w14:paraId="1869794E" w14:textId="77777777" w:rsidR="00F22A70" w:rsidRPr="00400687" w:rsidRDefault="00F22A70" w:rsidP="00BD111F">
            <w:pPr>
              <w:pStyle w:val="TableHeading1Centred"/>
              <w:rPr>
                <w:sz w:val="20"/>
              </w:rPr>
            </w:pPr>
            <w:r w:rsidRPr="00400687">
              <w:rPr>
                <w:sz w:val="20"/>
              </w:rPr>
              <w:t>%</w:t>
            </w:r>
          </w:p>
        </w:tc>
        <w:tc>
          <w:tcPr>
            <w:tcW w:w="451" w:type="dxa"/>
            <w:shd w:val="clear" w:color="auto" w:fill="0079C1" w:themeFill="text2"/>
          </w:tcPr>
          <w:p w14:paraId="215F6AF2" w14:textId="77777777" w:rsidR="00F22A70" w:rsidRPr="00400687" w:rsidRDefault="00F22A70" w:rsidP="00BD111F">
            <w:pPr>
              <w:pStyle w:val="TableHeading1Centred"/>
              <w:rPr>
                <w:sz w:val="20"/>
              </w:rPr>
            </w:pPr>
            <w:r w:rsidRPr="00400687">
              <w:rPr>
                <w:sz w:val="20"/>
              </w:rPr>
              <w:t>n</w:t>
            </w:r>
          </w:p>
        </w:tc>
        <w:tc>
          <w:tcPr>
            <w:tcW w:w="967" w:type="dxa"/>
            <w:shd w:val="clear" w:color="auto" w:fill="0079C1" w:themeFill="text2"/>
          </w:tcPr>
          <w:p w14:paraId="649695F0" w14:textId="77777777" w:rsidR="00F22A70" w:rsidRPr="00400687" w:rsidRDefault="00F22A70" w:rsidP="00BD111F">
            <w:pPr>
              <w:pStyle w:val="TableHeading1Centred"/>
              <w:rPr>
                <w:sz w:val="20"/>
              </w:rPr>
            </w:pPr>
            <w:r w:rsidRPr="00400687">
              <w:rPr>
                <w:sz w:val="20"/>
              </w:rPr>
              <w:t>%</w:t>
            </w:r>
          </w:p>
        </w:tc>
        <w:tc>
          <w:tcPr>
            <w:tcW w:w="567" w:type="dxa"/>
            <w:shd w:val="clear" w:color="auto" w:fill="0079C1" w:themeFill="text2"/>
          </w:tcPr>
          <w:p w14:paraId="0002F1BB" w14:textId="77777777" w:rsidR="00F22A70" w:rsidRPr="00400687" w:rsidRDefault="00F22A70" w:rsidP="00BD111F">
            <w:pPr>
              <w:pStyle w:val="TableHeading1Centred"/>
              <w:rPr>
                <w:sz w:val="20"/>
              </w:rPr>
            </w:pPr>
            <w:r w:rsidRPr="00400687">
              <w:rPr>
                <w:sz w:val="20"/>
              </w:rPr>
              <w:t>n</w:t>
            </w:r>
          </w:p>
        </w:tc>
        <w:tc>
          <w:tcPr>
            <w:tcW w:w="1134" w:type="dxa"/>
            <w:shd w:val="clear" w:color="auto" w:fill="0079C1" w:themeFill="text2"/>
          </w:tcPr>
          <w:p w14:paraId="0C0048BC" w14:textId="77777777" w:rsidR="00F22A70" w:rsidRPr="00400687" w:rsidRDefault="00F22A70" w:rsidP="00BD111F">
            <w:pPr>
              <w:pStyle w:val="TableHeading1Centred"/>
              <w:rPr>
                <w:sz w:val="20"/>
              </w:rPr>
            </w:pPr>
            <w:r w:rsidRPr="00400687">
              <w:rPr>
                <w:sz w:val="20"/>
              </w:rPr>
              <w:t>%</w:t>
            </w:r>
          </w:p>
        </w:tc>
      </w:tr>
      <w:tr w:rsidR="0007761D" w:rsidRPr="00400687" w14:paraId="6C1B8E1A" w14:textId="77777777" w:rsidTr="00400687">
        <w:trPr>
          <w:cantSplit/>
        </w:trPr>
        <w:tc>
          <w:tcPr>
            <w:tcW w:w="1848" w:type="dxa"/>
            <w:tcBorders>
              <w:right w:val="single" w:sz="4" w:space="0" w:color="0079C1"/>
            </w:tcBorders>
            <w:shd w:val="clear" w:color="auto" w:fill="auto"/>
          </w:tcPr>
          <w:p w14:paraId="65E53AC2" w14:textId="77777777" w:rsidR="0007761D" w:rsidRPr="00400687" w:rsidRDefault="0007761D" w:rsidP="00BD111F">
            <w:pPr>
              <w:pStyle w:val="TableText"/>
              <w:rPr>
                <w:sz w:val="20"/>
                <w:szCs w:val="20"/>
              </w:rPr>
            </w:pPr>
            <w:r w:rsidRPr="00400687">
              <w:rPr>
                <w:sz w:val="20"/>
                <w:szCs w:val="20"/>
              </w:rPr>
              <w:t>By browsing the web</w:t>
            </w:r>
          </w:p>
        </w:tc>
        <w:tc>
          <w:tcPr>
            <w:tcW w:w="567" w:type="dxa"/>
            <w:tcBorders>
              <w:left w:val="single" w:sz="4" w:space="0" w:color="0079C1"/>
            </w:tcBorders>
            <w:shd w:val="clear" w:color="auto" w:fill="auto"/>
            <w:vAlign w:val="center"/>
          </w:tcPr>
          <w:p w14:paraId="260C0E10" w14:textId="77777777" w:rsidR="0007761D" w:rsidRPr="00400687" w:rsidRDefault="0007761D" w:rsidP="0007761D">
            <w:pPr>
              <w:pStyle w:val="TableTextCentred"/>
              <w:rPr>
                <w:sz w:val="20"/>
                <w:szCs w:val="20"/>
              </w:rPr>
            </w:pPr>
            <w:r w:rsidRPr="00400687">
              <w:rPr>
                <w:sz w:val="20"/>
                <w:szCs w:val="20"/>
              </w:rPr>
              <w:t>50</w:t>
            </w:r>
          </w:p>
        </w:tc>
        <w:tc>
          <w:tcPr>
            <w:tcW w:w="994" w:type="dxa"/>
            <w:tcBorders>
              <w:right w:val="single" w:sz="4" w:space="0" w:color="0079C1"/>
            </w:tcBorders>
            <w:shd w:val="clear" w:color="auto" w:fill="auto"/>
            <w:vAlign w:val="center"/>
          </w:tcPr>
          <w:p w14:paraId="378452F4" w14:textId="77777777" w:rsidR="0007761D" w:rsidRPr="00400687" w:rsidRDefault="0007761D" w:rsidP="0007761D">
            <w:pPr>
              <w:pStyle w:val="TableTextCentred"/>
              <w:rPr>
                <w:sz w:val="20"/>
                <w:szCs w:val="20"/>
              </w:rPr>
            </w:pPr>
            <w:r w:rsidRPr="00400687">
              <w:rPr>
                <w:sz w:val="20"/>
                <w:szCs w:val="20"/>
              </w:rPr>
              <w:t>46.3%</w:t>
            </w:r>
          </w:p>
        </w:tc>
        <w:tc>
          <w:tcPr>
            <w:tcW w:w="480" w:type="dxa"/>
            <w:tcBorders>
              <w:left w:val="single" w:sz="4" w:space="0" w:color="0079C1"/>
            </w:tcBorders>
            <w:shd w:val="clear" w:color="auto" w:fill="auto"/>
            <w:vAlign w:val="center"/>
          </w:tcPr>
          <w:p w14:paraId="6A6F3DFE" w14:textId="7B6AEA36" w:rsidR="0007761D" w:rsidRPr="00400687" w:rsidRDefault="0007761D" w:rsidP="0007761D">
            <w:pPr>
              <w:pStyle w:val="TableTextCentred"/>
              <w:rPr>
                <w:sz w:val="20"/>
                <w:szCs w:val="20"/>
              </w:rPr>
            </w:pPr>
            <w:r w:rsidRPr="00400687">
              <w:rPr>
                <w:sz w:val="20"/>
                <w:szCs w:val="20"/>
              </w:rPr>
              <w:t>2</w:t>
            </w:r>
          </w:p>
        </w:tc>
        <w:tc>
          <w:tcPr>
            <w:tcW w:w="938" w:type="dxa"/>
            <w:tcBorders>
              <w:right w:val="single" w:sz="4" w:space="0" w:color="0079C1"/>
            </w:tcBorders>
            <w:shd w:val="clear" w:color="auto" w:fill="auto"/>
            <w:vAlign w:val="center"/>
          </w:tcPr>
          <w:p w14:paraId="48AA33EE" w14:textId="4FA82356" w:rsidR="0007761D" w:rsidRPr="00400687" w:rsidRDefault="0007761D" w:rsidP="0007761D">
            <w:pPr>
              <w:pStyle w:val="TableTextCentred"/>
              <w:rPr>
                <w:sz w:val="20"/>
                <w:szCs w:val="20"/>
              </w:rPr>
            </w:pPr>
            <w:r w:rsidRPr="00400687">
              <w:rPr>
                <w:sz w:val="20"/>
                <w:szCs w:val="20"/>
              </w:rPr>
              <w:t>10.5%</w:t>
            </w:r>
          </w:p>
        </w:tc>
        <w:tc>
          <w:tcPr>
            <w:tcW w:w="536" w:type="dxa"/>
            <w:tcBorders>
              <w:left w:val="single" w:sz="4" w:space="0" w:color="0079C1"/>
            </w:tcBorders>
            <w:shd w:val="clear" w:color="auto" w:fill="auto"/>
            <w:vAlign w:val="center"/>
          </w:tcPr>
          <w:p w14:paraId="44971890" w14:textId="77777777" w:rsidR="0007761D" w:rsidRPr="00400687" w:rsidRDefault="0007761D" w:rsidP="0007761D">
            <w:pPr>
              <w:pStyle w:val="TableTextCentred"/>
              <w:rPr>
                <w:sz w:val="20"/>
                <w:szCs w:val="20"/>
              </w:rPr>
            </w:pPr>
            <w:r w:rsidRPr="00400687">
              <w:rPr>
                <w:sz w:val="20"/>
                <w:szCs w:val="20"/>
              </w:rPr>
              <w:t>6</w:t>
            </w:r>
          </w:p>
        </w:tc>
        <w:tc>
          <w:tcPr>
            <w:tcW w:w="1023" w:type="dxa"/>
            <w:tcBorders>
              <w:right w:val="single" w:sz="4" w:space="0" w:color="0079C1"/>
            </w:tcBorders>
            <w:shd w:val="clear" w:color="auto" w:fill="auto"/>
            <w:vAlign w:val="center"/>
          </w:tcPr>
          <w:p w14:paraId="739623C0" w14:textId="77777777" w:rsidR="0007761D" w:rsidRPr="00400687" w:rsidRDefault="0007761D" w:rsidP="0007761D">
            <w:pPr>
              <w:pStyle w:val="TableTextCentred"/>
              <w:rPr>
                <w:sz w:val="20"/>
                <w:szCs w:val="20"/>
              </w:rPr>
            </w:pPr>
            <w:r w:rsidRPr="00400687">
              <w:rPr>
                <w:sz w:val="20"/>
                <w:szCs w:val="20"/>
              </w:rPr>
              <w:t>8.2%</w:t>
            </w:r>
          </w:p>
        </w:tc>
        <w:tc>
          <w:tcPr>
            <w:tcW w:w="451" w:type="dxa"/>
            <w:tcBorders>
              <w:left w:val="single" w:sz="4" w:space="0" w:color="0079C1"/>
            </w:tcBorders>
            <w:shd w:val="clear" w:color="auto" w:fill="auto"/>
            <w:vAlign w:val="center"/>
          </w:tcPr>
          <w:p w14:paraId="61E67BFA" w14:textId="5472CC30" w:rsidR="0007761D" w:rsidRPr="00400687" w:rsidRDefault="0007761D" w:rsidP="0007761D">
            <w:pPr>
              <w:pStyle w:val="TableTextCentred"/>
              <w:rPr>
                <w:sz w:val="20"/>
                <w:szCs w:val="20"/>
              </w:rPr>
            </w:pPr>
            <w:r w:rsidRPr="00400687">
              <w:rPr>
                <w:sz w:val="20"/>
                <w:szCs w:val="20"/>
              </w:rPr>
              <w:t>11</w:t>
            </w:r>
          </w:p>
        </w:tc>
        <w:tc>
          <w:tcPr>
            <w:tcW w:w="967" w:type="dxa"/>
            <w:tcBorders>
              <w:right w:val="single" w:sz="4" w:space="0" w:color="0079C1"/>
            </w:tcBorders>
            <w:shd w:val="clear" w:color="auto" w:fill="auto"/>
            <w:vAlign w:val="center"/>
          </w:tcPr>
          <w:p w14:paraId="622F0FFE" w14:textId="53102A33" w:rsidR="0007761D" w:rsidRPr="00400687" w:rsidRDefault="0007761D" w:rsidP="0007761D">
            <w:pPr>
              <w:pStyle w:val="TableTextCentred"/>
              <w:rPr>
                <w:sz w:val="20"/>
                <w:szCs w:val="20"/>
              </w:rPr>
            </w:pPr>
            <w:r w:rsidRPr="00400687">
              <w:rPr>
                <w:sz w:val="20"/>
                <w:szCs w:val="20"/>
              </w:rPr>
              <w:t>55.0%</w:t>
            </w:r>
          </w:p>
        </w:tc>
        <w:tc>
          <w:tcPr>
            <w:tcW w:w="567" w:type="dxa"/>
            <w:tcBorders>
              <w:left w:val="single" w:sz="4" w:space="0" w:color="0079C1"/>
            </w:tcBorders>
            <w:shd w:val="clear" w:color="auto" w:fill="auto"/>
            <w:vAlign w:val="center"/>
          </w:tcPr>
          <w:p w14:paraId="42856BE0" w14:textId="7835F05A" w:rsidR="0007761D" w:rsidRPr="00400687" w:rsidRDefault="0007761D" w:rsidP="0007761D">
            <w:pPr>
              <w:pStyle w:val="TableTextCentred"/>
              <w:rPr>
                <w:rStyle w:val="Strong"/>
                <w:sz w:val="20"/>
                <w:szCs w:val="20"/>
              </w:rPr>
            </w:pPr>
            <w:r w:rsidRPr="00400687">
              <w:rPr>
                <w:rStyle w:val="Strong"/>
                <w:sz w:val="20"/>
                <w:szCs w:val="20"/>
              </w:rPr>
              <w:t>69</w:t>
            </w:r>
          </w:p>
        </w:tc>
        <w:tc>
          <w:tcPr>
            <w:tcW w:w="1134" w:type="dxa"/>
            <w:shd w:val="clear" w:color="auto" w:fill="auto"/>
            <w:vAlign w:val="center"/>
          </w:tcPr>
          <w:p w14:paraId="138839BC" w14:textId="2732C021" w:rsidR="0007761D" w:rsidRPr="00400687" w:rsidRDefault="0007761D" w:rsidP="0007761D">
            <w:pPr>
              <w:pStyle w:val="TableTextCentred"/>
              <w:rPr>
                <w:rStyle w:val="Strong"/>
                <w:sz w:val="20"/>
                <w:szCs w:val="20"/>
              </w:rPr>
            </w:pPr>
            <w:r w:rsidRPr="00400687">
              <w:rPr>
                <w:rStyle w:val="Strong"/>
                <w:sz w:val="20"/>
                <w:szCs w:val="20"/>
              </w:rPr>
              <w:t>31.4%</w:t>
            </w:r>
          </w:p>
        </w:tc>
      </w:tr>
      <w:tr w:rsidR="0007761D" w:rsidRPr="00400687" w14:paraId="62D681A4" w14:textId="77777777" w:rsidTr="00400687">
        <w:trPr>
          <w:cantSplit/>
        </w:trPr>
        <w:tc>
          <w:tcPr>
            <w:tcW w:w="1848" w:type="dxa"/>
            <w:tcBorders>
              <w:right w:val="single" w:sz="4" w:space="0" w:color="0079C1"/>
            </w:tcBorders>
            <w:shd w:val="clear" w:color="auto" w:fill="auto"/>
          </w:tcPr>
          <w:p w14:paraId="78276D1C" w14:textId="77777777" w:rsidR="0007761D" w:rsidRPr="00400687" w:rsidRDefault="0007761D" w:rsidP="00BD111F">
            <w:pPr>
              <w:pStyle w:val="TableText"/>
              <w:rPr>
                <w:sz w:val="20"/>
                <w:szCs w:val="20"/>
              </w:rPr>
            </w:pPr>
            <w:r w:rsidRPr="00400687">
              <w:rPr>
                <w:sz w:val="20"/>
                <w:szCs w:val="20"/>
              </w:rPr>
              <w:t>By word of mouth</w:t>
            </w:r>
          </w:p>
        </w:tc>
        <w:tc>
          <w:tcPr>
            <w:tcW w:w="567" w:type="dxa"/>
            <w:tcBorders>
              <w:left w:val="single" w:sz="4" w:space="0" w:color="0079C1"/>
            </w:tcBorders>
            <w:shd w:val="clear" w:color="auto" w:fill="auto"/>
            <w:vAlign w:val="center"/>
          </w:tcPr>
          <w:p w14:paraId="1B91BA25" w14:textId="77777777" w:rsidR="0007761D" w:rsidRPr="00400687" w:rsidRDefault="0007761D" w:rsidP="0007761D">
            <w:pPr>
              <w:pStyle w:val="TableTextCentred"/>
              <w:rPr>
                <w:sz w:val="20"/>
                <w:szCs w:val="20"/>
              </w:rPr>
            </w:pPr>
            <w:r w:rsidRPr="00400687">
              <w:rPr>
                <w:sz w:val="20"/>
                <w:szCs w:val="20"/>
              </w:rPr>
              <w:t>4</w:t>
            </w:r>
          </w:p>
        </w:tc>
        <w:tc>
          <w:tcPr>
            <w:tcW w:w="994" w:type="dxa"/>
            <w:tcBorders>
              <w:right w:val="single" w:sz="4" w:space="0" w:color="0079C1"/>
            </w:tcBorders>
            <w:shd w:val="clear" w:color="auto" w:fill="auto"/>
            <w:vAlign w:val="center"/>
          </w:tcPr>
          <w:p w14:paraId="409ED15E" w14:textId="77777777" w:rsidR="0007761D" w:rsidRPr="00400687" w:rsidRDefault="0007761D" w:rsidP="0007761D">
            <w:pPr>
              <w:pStyle w:val="TableTextCentred"/>
              <w:rPr>
                <w:sz w:val="20"/>
                <w:szCs w:val="20"/>
              </w:rPr>
            </w:pPr>
            <w:r w:rsidRPr="00400687">
              <w:rPr>
                <w:sz w:val="20"/>
                <w:szCs w:val="20"/>
              </w:rPr>
              <w:t>3.7%</w:t>
            </w:r>
          </w:p>
        </w:tc>
        <w:tc>
          <w:tcPr>
            <w:tcW w:w="480" w:type="dxa"/>
            <w:tcBorders>
              <w:left w:val="single" w:sz="4" w:space="0" w:color="0079C1"/>
            </w:tcBorders>
            <w:shd w:val="clear" w:color="auto" w:fill="auto"/>
            <w:vAlign w:val="center"/>
          </w:tcPr>
          <w:p w14:paraId="27D2D845" w14:textId="00606E8A" w:rsidR="0007761D" w:rsidRPr="00400687" w:rsidRDefault="0007761D" w:rsidP="0007761D">
            <w:pPr>
              <w:pStyle w:val="TableTextCentred"/>
              <w:rPr>
                <w:sz w:val="20"/>
                <w:szCs w:val="20"/>
              </w:rPr>
            </w:pPr>
            <w:r w:rsidRPr="00400687">
              <w:rPr>
                <w:sz w:val="20"/>
                <w:szCs w:val="20"/>
              </w:rPr>
              <w:t>-</w:t>
            </w:r>
          </w:p>
        </w:tc>
        <w:tc>
          <w:tcPr>
            <w:tcW w:w="938" w:type="dxa"/>
            <w:tcBorders>
              <w:right w:val="single" w:sz="4" w:space="0" w:color="0079C1"/>
            </w:tcBorders>
            <w:shd w:val="clear" w:color="auto" w:fill="auto"/>
            <w:vAlign w:val="center"/>
          </w:tcPr>
          <w:p w14:paraId="5EBF8FBA" w14:textId="0E7D64E0" w:rsidR="0007761D" w:rsidRPr="00400687" w:rsidRDefault="0007761D" w:rsidP="0007761D">
            <w:pPr>
              <w:pStyle w:val="TableTextCentred"/>
              <w:rPr>
                <w:sz w:val="20"/>
                <w:szCs w:val="20"/>
              </w:rPr>
            </w:pPr>
            <w:r w:rsidRPr="00400687">
              <w:rPr>
                <w:sz w:val="20"/>
                <w:szCs w:val="20"/>
              </w:rPr>
              <w:t>-</w:t>
            </w:r>
          </w:p>
        </w:tc>
        <w:tc>
          <w:tcPr>
            <w:tcW w:w="536" w:type="dxa"/>
            <w:tcBorders>
              <w:left w:val="single" w:sz="4" w:space="0" w:color="0079C1"/>
            </w:tcBorders>
            <w:shd w:val="clear" w:color="auto" w:fill="auto"/>
            <w:vAlign w:val="center"/>
          </w:tcPr>
          <w:p w14:paraId="75F9C967" w14:textId="77777777" w:rsidR="0007761D" w:rsidRPr="00400687" w:rsidRDefault="0007761D" w:rsidP="0007761D">
            <w:pPr>
              <w:pStyle w:val="TableTextCentred"/>
              <w:rPr>
                <w:sz w:val="20"/>
                <w:szCs w:val="20"/>
              </w:rPr>
            </w:pPr>
            <w:r w:rsidRPr="00400687">
              <w:rPr>
                <w:sz w:val="20"/>
                <w:szCs w:val="20"/>
              </w:rPr>
              <w:t>3</w:t>
            </w:r>
          </w:p>
        </w:tc>
        <w:tc>
          <w:tcPr>
            <w:tcW w:w="1023" w:type="dxa"/>
            <w:tcBorders>
              <w:right w:val="single" w:sz="4" w:space="0" w:color="0079C1"/>
            </w:tcBorders>
            <w:shd w:val="clear" w:color="auto" w:fill="auto"/>
            <w:vAlign w:val="center"/>
          </w:tcPr>
          <w:p w14:paraId="0AB077C5" w14:textId="77777777" w:rsidR="0007761D" w:rsidRPr="00400687" w:rsidRDefault="0007761D" w:rsidP="0007761D">
            <w:pPr>
              <w:pStyle w:val="TableTextCentred"/>
              <w:rPr>
                <w:sz w:val="20"/>
                <w:szCs w:val="20"/>
              </w:rPr>
            </w:pPr>
            <w:r w:rsidRPr="00400687">
              <w:rPr>
                <w:sz w:val="20"/>
                <w:szCs w:val="20"/>
              </w:rPr>
              <w:t>4.1%</w:t>
            </w:r>
          </w:p>
        </w:tc>
        <w:tc>
          <w:tcPr>
            <w:tcW w:w="451" w:type="dxa"/>
            <w:tcBorders>
              <w:left w:val="single" w:sz="4" w:space="0" w:color="0079C1"/>
            </w:tcBorders>
            <w:shd w:val="clear" w:color="auto" w:fill="auto"/>
            <w:vAlign w:val="center"/>
          </w:tcPr>
          <w:p w14:paraId="2EEF8414" w14:textId="12A33E19" w:rsidR="0007761D" w:rsidRPr="00400687" w:rsidRDefault="0007761D" w:rsidP="0007761D">
            <w:pPr>
              <w:pStyle w:val="TableTextCentred"/>
              <w:rPr>
                <w:sz w:val="20"/>
                <w:szCs w:val="20"/>
              </w:rPr>
            </w:pPr>
            <w:r w:rsidRPr="00400687">
              <w:rPr>
                <w:sz w:val="20"/>
                <w:szCs w:val="20"/>
              </w:rPr>
              <w:t>1</w:t>
            </w:r>
          </w:p>
        </w:tc>
        <w:tc>
          <w:tcPr>
            <w:tcW w:w="967" w:type="dxa"/>
            <w:tcBorders>
              <w:right w:val="single" w:sz="4" w:space="0" w:color="0079C1"/>
            </w:tcBorders>
            <w:shd w:val="clear" w:color="auto" w:fill="auto"/>
            <w:vAlign w:val="center"/>
          </w:tcPr>
          <w:p w14:paraId="35AABFFE" w14:textId="1B91F770" w:rsidR="0007761D" w:rsidRPr="00400687" w:rsidRDefault="0007761D" w:rsidP="0007761D">
            <w:pPr>
              <w:pStyle w:val="TableTextCentred"/>
              <w:rPr>
                <w:sz w:val="20"/>
                <w:szCs w:val="20"/>
              </w:rPr>
            </w:pPr>
            <w:r w:rsidRPr="00400687">
              <w:rPr>
                <w:sz w:val="20"/>
                <w:szCs w:val="20"/>
              </w:rPr>
              <w:t>5.0%</w:t>
            </w:r>
          </w:p>
        </w:tc>
        <w:tc>
          <w:tcPr>
            <w:tcW w:w="567" w:type="dxa"/>
            <w:tcBorders>
              <w:left w:val="single" w:sz="4" w:space="0" w:color="0079C1"/>
            </w:tcBorders>
            <w:shd w:val="clear" w:color="auto" w:fill="auto"/>
            <w:vAlign w:val="center"/>
          </w:tcPr>
          <w:p w14:paraId="72944D1C" w14:textId="078313CC" w:rsidR="0007761D" w:rsidRPr="00400687" w:rsidRDefault="0007761D" w:rsidP="0007761D">
            <w:pPr>
              <w:pStyle w:val="TableTextCentred"/>
              <w:rPr>
                <w:rStyle w:val="Strong"/>
                <w:sz w:val="20"/>
                <w:szCs w:val="20"/>
              </w:rPr>
            </w:pPr>
            <w:r w:rsidRPr="00400687">
              <w:rPr>
                <w:rStyle w:val="Strong"/>
                <w:sz w:val="20"/>
                <w:szCs w:val="20"/>
              </w:rPr>
              <w:t>8</w:t>
            </w:r>
          </w:p>
        </w:tc>
        <w:tc>
          <w:tcPr>
            <w:tcW w:w="1134" w:type="dxa"/>
            <w:shd w:val="clear" w:color="auto" w:fill="auto"/>
            <w:vAlign w:val="center"/>
          </w:tcPr>
          <w:p w14:paraId="3E5F2335" w14:textId="3B7525E9" w:rsidR="0007761D" w:rsidRPr="00400687" w:rsidRDefault="0007761D" w:rsidP="0007761D">
            <w:pPr>
              <w:pStyle w:val="TableTextCentred"/>
              <w:rPr>
                <w:rStyle w:val="Strong"/>
                <w:sz w:val="20"/>
                <w:szCs w:val="20"/>
              </w:rPr>
            </w:pPr>
            <w:r w:rsidRPr="00400687">
              <w:rPr>
                <w:rStyle w:val="Strong"/>
                <w:sz w:val="20"/>
                <w:szCs w:val="20"/>
              </w:rPr>
              <w:t>3.6%</w:t>
            </w:r>
          </w:p>
        </w:tc>
      </w:tr>
      <w:tr w:rsidR="0007761D" w:rsidRPr="00400687" w14:paraId="13E15C07" w14:textId="77777777" w:rsidTr="00400687">
        <w:trPr>
          <w:cantSplit/>
        </w:trPr>
        <w:tc>
          <w:tcPr>
            <w:tcW w:w="1848" w:type="dxa"/>
            <w:tcBorders>
              <w:right w:val="single" w:sz="4" w:space="0" w:color="0079C1"/>
            </w:tcBorders>
          </w:tcPr>
          <w:p w14:paraId="5A38652A" w14:textId="3AACD063" w:rsidR="0007761D" w:rsidRPr="00400687" w:rsidRDefault="0007761D" w:rsidP="00BD111F">
            <w:pPr>
              <w:pStyle w:val="TableText"/>
              <w:rPr>
                <w:sz w:val="20"/>
                <w:szCs w:val="20"/>
              </w:rPr>
            </w:pPr>
            <w:r w:rsidRPr="00400687">
              <w:rPr>
                <w:sz w:val="20"/>
                <w:szCs w:val="20"/>
              </w:rPr>
              <w:lastRenderedPageBreak/>
              <w:t>Through a parent support/ adoption group</w:t>
            </w:r>
          </w:p>
        </w:tc>
        <w:tc>
          <w:tcPr>
            <w:tcW w:w="567" w:type="dxa"/>
            <w:tcBorders>
              <w:left w:val="single" w:sz="4" w:space="0" w:color="0079C1"/>
            </w:tcBorders>
            <w:shd w:val="clear" w:color="auto" w:fill="auto"/>
            <w:vAlign w:val="center"/>
          </w:tcPr>
          <w:p w14:paraId="408DEE60" w14:textId="77777777" w:rsidR="0007761D" w:rsidRPr="00400687" w:rsidRDefault="0007761D" w:rsidP="0007761D">
            <w:pPr>
              <w:pStyle w:val="TableTextCentred"/>
              <w:rPr>
                <w:sz w:val="20"/>
                <w:szCs w:val="20"/>
              </w:rPr>
            </w:pPr>
            <w:r w:rsidRPr="00400687">
              <w:rPr>
                <w:sz w:val="20"/>
                <w:szCs w:val="20"/>
              </w:rPr>
              <w:t>5</w:t>
            </w:r>
          </w:p>
        </w:tc>
        <w:tc>
          <w:tcPr>
            <w:tcW w:w="994" w:type="dxa"/>
            <w:tcBorders>
              <w:right w:val="single" w:sz="4" w:space="0" w:color="0079C1"/>
            </w:tcBorders>
            <w:shd w:val="clear" w:color="auto" w:fill="auto"/>
            <w:vAlign w:val="center"/>
          </w:tcPr>
          <w:p w14:paraId="1FFEA4DB" w14:textId="77777777" w:rsidR="0007761D" w:rsidRPr="00400687" w:rsidRDefault="0007761D" w:rsidP="0007761D">
            <w:pPr>
              <w:pStyle w:val="TableTextCentred"/>
              <w:rPr>
                <w:sz w:val="20"/>
                <w:szCs w:val="20"/>
              </w:rPr>
            </w:pPr>
            <w:r w:rsidRPr="00400687">
              <w:rPr>
                <w:sz w:val="20"/>
                <w:szCs w:val="20"/>
              </w:rPr>
              <w:t>4.6%</w:t>
            </w:r>
          </w:p>
        </w:tc>
        <w:tc>
          <w:tcPr>
            <w:tcW w:w="480" w:type="dxa"/>
            <w:tcBorders>
              <w:left w:val="single" w:sz="4" w:space="0" w:color="0079C1"/>
            </w:tcBorders>
            <w:shd w:val="clear" w:color="auto" w:fill="auto"/>
            <w:vAlign w:val="center"/>
          </w:tcPr>
          <w:p w14:paraId="07072015" w14:textId="67FFC75F" w:rsidR="0007761D" w:rsidRPr="00400687" w:rsidRDefault="0007761D" w:rsidP="0007761D">
            <w:pPr>
              <w:pStyle w:val="TableTextCentred"/>
              <w:rPr>
                <w:sz w:val="20"/>
                <w:szCs w:val="20"/>
              </w:rPr>
            </w:pPr>
            <w:r w:rsidRPr="00400687">
              <w:rPr>
                <w:sz w:val="20"/>
                <w:szCs w:val="20"/>
              </w:rPr>
              <w:t>2</w:t>
            </w:r>
          </w:p>
        </w:tc>
        <w:tc>
          <w:tcPr>
            <w:tcW w:w="938" w:type="dxa"/>
            <w:tcBorders>
              <w:right w:val="single" w:sz="4" w:space="0" w:color="0079C1"/>
            </w:tcBorders>
            <w:shd w:val="clear" w:color="auto" w:fill="auto"/>
            <w:vAlign w:val="center"/>
          </w:tcPr>
          <w:p w14:paraId="376673C9" w14:textId="5A9074AE" w:rsidR="0007761D" w:rsidRPr="00400687" w:rsidRDefault="0007761D" w:rsidP="0007761D">
            <w:pPr>
              <w:pStyle w:val="TableTextCentred"/>
              <w:rPr>
                <w:sz w:val="20"/>
                <w:szCs w:val="20"/>
              </w:rPr>
            </w:pPr>
            <w:r w:rsidRPr="00400687">
              <w:rPr>
                <w:sz w:val="20"/>
                <w:szCs w:val="20"/>
              </w:rPr>
              <w:t>10.5%</w:t>
            </w:r>
          </w:p>
        </w:tc>
        <w:tc>
          <w:tcPr>
            <w:tcW w:w="536" w:type="dxa"/>
            <w:tcBorders>
              <w:left w:val="single" w:sz="4" w:space="0" w:color="0079C1"/>
            </w:tcBorders>
            <w:shd w:val="clear" w:color="auto" w:fill="auto"/>
            <w:vAlign w:val="center"/>
          </w:tcPr>
          <w:p w14:paraId="7074BBA9" w14:textId="77777777" w:rsidR="0007761D" w:rsidRPr="00400687" w:rsidRDefault="0007761D" w:rsidP="0007761D">
            <w:pPr>
              <w:pStyle w:val="TableTextCentred"/>
              <w:rPr>
                <w:sz w:val="20"/>
                <w:szCs w:val="20"/>
              </w:rPr>
            </w:pPr>
            <w:r w:rsidRPr="00400687">
              <w:rPr>
                <w:sz w:val="20"/>
                <w:szCs w:val="20"/>
              </w:rPr>
              <w:t>10</w:t>
            </w:r>
          </w:p>
        </w:tc>
        <w:tc>
          <w:tcPr>
            <w:tcW w:w="1023" w:type="dxa"/>
            <w:tcBorders>
              <w:right w:val="single" w:sz="4" w:space="0" w:color="0079C1"/>
            </w:tcBorders>
            <w:shd w:val="clear" w:color="auto" w:fill="auto"/>
            <w:vAlign w:val="center"/>
          </w:tcPr>
          <w:p w14:paraId="495033D6" w14:textId="77777777" w:rsidR="0007761D" w:rsidRPr="00400687" w:rsidRDefault="0007761D" w:rsidP="0007761D">
            <w:pPr>
              <w:pStyle w:val="TableTextCentred"/>
              <w:rPr>
                <w:sz w:val="20"/>
                <w:szCs w:val="20"/>
              </w:rPr>
            </w:pPr>
            <w:r w:rsidRPr="00400687">
              <w:rPr>
                <w:sz w:val="20"/>
                <w:szCs w:val="20"/>
              </w:rPr>
              <w:t>13.7%</w:t>
            </w:r>
          </w:p>
        </w:tc>
        <w:tc>
          <w:tcPr>
            <w:tcW w:w="451" w:type="dxa"/>
            <w:tcBorders>
              <w:left w:val="single" w:sz="4" w:space="0" w:color="0079C1"/>
            </w:tcBorders>
            <w:shd w:val="clear" w:color="auto" w:fill="auto"/>
            <w:vAlign w:val="center"/>
          </w:tcPr>
          <w:p w14:paraId="24E172BC" w14:textId="183C29CC" w:rsidR="0007761D" w:rsidRPr="00400687" w:rsidRDefault="0007761D" w:rsidP="0007761D">
            <w:pPr>
              <w:pStyle w:val="TableTextCentred"/>
              <w:rPr>
                <w:sz w:val="20"/>
                <w:szCs w:val="20"/>
              </w:rPr>
            </w:pPr>
            <w:r w:rsidRPr="00400687">
              <w:rPr>
                <w:sz w:val="20"/>
                <w:szCs w:val="20"/>
              </w:rPr>
              <w:t>-</w:t>
            </w:r>
          </w:p>
        </w:tc>
        <w:tc>
          <w:tcPr>
            <w:tcW w:w="967" w:type="dxa"/>
            <w:tcBorders>
              <w:right w:val="single" w:sz="4" w:space="0" w:color="0079C1"/>
            </w:tcBorders>
            <w:shd w:val="clear" w:color="auto" w:fill="auto"/>
            <w:vAlign w:val="center"/>
          </w:tcPr>
          <w:p w14:paraId="77FB4F8A" w14:textId="571C3BE4" w:rsidR="0007761D" w:rsidRPr="00400687" w:rsidRDefault="0007761D" w:rsidP="0007761D">
            <w:pPr>
              <w:pStyle w:val="TableTextCentred"/>
              <w:rPr>
                <w:sz w:val="20"/>
                <w:szCs w:val="20"/>
              </w:rPr>
            </w:pPr>
            <w:r w:rsidRPr="00400687">
              <w:rPr>
                <w:sz w:val="20"/>
                <w:szCs w:val="20"/>
              </w:rPr>
              <w:t>-</w:t>
            </w:r>
          </w:p>
        </w:tc>
        <w:tc>
          <w:tcPr>
            <w:tcW w:w="567" w:type="dxa"/>
            <w:tcBorders>
              <w:left w:val="single" w:sz="4" w:space="0" w:color="0079C1"/>
            </w:tcBorders>
            <w:shd w:val="clear" w:color="auto" w:fill="auto"/>
            <w:vAlign w:val="center"/>
          </w:tcPr>
          <w:p w14:paraId="7F2758A4" w14:textId="3BD64764" w:rsidR="0007761D" w:rsidRPr="00400687" w:rsidRDefault="0007761D" w:rsidP="0007761D">
            <w:pPr>
              <w:pStyle w:val="TableTextCentred"/>
              <w:rPr>
                <w:rStyle w:val="Strong"/>
                <w:sz w:val="20"/>
                <w:szCs w:val="20"/>
              </w:rPr>
            </w:pPr>
            <w:r w:rsidRPr="00400687">
              <w:rPr>
                <w:rStyle w:val="Strong"/>
                <w:sz w:val="20"/>
                <w:szCs w:val="20"/>
              </w:rPr>
              <w:t>17</w:t>
            </w:r>
          </w:p>
        </w:tc>
        <w:tc>
          <w:tcPr>
            <w:tcW w:w="1134" w:type="dxa"/>
            <w:shd w:val="clear" w:color="auto" w:fill="auto"/>
            <w:vAlign w:val="center"/>
          </w:tcPr>
          <w:p w14:paraId="238080FE" w14:textId="3C57C366" w:rsidR="0007761D" w:rsidRPr="00400687" w:rsidRDefault="0007761D" w:rsidP="0007761D">
            <w:pPr>
              <w:pStyle w:val="TableTextCentred"/>
              <w:rPr>
                <w:rStyle w:val="Strong"/>
                <w:sz w:val="20"/>
                <w:szCs w:val="20"/>
              </w:rPr>
            </w:pPr>
            <w:r w:rsidRPr="00400687">
              <w:rPr>
                <w:rStyle w:val="Strong"/>
                <w:sz w:val="20"/>
                <w:szCs w:val="20"/>
              </w:rPr>
              <w:t>7.7%</w:t>
            </w:r>
          </w:p>
        </w:tc>
      </w:tr>
      <w:tr w:rsidR="0007761D" w:rsidRPr="00400687" w14:paraId="4CEABDC4" w14:textId="77777777" w:rsidTr="00400687">
        <w:trPr>
          <w:cantSplit/>
        </w:trPr>
        <w:tc>
          <w:tcPr>
            <w:tcW w:w="1848" w:type="dxa"/>
            <w:tcBorders>
              <w:right w:val="single" w:sz="4" w:space="0" w:color="0079C1"/>
            </w:tcBorders>
          </w:tcPr>
          <w:p w14:paraId="47944485" w14:textId="77777777" w:rsidR="0007761D" w:rsidRPr="00400687" w:rsidRDefault="0007761D" w:rsidP="00BD111F">
            <w:pPr>
              <w:pStyle w:val="TableText"/>
              <w:rPr>
                <w:sz w:val="20"/>
                <w:szCs w:val="20"/>
              </w:rPr>
            </w:pPr>
            <w:r w:rsidRPr="00400687">
              <w:rPr>
                <w:sz w:val="20"/>
                <w:szCs w:val="20"/>
              </w:rPr>
              <w:t>Through my church</w:t>
            </w:r>
          </w:p>
        </w:tc>
        <w:tc>
          <w:tcPr>
            <w:tcW w:w="567" w:type="dxa"/>
            <w:tcBorders>
              <w:left w:val="single" w:sz="4" w:space="0" w:color="0079C1"/>
            </w:tcBorders>
            <w:shd w:val="clear" w:color="auto" w:fill="auto"/>
            <w:vAlign w:val="center"/>
          </w:tcPr>
          <w:p w14:paraId="1E158333" w14:textId="77777777" w:rsidR="0007761D" w:rsidRPr="00400687" w:rsidRDefault="0007761D" w:rsidP="0007761D">
            <w:pPr>
              <w:pStyle w:val="TableTextCentred"/>
              <w:rPr>
                <w:sz w:val="20"/>
                <w:szCs w:val="20"/>
              </w:rPr>
            </w:pPr>
            <w:r w:rsidRPr="00400687">
              <w:rPr>
                <w:sz w:val="20"/>
                <w:szCs w:val="20"/>
              </w:rPr>
              <w:t>1</w:t>
            </w:r>
          </w:p>
        </w:tc>
        <w:tc>
          <w:tcPr>
            <w:tcW w:w="994" w:type="dxa"/>
            <w:tcBorders>
              <w:right w:val="single" w:sz="4" w:space="0" w:color="0079C1"/>
            </w:tcBorders>
            <w:shd w:val="clear" w:color="auto" w:fill="auto"/>
            <w:vAlign w:val="center"/>
          </w:tcPr>
          <w:p w14:paraId="3A57100C" w14:textId="77777777" w:rsidR="0007761D" w:rsidRPr="00400687" w:rsidRDefault="0007761D" w:rsidP="0007761D">
            <w:pPr>
              <w:pStyle w:val="TableTextCentred"/>
              <w:rPr>
                <w:sz w:val="20"/>
                <w:szCs w:val="20"/>
              </w:rPr>
            </w:pPr>
            <w:r w:rsidRPr="00400687">
              <w:rPr>
                <w:sz w:val="20"/>
                <w:szCs w:val="20"/>
              </w:rPr>
              <w:t>0.9%</w:t>
            </w:r>
          </w:p>
        </w:tc>
        <w:tc>
          <w:tcPr>
            <w:tcW w:w="480" w:type="dxa"/>
            <w:tcBorders>
              <w:left w:val="single" w:sz="4" w:space="0" w:color="0079C1"/>
            </w:tcBorders>
            <w:shd w:val="clear" w:color="auto" w:fill="auto"/>
            <w:vAlign w:val="center"/>
          </w:tcPr>
          <w:p w14:paraId="390F7201" w14:textId="102D2655" w:rsidR="0007761D" w:rsidRPr="00400687" w:rsidRDefault="0007761D" w:rsidP="0007761D">
            <w:pPr>
              <w:pStyle w:val="TableTextCentred"/>
              <w:rPr>
                <w:sz w:val="20"/>
                <w:szCs w:val="20"/>
              </w:rPr>
            </w:pPr>
            <w:r w:rsidRPr="00400687">
              <w:rPr>
                <w:sz w:val="20"/>
                <w:szCs w:val="20"/>
              </w:rPr>
              <w:t>1</w:t>
            </w:r>
          </w:p>
        </w:tc>
        <w:tc>
          <w:tcPr>
            <w:tcW w:w="938" w:type="dxa"/>
            <w:tcBorders>
              <w:right w:val="single" w:sz="4" w:space="0" w:color="0079C1"/>
            </w:tcBorders>
            <w:shd w:val="clear" w:color="auto" w:fill="auto"/>
            <w:vAlign w:val="center"/>
          </w:tcPr>
          <w:p w14:paraId="20955B72" w14:textId="2F2446BF" w:rsidR="0007761D" w:rsidRPr="00400687" w:rsidRDefault="0007761D" w:rsidP="0007761D">
            <w:pPr>
              <w:pStyle w:val="TableTextCentred"/>
              <w:rPr>
                <w:sz w:val="20"/>
                <w:szCs w:val="20"/>
              </w:rPr>
            </w:pPr>
            <w:r w:rsidRPr="00400687">
              <w:rPr>
                <w:sz w:val="20"/>
                <w:szCs w:val="20"/>
              </w:rPr>
              <w:t>5.3%</w:t>
            </w:r>
          </w:p>
        </w:tc>
        <w:tc>
          <w:tcPr>
            <w:tcW w:w="536" w:type="dxa"/>
            <w:tcBorders>
              <w:left w:val="single" w:sz="4" w:space="0" w:color="0079C1"/>
            </w:tcBorders>
            <w:shd w:val="clear" w:color="auto" w:fill="auto"/>
            <w:vAlign w:val="center"/>
          </w:tcPr>
          <w:p w14:paraId="1CE1D80B" w14:textId="77777777" w:rsidR="0007761D" w:rsidRPr="00400687" w:rsidRDefault="0007761D" w:rsidP="0007761D">
            <w:pPr>
              <w:pStyle w:val="TableTextCentred"/>
              <w:rPr>
                <w:sz w:val="20"/>
                <w:szCs w:val="20"/>
              </w:rPr>
            </w:pPr>
          </w:p>
        </w:tc>
        <w:tc>
          <w:tcPr>
            <w:tcW w:w="1023" w:type="dxa"/>
            <w:tcBorders>
              <w:right w:val="single" w:sz="4" w:space="0" w:color="0079C1"/>
            </w:tcBorders>
            <w:shd w:val="clear" w:color="auto" w:fill="auto"/>
            <w:vAlign w:val="center"/>
          </w:tcPr>
          <w:p w14:paraId="1F29D73E" w14:textId="77777777" w:rsidR="0007761D" w:rsidRPr="00400687" w:rsidRDefault="0007761D" w:rsidP="0007761D">
            <w:pPr>
              <w:pStyle w:val="TableTextCentred"/>
              <w:rPr>
                <w:sz w:val="20"/>
                <w:szCs w:val="20"/>
              </w:rPr>
            </w:pPr>
            <w:r w:rsidRPr="00400687">
              <w:rPr>
                <w:sz w:val="20"/>
                <w:szCs w:val="20"/>
              </w:rPr>
              <w:t>0.0%</w:t>
            </w:r>
          </w:p>
        </w:tc>
        <w:tc>
          <w:tcPr>
            <w:tcW w:w="451" w:type="dxa"/>
            <w:tcBorders>
              <w:left w:val="single" w:sz="4" w:space="0" w:color="0079C1"/>
            </w:tcBorders>
            <w:shd w:val="clear" w:color="auto" w:fill="auto"/>
            <w:vAlign w:val="center"/>
          </w:tcPr>
          <w:p w14:paraId="233336AC" w14:textId="0DEFE943" w:rsidR="0007761D" w:rsidRPr="00400687" w:rsidRDefault="0007761D" w:rsidP="0007761D">
            <w:pPr>
              <w:pStyle w:val="TableTextCentred"/>
              <w:rPr>
                <w:sz w:val="20"/>
                <w:szCs w:val="20"/>
              </w:rPr>
            </w:pPr>
            <w:r w:rsidRPr="00400687">
              <w:rPr>
                <w:sz w:val="20"/>
                <w:szCs w:val="20"/>
              </w:rPr>
              <w:t>-</w:t>
            </w:r>
          </w:p>
        </w:tc>
        <w:tc>
          <w:tcPr>
            <w:tcW w:w="967" w:type="dxa"/>
            <w:tcBorders>
              <w:right w:val="single" w:sz="4" w:space="0" w:color="0079C1"/>
            </w:tcBorders>
            <w:shd w:val="clear" w:color="auto" w:fill="auto"/>
            <w:vAlign w:val="center"/>
          </w:tcPr>
          <w:p w14:paraId="7EC53375" w14:textId="47D47493" w:rsidR="0007761D" w:rsidRPr="00400687" w:rsidRDefault="0007761D" w:rsidP="0007761D">
            <w:pPr>
              <w:pStyle w:val="TableTextCentred"/>
              <w:rPr>
                <w:sz w:val="20"/>
                <w:szCs w:val="20"/>
              </w:rPr>
            </w:pPr>
            <w:r w:rsidRPr="00400687">
              <w:rPr>
                <w:sz w:val="20"/>
                <w:szCs w:val="20"/>
              </w:rPr>
              <w:t>-</w:t>
            </w:r>
          </w:p>
        </w:tc>
        <w:tc>
          <w:tcPr>
            <w:tcW w:w="567" w:type="dxa"/>
            <w:tcBorders>
              <w:left w:val="single" w:sz="4" w:space="0" w:color="0079C1"/>
            </w:tcBorders>
            <w:shd w:val="clear" w:color="auto" w:fill="auto"/>
            <w:vAlign w:val="center"/>
          </w:tcPr>
          <w:p w14:paraId="6E53FA93" w14:textId="6EA9780E" w:rsidR="0007761D" w:rsidRPr="00400687" w:rsidRDefault="0007761D" w:rsidP="0007761D">
            <w:pPr>
              <w:pStyle w:val="TableTextCentred"/>
              <w:rPr>
                <w:rStyle w:val="Strong"/>
                <w:sz w:val="20"/>
                <w:szCs w:val="20"/>
              </w:rPr>
            </w:pPr>
            <w:r w:rsidRPr="00400687">
              <w:rPr>
                <w:rStyle w:val="Strong"/>
                <w:sz w:val="20"/>
                <w:szCs w:val="20"/>
              </w:rPr>
              <w:t>2</w:t>
            </w:r>
          </w:p>
        </w:tc>
        <w:tc>
          <w:tcPr>
            <w:tcW w:w="1134" w:type="dxa"/>
            <w:shd w:val="clear" w:color="auto" w:fill="auto"/>
            <w:vAlign w:val="center"/>
          </w:tcPr>
          <w:p w14:paraId="26C0C8F9" w14:textId="360274DB" w:rsidR="0007761D" w:rsidRPr="00400687" w:rsidRDefault="0007761D" w:rsidP="0007761D">
            <w:pPr>
              <w:pStyle w:val="TableTextCentred"/>
              <w:rPr>
                <w:rStyle w:val="Strong"/>
                <w:sz w:val="20"/>
                <w:szCs w:val="20"/>
              </w:rPr>
            </w:pPr>
            <w:r w:rsidRPr="00400687">
              <w:rPr>
                <w:rStyle w:val="Strong"/>
                <w:sz w:val="20"/>
                <w:szCs w:val="20"/>
              </w:rPr>
              <w:t>0.9%</w:t>
            </w:r>
          </w:p>
        </w:tc>
      </w:tr>
      <w:tr w:rsidR="0007761D" w:rsidRPr="00400687" w14:paraId="53EA9BAA" w14:textId="77777777" w:rsidTr="00400687">
        <w:trPr>
          <w:cantSplit/>
        </w:trPr>
        <w:tc>
          <w:tcPr>
            <w:tcW w:w="1848" w:type="dxa"/>
            <w:tcBorders>
              <w:right w:val="single" w:sz="4" w:space="0" w:color="0079C1"/>
            </w:tcBorders>
          </w:tcPr>
          <w:p w14:paraId="647EE2B7" w14:textId="77777777" w:rsidR="0007761D" w:rsidRPr="00400687" w:rsidRDefault="0007761D" w:rsidP="00BD111F">
            <w:pPr>
              <w:pStyle w:val="TableText"/>
              <w:rPr>
                <w:sz w:val="20"/>
                <w:szCs w:val="20"/>
              </w:rPr>
            </w:pPr>
            <w:r w:rsidRPr="00400687">
              <w:rPr>
                <w:sz w:val="20"/>
                <w:szCs w:val="20"/>
              </w:rPr>
              <w:t>Through my STCA authority)</w:t>
            </w:r>
          </w:p>
        </w:tc>
        <w:tc>
          <w:tcPr>
            <w:tcW w:w="567" w:type="dxa"/>
            <w:tcBorders>
              <w:left w:val="single" w:sz="4" w:space="0" w:color="0079C1"/>
            </w:tcBorders>
            <w:shd w:val="clear" w:color="auto" w:fill="auto"/>
            <w:vAlign w:val="center"/>
          </w:tcPr>
          <w:p w14:paraId="72CC7080" w14:textId="77777777" w:rsidR="0007761D" w:rsidRPr="00400687" w:rsidRDefault="0007761D" w:rsidP="0007761D">
            <w:pPr>
              <w:pStyle w:val="TableTextCentred"/>
              <w:rPr>
                <w:sz w:val="20"/>
                <w:szCs w:val="20"/>
              </w:rPr>
            </w:pPr>
            <w:r w:rsidRPr="00400687">
              <w:rPr>
                <w:sz w:val="20"/>
                <w:szCs w:val="20"/>
              </w:rPr>
              <w:t>8</w:t>
            </w:r>
          </w:p>
        </w:tc>
        <w:tc>
          <w:tcPr>
            <w:tcW w:w="994" w:type="dxa"/>
            <w:tcBorders>
              <w:right w:val="single" w:sz="4" w:space="0" w:color="0079C1"/>
            </w:tcBorders>
            <w:shd w:val="clear" w:color="auto" w:fill="auto"/>
            <w:vAlign w:val="center"/>
          </w:tcPr>
          <w:p w14:paraId="2804DF87" w14:textId="77777777" w:rsidR="0007761D" w:rsidRPr="00400687" w:rsidRDefault="0007761D" w:rsidP="0007761D">
            <w:pPr>
              <w:pStyle w:val="TableTextCentred"/>
              <w:rPr>
                <w:sz w:val="20"/>
                <w:szCs w:val="20"/>
              </w:rPr>
            </w:pPr>
            <w:r w:rsidRPr="00400687">
              <w:rPr>
                <w:sz w:val="20"/>
                <w:szCs w:val="20"/>
              </w:rPr>
              <w:t>7.4%</w:t>
            </w:r>
          </w:p>
        </w:tc>
        <w:tc>
          <w:tcPr>
            <w:tcW w:w="480" w:type="dxa"/>
            <w:tcBorders>
              <w:left w:val="single" w:sz="4" w:space="0" w:color="0079C1"/>
            </w:tcBorders>
            <w:shd w:val="clear" w:color="auto" w:fill="auto"/>
            <w:vAlign w:val="center"/>
          </w:tcPr>
          <w:p w14:paraId="5E000FA3" w14:textId="1DBAEC40" w:rsidR="0007761D" w:rsidRPr="00400687" w:rsidRDefault="0007761D" w:rsidP="0007761D">
            <w:pPr>
              <w:pStyle w:val="TableTextCentred"/>
              <w:rPr>
                <w:sz w:val="20"/>
                <w:szCs w:val="20"/>
              </w:rPr>
            </w:pPr>
            <w:r w:rsidRPr="00400687">
              <w:rPr>
                <w:sz w:val="20"/>
                <w:szCs w:val="20"/>
              </w:rPr>
              <w:t>-</w:t>
            </w:r>
          </w:p>
        </w:tc>
        <w:tc>
          <w:tcPr>
            <w:tcW w:w="938" w:type="dxa"/>
            <w:tcBorders>
              <w:right w:val="single" w:sz="4" w:space="0" w:color="0079C1"/>
            </w:tcBorders>
            <w:shd w:val="clear" w:color="auto" w:fill="auto"/>
            <w:vAlign w:val="center"/>
          </w:tcPr>
          <w:p w14:paraId="4364D900" w14:textId="27060514" w:rsidR="0007761D" w:rsidRPr="00400687" w:rsidRDefault="0007761D" w:rsidP="0007761D">
            <w:pPr>
              <w:pStyle w:val="TableTextCentred"/>
              <w:rPr>
                <w:sz w:val="20"/>
                <w:szCs w:val="20"/>
              </w:rPr>
            </w:pPr>
            <w:r w:rsidRPr="00400687">
              <w:rPr>
                <w:sz w:val="20"/>
                <w:szCs w:val="20"/>
              </w:rPr>
              <w:t>-</w:t>
            </w:r>
          </w:p>
        </w:tc>
        <w:tc>
          <w:tcPr>
            <w:tcW w:w="536" w:type="dxa"/>
            <w:tcBorders>
              <w:left w:val="single" w:sz="4" w:space="0" w:color="0079C1"/>
            </w:tcBorders>
            <w:shd w:val="clear" w:color="auto" w:fill="auto"/>
            <w:vAlign w:val="center"/>
          </w:tcPr>
          <w:p w14:paraId="0EE5A759" w14:textId="77777777" w:rsidR="0007761D" w:rsidRPr="00400687" w:rsidRDefault="0007761D" w:rsidP="0007761D">
            <w:pPr>
              <w:pStyle w:val="TableTextCentred"/>
              <w:rPr>
                <w:sz w:val="20"/>
                <w:szCs w:val="20"/>
              </w:rPr>
            </w:pPr>
            <w:r w:rsidRPr="00400687">
              <w:rPr>
                <w:sz w:val="20"/>
                <w:szCs w:val="20"/>
              </w:rPr>
              <w:t>4</w:t>
            </w:r>
          </w:p>
        </w:tc>
        <w:tc>
          <w:tcPr>
            <w:tcW w:w="1023" w:type="dxa"/>
            <w:tcBorders>
              <w:right w:val="single" w:sz="4" w:space="0" w:color="0079C1"/>
            </w:tcBorders>
            <w:shd w:val="clear" w:color="auto" w:fill="auto"/>
            <w:vAlign w:val="center"/>
          </w:tcPr>
          <w:p w14:paraId="1B51CCB6" w14:textId="77777777" w:rsidR="0007761D" w:rsidRPr="00400687" w:rsidRDefault="0007761D" w:rsidP="0007761D">
            <w:pPr>
              <w:pStyle w:val="TableTextCentred"/>
              <w:rPr>
                <w:sz w:val="20"/>
                <w:szCs w:val="20"/>
              </w:rPr>
            </w:pPr>
            <w:r w:rsidRPr="00400687">
              <w:rPr>
                <w:sz w:val="20"/>
                <w:szCs w:val="20"/>
              </w:rPr>
              <w:t>5.5%</w:t>
            </w:r>
          </w:p>
        </w:tc>
        <w:tc>
          <w:tcPr>
            <w:tcW w:w="451" w:type="dxa"/>
            <w:tcBorders>
              <w:left w:val="single" w:sz="4" w:space="0" w:color="0079C1"/>
            </w:tcBorders>
            <w:shd w:val="clear" w:color="auto" w:fill="auto"/>
            <w:vAlign w:val="center"/>
          </w:tcPr>
          <w:p w14:paraId="2C27319E" w14:textId="1749BD45" w:rsidR="0007761D" w:rsidRPr="00400687" w:rsidRDefault="0007761D" w:rsidP="0007761D">
            <w:pPr>
              <w:pStyle w:val="TableTextCentred"/>
              <w:rPr>
                <w:sz w:val="20"/>
                <w:szCs w:val="20"/>
              </w:rPr>
            </w:pPr>
            <w:r w:rsidRPr="00400687">
              <w:rPr>
                <w:sz w:val="20"/>
                <w:szCs w:val="20"/>
              </w:rPr>
              <w:t>-</w:t>
            </w:r>
          </w:p>
        </w:tc>
        <w:tc>
          <w:tcPr>
            <w:tcW w:w="967" w:type="dxa"/>
            <w:tcBorders>
              <w:right w:val="single" w:sz="4" w:space="0" w:color="0079C1"/>
            </w:tcBorders>
            <w:shd w:val="clear" w:color="auto" w:fill="auto"/>
            <w:vAlign w:val="center"/>
          </w:tcPr>
          <w:p w14:paraId="76A74985" w14:textId="02EEAD07" w:rsidR="0007761D" w:rsidRPr="00400687" w:rsidRDefault="0007761D" w:rsidP="0007761D">
            <w:pPr>
              <w:pStyle w:val="TableTextCentred"/>
              <w:rPr>
                <w:sz w:val="20"/>
                <w:szCs w:val="20"/>
              </w:rPr>
            </w:pPr>
            <w:r w:rsidRPr="00400687">
              <w:rPr>
                <w:sz w:val="20"/>
                <w:szCs w:val="20"/>
              </w:rPr>
              <w:t>-</w:t>
            </w:r>
          </w:p>
        </w:tc>
        <w:tc>
          <w:tcPr>
            <w:tcW w:w="567" w:type="dxa"/>
            <w:tcBorders>
              <w:left w:val="single" w:sz="4" w:space="0" w:color="0079C1"/>
            </w:tcBorders>
            <w:shd w:val="clear" w:color="auto" w:fill="auto"/>
            <w:vAlign w:val="center"/>
          </w:tcPr>
          <w:p w14:paraId="0ABC6C54" w14:textId="0F942787" w:rsidR="0007761D" w:rsidRPr="00400687" w:rsidRDefault="0007761D" w:rsidP="0007761D">
            <w:pPr>
              <w:pStyle w:val="TableTextCentred"/>
              <w:rPr>
                <w:rStyle w:val="Strong"/>
                <w:sz w:val="20"/>
                <w:szCs w:val="20"/>
              </w:rPr>
            </w:pPr>
            <w:r w:rsidRPr="00400687">
              <w:rPr>
                <w:rStyle w:val="Strong"/>
                <w:sz w:val="20"/>
                <w:szCs w:val="20"/>
              </w:rPr>
              <w:t>12</w:t>
            </w:r>
          </w:p>
        </w:tc>
        <w:tc>
          <w:tcPr>
            <w:tcW w:w="1134" w:type="dxa"/>
            <w:shd w:val="clear" w:color="auto" w:fill="auto"/>
            <w:vAlign w:val="center"/>
          </w:tcPr>
          <w:p w14:paraId="7994937A" w14:textId="111B1760" w:rsidR="0007761D" w:rsidRPr="00400687" w:rsidRDefault="0007761D" w:rsidP="0007761D">
            <w:pPr>
              <w:pStyle w:val="TableTextCentred"/>
              <w:rPr>
                <w:rStyle w:val="Strong"/>
                <w:sz w:val="20"/>
                <w:szCs w:val="20"/>
              </w:rPr>
            </w:pPr>
            <w:r w:rsidRPr="00400687">
              <w:rPr>
                <w:rStyle w:val="Strong"/>
                <w:sz w:val="20"/>
                <w:szCs w:val="20"/>
              </w:rPr>
              <w:t>5.5%</w:t>
            </w:r>
          </w:p>
        </w:tc>
      </w:tr>
      <w:tr w:rsidR="0007761D" w:rsidRPr="00400687" w14:paraId="302E7697" w14:textId="77777777" w:rsidTr="00400687">
        <w:trPr>
          <w:cantSplit/>
        </w:trPr>
        <w:tc>
          <w:tcPr>
            <w:tcW w:w="1848" w:type="dxa"/>
            <w:tcBorders>
              <w:right w:val="single" w:sz="4" w:space="0" w:color="0079C1"/>
            </w:tcBorders>
          </w:tcPr>
          <w:p w14:paraId="6A62BB9F" w14:textId="77777777" w:rsidR="0007761D" w:rsidRPr="00400687" w:rsidRDefault="0007761D" w:rsidP="00BD111F">
            <w:pPr>
              <w:pStyle w:val="TableText"/>
              <w:rPr>
                <w:sz w:val="20"/>
                <w:szCs w:val="20"/>
              </w:rPr>
            </w:pPr>
            <w:r w:rsidRPr="00400687">
              <w:rPr>
                <w:sz w:val="20"/>
                <w:szCs w:val="20"/>
              </w:rPr>
              <w:t>Through the IAA 1800 number</w:t>
            </w:r>
          </w:p>
        </w:tc>
        <w:tc>
          <w:tcPr>
            <w:tcW w:w="567" w:type="dxa"/>
            <w:tcBorders>
              <w:left w:val="single" w:sz="4" w:space="0" w:color="0079C1"/>
            </w:tcBorders>
            <w:shd w:val="clear" w:color="auto" w:fill="auto"/>
            <w:vAlign w:val="center"/>
          </w:tcPr>
          <w:p w14:paraId="68C4AE0F" w14:textId="77777777" w:rsidR="0007761D" w:rsidRPr="00400687" w:rsidRDefault="0007761D" w:rsidP="0007761D">
            <w:pPr>
              <w:pStyle w:val="TableTextCentred"/>
              <w:rPr>
                <w:sz w:val="20"/>
                <w:szCs w:val="20"/>
              </w:rPr>
            </w:pPr>
            <w:r w:rsidRPr="00400687">
              <w:rPr>
                <w:sz w:val="20"/>
                <w:szCs w:val="20"/>
              </w:rPr>
              <w:t>2</w:t>
            </w:r>
          </w:p>
        </w:tc>
        <w:tc>
          <w:tcPr>
            <w:tcW w:w="994" w:type="dxa"/>
            <w:tcBorders>
              <w:right w:val="single" w:sz="4" w:space="0" w:color="0079C1"/>
            </w:tcBorders>
            <w:shd w:val="clear" w:color="auto" w:fill="auto"/>
            <w:vAlign w:val="center"/>
          </w:tcPr>
          <w:p w14:paraId="5C56537C" w14:textId="77777777" w:rsidR="0007761D" w:rsidRPr="00400687" w:rsidRDefault="0007761D" w:rsidP="0007761D">
            <w:pPr>
              <w:pStyle w:val="TableTextCentred"/>
              <w:rPr>
                <w:sz w:val="20"/>
                <w:szCs w:val="20"/>
              </w:rPr>
            </w:pPr>
            <w:r w:rsidRPr="00400687">
              <w:rPr>
                <w:sz w:val="20"/>
                <w:szCs w:val="20"/>
              </w:rPr>
              <w:t>1.9%</w:t>
            </w:r>
          </w:p>
        </w:tc>
        <w:tc>
          <w:tcPr>
            <w:tcW w:w="480" w:type="dxa"/>
            <w:tcBorders>
              <w:left w:val="single" w:sz="4" w:space="0" w:color="0079C1"/>
            </w:tcBorders>
            <w:shd w:val="clear" w:color="auto" w:fill="auto"/>
            <w:vAlign w:val="center"/>
          </w:tcPr>
          <w:p w14:paraId="76CD944F" w14:textId="19400D52" w:rsidR="0007761D" w:rsidRPr="00400687" w:rsidRDefault="0007761D" w:rsidP="0007761D">
            <w:pPr>
              <w:pStyle w:val="TableTextCentred"/>
              <w:rPr>
                <w:sz w:val="20"/>
                <w:szCs w:val="20"/>
              </w:rPr>
            </w:pPr>
            <w:r w:rsidRPr="00400687">
              <w:rPr>
                <w:sz w:val="20"/>
                <w:szCs w:val="20"/>
              </w:rPr>
              <w:t>3</w:t>
            </w:r>
          </w:p>
        </w:tc>
        <w:tc>
          <w:tcPr>
            <w:tcW w:w="938" w:type="dxa"/>
            <w:tcBorders>
              <w:right w:val="single" w:sz="4" w:space="0" w:color="0079C1"/>
            </w:tcBorders>
            <w:shd w:val="clear" w:color="auto" w:fill="auto"/>
            <w:vAlign w:val="center"/>
          </w:tcPr>
          <w:p w14:paraId="47BF99DA" w14:textId="494BC8C6" w:rsidR="0007761D" w:rsidRPr="00400687" w:rsidRDefault="0007761D" w:rsidP="0007761D">
            <w:pPr>
              <w:pStyle w:val="TableTextCentred"/>
              <w:rPr>
                <w:sz w:val="20"/>
                <w:szCs w:val="20"/>
              </w:rPr>
            </w:pPr>
            <w:r w:rsidRPr="00400687">
              <w:rPr>
                <w:sz w:val="20"/>
                <w:szCs w:val="20"/>
              </w:rPr>
              <w:t>15.8%</w:t>
            </w:r>
          </w:p>
        </w:tc>
        <w:tc>
          <w:tcPr>
            <w:tcW w:w="536" w:type="dxa"/>
            <w:tcBorders>
              <w:left w:val="single" w:sz="4" w:space="0" w:color="0079C1"/>
            </w:tcBorders>
            <w:shd w:val="clear" w:color="auto" w:fill="auto"/>
            <w:vAlign w:val="center"/>
          </w:tcPr>
          <w:p w14:paraId="1C7E237A" w14:textId="77777777" w:rsidR="0007761D" w:rsidRPr="00400687" w:rsidRDefault="0007761D" w:rsidP="0007761D">
            <w:pPr>
              <w:pStyle w:val="TableTextCentred"/>
              <w:rPr>
                <w:sz w:val="20"/>
                <w:szCs w:val="20"/>
              </w:rPr>
            </w:pPr>
            <w:r w:rsidRPr="00400687">
              <w:rPr>
                <w:sz w:val="20"/>
                <w:szCs w:val="20"/>
              </w:rPr>
              <w:t>1</w:t>
            </w:r>
          </w:p>
        </w:tc>
        <w:tc>
          <w:tcPr>
            <w:tcW w:w="1023" w:type="dxa"/>
            <w:tcBorders>
              <w:right w:val="single" w:sz="4" w:space="0" w:color="0079C1"/>
            </w:tcBorders>
            <w:shd w:val="clear" w:color="auto" w:fill="auto"/>
            <w:vAlign w:val="center"/>
          </w:tcPr>
          <w:p w14:paraId="2E23CCA6" w14:textId="77777777" w:rsidR="0007761D" w:rsidRPr="00400687" w:rsidRDefault="0007761D" w:rsidP="0007761D">
            <w:pPr>
              <w:pStyle w:val="TableTextCentred"/>
              <w:rPr>
                <w:sz w:val="20"/>
                <w:szCs w:val="20"/>
              </w:rPr>
            </w:pPr>
            <w:r w:rsidRPr="00400687">
              <w:rPr>
                <w:sz w:val="20"/>
                <w:szCs w:val="20"/>
              </w:rPr>
              <w:t>1.4%</w:t>
            </w:r>
          </w:p>
        </w:tc>
        <w:tc>
          <w:tcPr>
            <w:tcW w:w="451" w:type="dxa"/>
            <w:tcBorders>
              <w:left w:val="single" w:sz="4" w:space="0" w:color="0079C1"/>
            </w:tcBorders>
            <w:shd w:val="clear" w:color="auto" w:fill="auto"/>
            <w:vAlign w:val="center"/>
          </w:tcPr>
          <w:p w14:paraId="2E6EC12A" w14:textId="12B161A2" w:rsidR="0007761D" w:rsidRPr="00400687" w:rsidRDefault="0007761D" w:rsidP="0007761D">
            <w:pPr>
              <w:pStyle w:val="TableTextCentred"/>
              <w:rPr>
                <w:sz w:val="20"/>
                <w:szCs w:val="20"/>
              </w:rPr>
            </w:pPr>
            <w:r w:rsidRPr="00400687">
              <w:rPr>
                <w:sz w:val="20"/>
                <w:szCs w:val="20"/>
              </w:rPr>
              <w:t>3</w:t>
            </w:r>
          </w:p>
        </w:tc>
        <w:tc>
          <w:tcPr>
            <w:tcW w:w="967" w:type="dxa"/>
            <w:tcBorders>
              <w:right w:val="single" w:sz="4" w:space="0" w:color="0079C1"/>
            </w:tcBorders>
            <w:shd w:val="clear" w:color="auto" w:fill="auto"/>
            <w:vAlign w:val="center"/>
          </w:tcPr>
          <w:p w14:paraId="69F53F52" w14:textId="39FB4EC8" w:rsidR="0007761D" w:rsidRPr="00400687" w:rsidRDefault="0007761D" w:rsidP="0007761D">
            <w:pPr>
              <w:pStyle w:val="TableTextCentred"/>
              <w:rPr>
                <w:sz w:val="20"/>
                <w:szCs w:val="20"/>
              </w:rPr>
            </w:pPr>
            <w:r w:rsidRPr="00400687">
              <w:rPr>
                <w:sz w:val="20"/>
                <w:szCs w:val="20"/>
              </w:rPr>
              <w:t>15.0%</w:t>
            </w:r>
          </w:p>
        </w:tc>
        <w:tc>
          <w:tcPr>
            <w:tcW w:w="567" w:type="dxa"/>
            <w:tcBorders>
              <w:left w:val="single" w:sz="4" w:space="0" w:color="0079C1"/>
            </w:tcBorders>
            <w:shd w:val="clear" w:color="auto" w:fill="auto"/>
            <w:vAlign w:val="center"/>
          </w:tcPr>
          <w:p w14:paraId="008B2F8B" w14:textId="13AF799C" w:rsidR="0007761D" w:rsidRPr="00400687" w:rsidRDefault="0007761D" w:rsidP="0007761D">
            <w:pPr>
              <w:pStyle w:val="TableTextCentred"/>
              <w:rPr>
                <w:rStyle w:val="Strong"/>
                <w:sz w:val="20"/>
                <w:szCs w:val="20"/>
              </w:rPr>
            </w:pPr>
            <w:r w:rsidRPr="00400687">
              <w:rPr>
                <w:rStyle w:val="Strong"/>
                <w:sz w:val="20"/>
                <w:szCs w:val="20"/>
              </w:rPr>
              <w:t>9</w:t>
            </w:r>
          </w:p>
        </w:tc>
        <w:tc>
          <w:tcPr>
            <w:tcW w:w="1134" w:type="dxa"/>
            <w:shd w:val="clear" w:color="auto" w:fill="auto"/>
            <w:vAlign w:val="center"/>
          </w:tcPr>
          <w:p w14:paraId="76AB998C" w14:textId="18D698C6" w:rsidR="0007761D" w:rsidRPr="00400687" w:rsidRDefault="0007761D" w:rsidP="0007761D">
            <w:pPr>
              <w:pStyle w:val="TableTextCentred"/>
              <w:rPr>
                <w:rStyle w:val="Strong"/>
                <w:sz w:val="20"/>
                <w:szCs w:val="20"/>
              </w:rPr>
            </w:pPr>
            <w:r w:rsidRPr="00400687">
              <w:rPr>
                <w:rStyle w:val="Strong"/>
                <w:sz w:val="20"/>
                <w:szCs w:val="20"/>
              </w:rPr>
              <w:t>4.1%</w:t>
            </w:r>
          </w:p>
        </w:tc>
      </w:tr>
      <w:tr w:rsidR="0007761D" w:rsidRPr="00400687" w14:paraId="78E5DC1F" w14:textId="77777777" w:rsidTr="00400687">
        <w:trPr>
          <w:cantSplit/>
        </w:trPr>
        <w:tc>
          <w:tcPr>
            <w:tcW w:w="1848" w:type="dxa"/>
            <w:tcBorders>
              <w:right w:val="single" w:sz="4" w:space="0" w:color="0079C1"/>
            </w:tcBorders>
          </w:tcPr>
          <w:p w14:paraId="01883EEC" w14:textId="77777777" w:rsidR="0007761D" w:rsidRPr="00400687" w:rsidRDefault="0007761D" w:rsidP="00BD111F">
            <w:pPr>
              <w:pStyle w:val="TableText"/>
              <w:rPr>
                <w:sz w:val="20"/>
                <w:szCs w:val="20"/>
              </w:rPr>
            </w:pPr>
            <w:r w:rsidRPr="00400687">
              <w:rPr>
                <w:sz w:val="20"/>
                <w:szCs w:val="20"/>
              </w:rPr>
              <w:t>Through the media (e.g. newspapers, magazines)</w:t>
            </w:r>
          </w:p>
        </w:tc>
        <w:tc>
          <w:tcPr>
            <w:tcW w:w="567" w:type="dxa"/>
            <w:tcBorders>
              <w:left w:val="single" w:sz="4" w:space="0" w:color="0079C1"/>
            </w:tcBorders>
            <w:shd w:val="clear" w:color="auto" w:fill="auto"/>
            <w:vAlign w:val="center"/>
          </w:tcPr>
          <w:p w14:paraId="62E2A2D2" w14:textId="77777777" w:rsidR="0007761D" w:rsidRPr="00400687" w:rsidRDefault="0007761D" w:rsidP="0007761D">
            <w:pPr>
              <w:pStyle w:val="TableTextCentred"/>
              <w:rPr>
                <w:sz w:val="20"/>
                <w:szCs w:val="20"/>
              </w:rPr>
            </w:pPr>
            <w:r w:rsidRPr="00400687">
              <w:rPr>
                <w:sz w:val="20"/>
                <w:szCs w:val="20"/>
              </w:rPr>
              <w:t>8</w:t>
            </w:r>
          </w:p>
        </w:tc>
        <w:tc>
          <w:tcPr>
            <w:tcW w:w="994" w:type="dxa"/>
            <w:tcBorders>
              <w:right w:val="single" w:sz="4" w:space="0" w:color="0079C1"/>
            </w:tcBorders>
            <w:shd w:val="clear" w:color="auto" w:fill="auto"/>
            <w:vAlign w:val="center"/>
          </w:tcPr>
          <w:p w14:paraId="2B8D503F" w14:textId="77777777" w:rsidR="0007761D" w:rsidRPr="00400687" w:rsidRDefault="0007761D" w:rsidP="0007761D">
            <w:pPr>
              <w:pStyle w:val="TableTextCentred"/>
              <w:rPr>
                <w:sz w:val="20"/>
                <w:szCs w:val="20"/>
              </w:rPr>
            </w:pPr>
            <w:r w:rsidRPr="00400687">
              <w:rPr>
                <w:sz w:val="20"/>
                <w:szCs w:val="20"/>
              </w:rPr>
              <w:t>7.4%</w:t>
            </w:r>
          </w:p>
        </w:tc>
        <w:tc>
          <w:tcPr>
            <w:tcW w:w="480" w:type="dxa"/>
            <w:tcBorders>
              <w:left w:val="single" w:sz="4" w:space="0" w:color="0079C1"/>
            </w:tcBorders>
            <w:shd w:val="clear" w:color="auto" w:fill="auto"/>
            <w:vAlign w:val="center"/>
          </w:tcPr>
          <w:p w14:paraId="674C4CC9" w14:textId="7B62206E" w:rsidR="0007761D" w:rsidRPr="00400687" w:rsidRDefault="0007761D" w:rsidP="0007761D">
            <w:pPr>
              <w:pStyle w:val="TableTextCentred"/>
              <w:rPr>
                <w:sz w:val="20"/>
                <w:szCs w:val="20"/>
              </w:rPr>
            </w:pPr>
            <w:r w:rsidRPr="00400687">
              <w:rPr>
                <w:sz w:val="20"/>
                <w:szCs w:val="20"/>
              </w:rPr>
              <w:t>-</w:t>
            </w:r>
          </w:p>
        </w:tc>
        <w:tc>
          <w:tcPr>
            <w:tcW w:w="938" w:type="dxa"/>
            <w:tcBorders>
              <w:right w:val="single" w:sz="4" w:space="0" w:color="0079C1"/>
            </w:tcBorders>
            <w:shd w:val="clear" w:color="auto" w:fill="auto"/>
            <w:vAlign w:val="center"/>
          </w:tcPr>
          <w:p w14:paraId="752ABB4B" w14:textId="7E830741" w:rsidR="0007761D" w:rsidRPr="00400687" w:rsidRDefault="0007761D" w:rsidP="0007761D">
            <w:pPr>
              <w:pStyle w:val="TableTextCentred"/>
              <w:rPr>
                <w:sz w:val="20"/>
                <w:szCs w:val="20"/>
              </w:rPr>
            </w:pPr>
            <w:r w:rsidRPr="00400687">
              <w:rPr>
                <w:sz w:val="20"/>
                <w:szCs w:val="20"/>
              </w:rPr>
              <w:t>-</w:t>
            </w:r>
          </w:p>
        </w:tc>
        <w:tc>
          <w:tcPr>
            <w:tcW w:w="536" w:type="dxa"/>
            <w:tcBorders>
              <w:left w:val="single" w:sz="4" w:space="0" w:color="0079C1"/>
            </w:tcBorders>
            <w:shd w:val="clear" w:color="auto" w:fill="auto"/>
            <w:vAlign w:val="center"/>
          </w:tcPr>
          <w:p w14:paraId="03602B41" w14:textId="77777777" w:rsidR="0007761D" w:rsidRPr="00400687" w:rsidRDefault="0007761D" w:rsidP="0007761D">
            <w:pPr>
              <w:pStyle w:val="TableTextCentred"/>
              <w:rPr>
                <w:sz w:val="20"/>
                <w:szCs w:val="20"/>
              </w:rPr>
            </w:pPr>
          </w:p>
        </w:tc>
        <w:tc>
          <w:tcPr>
            <w:tcW w:w="1023" w:type="dxa"/>
            <w:tcBorders>
              <w:right w:val="single" w:sz="4" w:space="0" w:color="0079C1"/>
            </w:tcBorders>
            <w:shd w:val="clear" w:color="auto" w:fill="auto"/>
            <w:vAlign w:val="center"/>
          </w:tcPr>
          <w:p w14:paraId="1B680B99" w14:textId="77777777" w:rsidR="0007761D" w:rsidRPr="00400687" w:rsidRDefault="0007761D" w:rsidP="0007761D">
            <w:pPr>
              <w:pStyle w:val="TableTextCentred"/>
              <w:rPr>
                <w:sz w:val="20"/>
                <w:szCs w:val="20"/>
              </w:rPr>
            </w:pPr>
            <w:r w:rsidRPr="00400687">
              <w:rPr>
                <w:sz w:val="20"/>
                <w:szCs w:val="20"/>
              </w:rPr>
              <w:t>0.0%</w:t>
            </w:r>
          </w:p>
        </w:tc>
        <w:tc>
          <w:tcPr>
            <w:tcW w:w="451" w:type="dxa"/>
            <w:tcBorders>
              <w:left w:val="single" w:sz="4" w:space="0" w:color="0079C1"/>
            </w:tcBorders>
            <w:shd w:val="clear" w:color="auto" w:fill="auto"/>
            <w:vAlign w:val="center"/>
          </w:tcPr>
          <w:p w14:paraId="01919BCA" w14:textId="7BAFAB7C" w:rsidR="0007761D" w:rsidRPr="00400687" w:rsidRDefault="0007761D" w:rsidP="0007761D">
            <w:pPr>
              <w:pStyle w:val="TableTextCentred"/>
              <w:rPr>
                <w:sz w:val="20"/>
                <w:szCs w:val="20"/>
              </w:rPr>
            </w:pPr>
            <w:r w:rsidRPr="00400687">
              <w:rPr>
                <w:sz w:val="20"/>
                <w:szCs w:val="20"/>
              </w:rPr>
              <w:t>-</w:t>
            </w:r>
          </w:p>
        </w:tc>
        <w:tc>
          <w:tcPr>
            <w:tcW w:w="967" w:type="dxa"/>
            <w:tcBorders>
              <w:right w:val="single" w:sz="4" w:space="0" w:color="0079C1"/>
            </w:tcBorders>
            <w:shd w:val="clear" w:color="auto" w:fill="auto"/>
            <w:vAlign w:val="center"/>
          </w:tcPr>
          <w:p w14:paraId="4A12587E" w14:textId="1D529FCC" w:rsidR="0007761D" w:rsidRPr="00400687" w:rsidRDefault="0007761D" w:rsidP="0007761D">
            <w:pPr>
              <w:pStyle w:val="TableTextCentred"/>
              <w:rPr>
                <w:sz w:val="20"/>
                <w:szCs w:val="20"/>
              </w:rPr>
            </w:pPr>
            <w:r w:rsidRPr="00400687">
              <w:rPr>
                <w:sz w:val="20"/>
                <w:szCs w:val="20"/>
              </w:rPr>
              <w:t>-</w:t>
            </w:r>
          </w:p>
        </w:tc>
        <w:tc>
          <w:tcPr>
            <w:tcW w:w="567" w:type="dxa"/>
            <w:tcBorders>
              <w:left w:val="single" w:sz="4" w:space="0" w:color="0079C1"/>
            </w:tcBorders>
            <w:shd w:val="clear" w:color="auto" w:fill="auto"/>
            <w:vAlign w:val="center"/>
          </w:tcPr>
          <w:p w14:paraId="3CD9B7E3" w14:textId="0D8066FA" w:rsidR="0007761D" w:rsidRPr="00400687" w:rsidRDefault="0007761D" w:rsidP="0007761D">
            <w:pPr>
              <w:pStyle w:val="TableTextCentred"/>
              <w:rPr>
                <w:rStyle w:val="Strong"/>
                <w:sz w:val="20"/>
                <w:szCs w:val="20"/>
              </w:rPr>
            </w:pPr>
            <w:r w:rsidRPr="00400687">
              <w:rPr>
                <w:rStyle w:val="Strong"/>
                <w:sz w:val="20"/>
                <w:szCs w:val="20"/>
              </w:rPr>
              <w:t>8</w:t>
            </w:r>
          </w:p>
        </w:tc>
        <w:tc>
          <w:tcPr>
            <w:tcW w:w="1134" w:type="dxa"/>
            <w:shd w:val="clear" w:color="auto" w:fill="auto"/>
            <w:vAlign w:val="center"/>
          </w:tcPr>
          <w:p w14:paraId="077043CE" w14:textId="6DD98B36" w:rsidR="0007761D" w:rsidRPr="00400687" w:rsidRDefault="0007761D" w:rsidP="0007761D">
            <w:pPr>
              <w:pStyle w:val="TableTextCentred"/>
              <w:rPr>
                <w:rStyle w:val="Strong"/>
                <w:sz w:val="20"/>
                <w:szCs w:val="20"/>
              </w:rPr>
            </w:pPr>
            <w:r w:rsidRPr="00400687">
              <w:rPr>
                <w:rStyle w:val="Strong"/>
                <w:sz w:val="20"/>
                <w:szCs w:val="20"/>
              </w:rPr>
              <w:t>3.6%</w:t>
            </w:r>
          </w:p>
        </w:tc>
      </w:tr>
      <w:tr w:rsidR="0007761D" w:rsidRPr="00400687" w14:paraId="649E4055" w14:textId="77777777" w:rsidTr="00400687">
        <w:trPr>
          <w:cantSplit/>
        </w:trPr>
        <w:tc>
          <w:tcPr>
            <w:tcW w:w="1848" w:type="dxa"/>
            <w:tcBorders>
              <w:right w:val="single" w:sz="4" w:space="0" w:color="0079C1"/>
            </w:tcBorders>
          </w:tcPr>
          <w:p w14:paraId="253A8A7F" w14:textId="77777777" w:rsidR="0007761D" w:rsidRPr="00400687" w:rsidRDefault="0007761D" w:rsidP="00BD111F">
            <w:pPr>
              <w:pStyle w:val="TableText"/>
              <w:rPr>
                <w:sz w:val="20"/>
                <w:szCs w:val="20"/>
              </w:rPr>
            </w:pPr>
            <w:r w:rsidRPr="00400687">
              <w:rPr>
                <w:sz w:val="20"/>
                <w:szCs w:val="20"/>
              </w:rPr>
              <w:t xml:space="preserve">Other </w:t>
            </w:r>
          </w:p>
        </w:tc>
        <w:tc>
          <w:tcPr>
            <w:tcW w:w="567" w:type="dxa"/>
            <w:tcBorders>
              <w:left w:val="single" w:sz="4" w:space="0" w:color="0079C1"/>
            </w:tcBorders>
            <w:shd w:val="clear" w:color="auto" w:fill="auto"/>
            <w:vAlign w:val="center"/>
          </w:tcPr>
          <w:p w14:paraId="51DFFFEE" w14:textId="77777777" w:rsidR="0007761D" w:rsidRPr="00400687" w:rsidRDefault="0007761D" w:rsidP="0007761D">
            <w:pPr>
              <w:pStyle w:val="TableTextCentred"/>
              <w:rPr>
                <w:sz w:val="20"/>
                <w:szCs w:val="20"/>
              </w:rPr>
            </w:pPr>
            <w:r w:rsidRPr="00400687">
              <w:rPr>
                <w:sz w:val="20"/>
                <w:szCs w:val="20"/>
              </w:rPr>
              <w:t>3</w:t>
            </w:r>
          </w:p>
        </w:tc>
        <w:tc>
          <w:tcPr>
            <w:tcW w:w="994" w:type="dxa"/>
            <w:tcBorders>
              <w:right w:val="single" w:sz="4" w:space="0" w:color="0079C1"/>
            </w:tcBorders>
            <w:shd w:val="clear" w:color="auto" w:fill="auto"/>
            <w:vAlign w:val="center"/>
          </w:tcPr>
          <w:p w14:paraId="196A267A" w14:textId="77777777" w:rsidR="0007761D" w:rsidRPr="00400687" w:rsidRDefault="0007761D" w:rsidP="0007761D">
            <w:pPr>
              <w:pStyle w:val="TableTextCentred"/>
              <w:rPr>
                <w:sz w:val="20"/>
                <w:szCs w:val="20"/>
              </w:rPr>
            </w:pPr>
            <w:r w:rsidRPr="00400687">
              <w:rPr>
                <w:sz w:val="20"/>
                <w:szCs w:val="20"/>
              </w:rPr>
              <w:t>2.8%</w:t>
            </w:r>
          </w:p>
        </w:tc>
        <w:tc>
          <w:tcPr>
            <w:tcW w:w="480" w:type="dxa"/>
            <w:tcBorders>
              <w:left w:val="single" w:sz="4" w:space="0" w:color="0079C1"/>
            </w:tcBorders>
            <w:shd w:val="clear" w:color="auto" w:fill="auto"/>
            <w:vAlign w:val="center"/>
          </w:tcPr>
          <w:p w14:paraId="1852E812" w14:textId="03BA4D04" w:rsidR="0007761D" w:rsidRPr="00400687" w:rsidRDefault="0007761D" w:rsidP="0007761D">
            <w:pPr>
              <w:pStyle w:val="TableTextCentred"/>
              <w:rPr>
                <w:sz w:val="20"/>
                <w:szCs w:val="20"/>
              </w:rPr>
            </w:pPr>
            <w:r w:rsidRPr="00400687">
              <w:rPr>
                <w:sz w:val="20"/>
                <w:szCs w:val="20"/>
              </w:rPr>
              <w:t>-</w:t>
            </w:r>
          </w:p>
        </w:tc>
        <w:tc>
          <w:tcPr>
            <w:tcW w:w="938" w:type="dxa"/>
            <w:tcBorders>
              <w:right w:val="single" w:sz="4" w:space="0" w:color="0079C1"/>
            </w:tcBorders>
            <w:shd w:val="clear" w:color="auto" w:fill="auto"/>
            <w:vAlign w:val="center"/>
          </w:tcPr>
          <w:p w14:paraId="3F9DB489" w14:textId="1D29446F" w:rsidR="0007761D" w:rsidRPr="00400687" w:rsidRDefault="0007761D" w:rsidP="0007761D">
            <w:pPr>
              <w:pStyle w:val="TableTextCentred"/>
              <w:rPr>
                <w:sz w:val="20"/>
                <w:szCs w:val="20"/>
              </w:rPr>
            </w:pPr>
            <w:r w:rsidRPr="00400687">
              <w:rPr>
                <w:sz w:val="20"/>
                <w:szCs w:val="20"/>
              </w:rPr>
              <w:t>-</w:t>
            </w:r>
          </w:p>
        </w:tc>
        <w:tc>
          <w:tcPr>
            <w:tcW w:w="536" w:type="dxa"/>
            <w:tcBorders>
              <w:left w:val="single" w:sz="4" w:space="0" w:color="0079C1"/>
            </w:tcBorders>
            <w:shd w:val="clear" w:color="auto" w:fill="auto"/>
            <w:vAlign w:val="center"/>
          </w:tcPr>
          <w:p w14:paraId="2023B5E0" w14:textId="77777777" w:rsidR="0007761D" w:rsidRPr="00400687" w:rsidRDefault="0007761D" w:rsidP="0007761D">
            <w:pPr>
              <w:pStyle w:val="TableTextCentred"/>
              <w:rPr>
                <w:sz w:val="20"/>
                <w:szCs w:val="20"/>
              </w:rPr>
            </w:pPr>
            <w:r w:rsidRPr="00400687">
              <w:rPr>
                <w:sz w:val="20"/>
                <w:szCs w:val="20"/>
              </w:rPr>
              <w:t>2</w:t>
            </w:r>
          </w:p>
        </w:tc>
        <w:tc>
          <w:tcPr>
            <w:tcW w:w="1023" w:type="dxa"/>
            <w:tcBorders>
              <w:right w:val="single" w:sz="4" w:space="0" w:color="0079C1"/>
            </w:tcBorders>
            <w:shd w:val="clear" w:color="auto" w:fill="auto"/>
            <w:vAlign w:val="center"/>
          </w:tcPr>
          <w:p w14:paraId="15051E81" w14:textId="77777777" w:rsidR="0007761D" w:rsidRPr="00400687" w:rsidRDefault="0007761D" w:rsidP="0007761D">
            <w:pPr>
              <w:pStyle w:val="TableTextCentred"/>
              <w:rPr>
                <w:sz w:val="20"/>
                <w:szCs w:val="20"/>
              </w:rPr>
            </w:pPr>
            <w:r w:rsidRPr="00400687">
              <w:rPr>
                <w:sz w:val="20"/>
                <w:szCs w:val="20"/>
              </w:rPr>
              <w:t>2.7%</w:t>
            </w:r>
          </w:p>
        </w:tc>
        <w:tc>
          <w:tcPr>
            <w:tcW w:w="451" w:type="dxa"/>
            <w:tcBorders>
              <w:left w:val="single" w:sz="4" w:space="0" w:color="0079C1"/>
            </w:tcBorders>
            <w:shd w:val="clear" w:color="auto" w:fill="auto"/>
            <w:vAlign w:val="center"/>
          </w:tcPr>
          <w:p w14:paraId="00700353" w14:textId="4DBE7ACC" w:rsidR="0007761D" w:rsidRPr="00400687" w:rsidRDefault="0007761D" w:rsidP="0007761D">
            <w:pPr>
              <w:pStyle w:val="TableTextCentred"/>
              <w:rPr>
                <w:sz w:val="20"/>
                <w:szCs w:val="20"/>
              </w:rPr>
            </w:pPr>
            <w:r w:rsidRPr="00400687">
              <w:rPr>
                <w:sz w:val="20"/>
                <w:szCs w:val="20"/>
              </w:rPr>
              <w:t>-</w:t>
            </w:r>
          </w:p>
        </w:tc>
        <w:tc>
          <w:tcPr>
            <w:tcW w:w="967" w:type="dxa"/>
            <w:tcBorders>
              <w:right w:val="single" w:sz="4" w:space="0" w:color="0079C1"/>
            </w:tcBorders>
            <w:shd w:val="clear" w:color="auto" w:fill="auto"/>
            <w:vAlign w:val="center"/>
          </w:tcPr>
          <w:p w14:paraId="643C2D10" w14:textId="1F79B868" w:rsidR="0007761D" w:rsidRPr="00400687" w:rsidRDefault="0007761D" w:rsidP="0007761D">
            <w:pPr>
              <w:pStyle w:val="TableTextCentred"/>
              <w:rPr>
                <w:sz w:val="20"/>
                <w:szCs w:val="20"/>
              </w:rPr>
            </w:pPr>
            <w:r w:rsidRPr="00400687">
              <w:rPr>
                <w:sz w:val="20"/>
                <w:szCs w:val="20"/>
              </w:rPr>
              <w:t>-</w:t>
            </w:r>
          </w:p>
        </w:tc>
        <w:tc>
          <w:tcPr>
            <w:tcW w:w="567" w:type="dxa"/>
            <w:tcBorders>
              <w:left w:val="single" w:sz="4" w:space="0" w:color="0079C1"/>
            </w:tcBorders>
            <w:shd w:val="clear" w:color="auto" w:fill="auto"/>
            <w:vAlign w:val="center"/>
          </w:tcPr>
          <w:p w14:paraId="7399BB91" w14:textId="04997BC3" w:rsidR="0007761D" w:rsidRPr="00400687" w:rsidRDefault="0007761D" w:rsidP="0007761D">
            <w:pPr>
              <w:pStyle w:val="TableTextCentred"/>
              <w:rPr>
                <w:rStyle w:val="Strong"/>
                <w:sz w:val="20"/>
                <w:szCs w:val="20"/>
              </w:rPr>
            </w:pPr>
            <w:r w:rsidRPr="00400687">
              <w:rPr>
                <w:rStyle w:val="Strong"/>
                <w:sz w:val="20"/>
                <w:szCs w:val="20"/>
              </w:rPr>
              <w:t>5</w:t>
            </w:r>
          </w:p>
        </w:tc>
        <w:tc>
          <w:tcPr>
            <w:tcW w:w="1134" w:type="dxa"/>
            <w:shd w:val="clear" w:color="auto" w:fill="auto"/>
            <w:vAlign w:val="center"/>
          </w:tcPr>
          <w:p w14:paraId="6BBD9F89" w14:textId="6386E5C7" w:rsidR="0007761D" w:rsidRPr="00400687" w:rsidRDefault="0007761D" w:rsidP="0007761D">
            <w:pPr>
              <w:pStyle w:val="TableTextCentred"/>
              <w:rPr>
                <w:rStyle w:val="Strong"/>
                <w:sz w:val="20"/>
                <w:szCs w:val="20"/>
              </w:rPr>
            </w:pPr>
            <w:r w:rsidRPr="00400687">
              <w:rPr>
                <w:rStyle w:val="Strong"/>
                <w:sz w:val="20"/>
                <w:szCs w:val="20"/>
              </w:rPr>
              <w:t>2.3%</w:t>
            </w:r>
          </w:p>
        </w:tc>
      </w:tr>
      <w:tr w:rsidR="0007761D" w:rsidRPr="00400687" w14:paraId="2295A177" w14:textId="77777777" w:rsidTr="00400687">
        <w:trPr>
          <w:cantSplit/>
        </w:trPr>
        <w:tc>
          <w:tcPr>
            <w:tcW w:w="1848" w:type="dxa"/>
            <w:tcBorders>
              <w:bottom w:val="single" w:sz="4" w:space="0" w:color="0079C1" w:themeColor="text2"/>
              <w:right w:val="single" w:sz="4" w:space="0" w:color="0079C1"/>
            </w:tcBorders>
          </w:tcPr>
          <w:p w14:paraId="2616D692" w14:textId="328D2EC2" w:rsidR="0007761D" w:rsidRPr="00400687" w:rsidRDefault="0007761D" w:rsidP="00BD111F">
            <w:pPr>
              <w:pStyle w:val="TableText"/>
              <w:rPr>
                <w:sz w:val="20"/>
                <w:szCs w:val="20"/>
              </w:rPr>
            </w:pPr>
            <w:r w:rsidRPr="00400687">
              <w:rPr>
                <w:sz w:val="20"/>
                <w:szCs w:val="20"/>
              </w:rPr>
              <w:t>Not stated</w:t>
            </w:r>
            <w:r w:rsidR="00DB2842" w:rsidRPr="00400687">
              <w:rPr>
                <w:sz w:val="20"/>
                <w:szCs w:val="20"/>
              </w:rPr>
              <w:t>/</w:t>
            </w:r>
            <w:r w:rsidR="00D12910" w:rsidRPr="00400687">
              <w:rPr>
                <w:sz w:val="20"/>
                <w:szCs w:val="20"/>
              </w:rPr>
              <w:t>not applicable</w:t>
            </w:r>
          </w:p>
        </w:tc>
        <w:tc>
          <w:tcPr>
            <w:tcW w:w="567" w:type="dxa"/>
            <w:tcBorders>
              <w:left w:val="single" w:sz="4" w:space="0" w:color="0079C1"/>
              <w:bottom w:val="single" w:sz="4" w:space="0" w:color="0079C1" w:themeColor="text2"/>
            </w:tcBorders>
            <w:shd w:val="clear" w:color="auto" w:fill="auto"/>
            <w:vAlign w:val="center"/>
          </w:tcPr>
          <w:p w14:paraId="553262C6" w14:textId="77777777" w:rsidR="0007761D" w:rsidRPr="00400687" w:rsidRDefault="0007761D" w:rsidP="0007761D">
            <w:pPr>
              <w:pStyle w:val="TableTextCentred"/>
              <w:rPr>
                <w:sz w:val="20"/>
                <w:szCs w:val="20"/>
              </w:rPr>
            </w:pPr>
            <w:r w:rsidRPr="00400687">
              <w:rPr>
                <w:sz w:val="20"/>
                <w:szCs w:val="20"/>
              </w:rPr>
              <w:t>27</w:t>
            </w:r>
          </w:p>
        </w:tc>
        <w:tc>
          <w:tcPr>
            <w:tcW w:w="994" w:type="dxa"/>
            <w:tcBorders>
              <w:bottom w:val="single" w:sz="4" w:space="0" w:color="0079C1" w:themeColor="text2"/>
              <w:right w:val="single" w:sz="4" w:space="0" w:color="0079C1"/>
            </w:tcBorders>
            <w:shd w:val="clear" w:color="auto" w:fill="auto"/>
            <w:vAlign w:val="center"/>
          </w:tcPr>
          <w:p w14:paraId="09042791" w14:textId="77777777" w:rsidR="0007761D" w:rsidRPr="00400687" w:rsidRDefault="0007761D" w:rsidP="0007761D">
            <w:pPr>
              <w:pStyle w:val="TableTextCentred"/>
              <w:rPr>
                <w:sz w:val="20"/>
                <w:szCs w:val="20"/>
              </w:rPr>
            </w:pPr>
            <w:r w:rsidRPr="00400687">
              <w:rPr>
                <w:sz w:val="20"/>
                <w:szCs w:val="20"/>
              </w:rPr>
              <w:t>25.0%</w:t>
            </w:r>
          </w:p>
        </w:tc>
        <w:tc>
          <w:tcPr>
            <w:tcW w:w="480" w:type="dxa"/>
            <w:tcBorders>
              <w:left w:val="single" w:sz="4" w:space="0" w:color="0079C1"/>
              <w:bottom w:val="single" w:sz="4" w:space="0" w:color="0079C1" w:themeColor="text2"/>
            </w:tcBorders>
            <w:shd w:val="clear" w:color="auto" w:fill="auto"/>
            <w:vAlign w:val="center"/>
          </w:tcPr>
          <w:p w14:paraId="7F6E8CC9" w14:textId="68EEE4ED" w:rsidR="0007761D" w:rsidRPr="00400687" w:rsidRDefault="0007761D" w:rsidP="0007761D">
            <w:pPr>
              <w:pStyle w:val="TableTextCentred"/>
              <w:rPr>
                <w:sz w:val="20"/>
                <w:szCs w:val="20"/>
              </w:rPr>
            </w:pPr>
            <w:r w:rsidRPr="00400687">
              <w:rPr>
                <w:sz w:val="20"/>
                <w:szCs w:val="20"/>
              </w:rPr>
              <w:t>11</w:t>
            </w:r>
          </w:p>
        </w:tc>
        <w:tc>
          <w:tcPr>
            <w:tcW w:w="938" w:type="dxa"/>
            <w:tcBorders>
              <w:bottom w:val="single" w:sz="4" w:space="0" w:color="0079C1" w:themeColor="text2"/>
              <w:right w:val="single" w:sz="4" w:space="0" w:color="0079C1"/>
            </w:tcBorders>
            <w:shd w:val="clear" w:color="auto" w:fill="auto"/>
            <w:vAlign w:val="center"/>
          </w:tcPr>
          <w:p w14:paraId="4F1BF42E" w14:textId="2FD14532" w:rsidR="0007761D" w:rsidRPr="00400687" w:rsidRDefault="0007761D" w:rsidP="0007761D">
            <w:pPr>
              <w:pStyle w:val="TableTextCentred"/>
              <w:rPr>
                <w:sz w:val="20"/>
                <w:szCs w:val="20"/>
              </w:rPr>
            </w:pPr>
            <w:r w:rsidRPr="00400687">
              <w:rPr>
                <w:sz w:val="20"/>
                <w:szCs w:val="20"/>
              </w:rPr>
              <w:t>57.9%</w:t>
            </w:r>
          </w:p>
        </w:tc>
        <w:tc>
          <w:tcPr>
            <w:tcW w:w="536" w:type="dxa"/>
            <w:tcBorders>
              <w:left w:val="single" w:sz="4" w:space="0" w:color="0079C1"/>
              <w:bottom w:val="single" w:sz="4" w:space="0" w:color="0079C1" w:themeColor="text2"/>
            </w:tcBorders>
            <w:shd w:val="clear" w:color="auto" w:fill="auto"/>
            <w:vAlign w:val="center"/>
          </w:tcPr>
          <w:p w14:paraId="7E73579B" w14:textId="77777777" w:rsidR="0007761D" w:rsidRPr="00400687" w:rsidRDefault="0007761D" w:rsidP="0007761D">
            <w:pPr>
              <w:pStyle w:val="TableTextCentred"/>
              <w:rPr>
                <w:sz w:val="20"/>
                <w:szCs w:val="20"/>
              </w:rPr>
            </w:pPr>
            <w:r w:rsidRPr="00400687">
              <w:rPr>
                <w:sz w:val="20"/>
                <w:szCs w:val="20"/>
              </w:rPr>
              <w:t>47</w:t>
            </w:r>
          </w:p>
        </w:tc>
        <w:tc>
          <w:tcPr>
            <w:tcW w:w="1023" w:type="dxa"/>
            <w:tcBorders>
              <w:bottom w:val="single" w:sz="4" w:space="0" w:color="0079C1" w:themeColor="text2"/>
              <w:right w:val="single" w:sz="4" w:space="0" w:color="0079C1"/>
            </w:tcBorders>
            <w:shd w:val="clear" w:color="auto" w:fill="auto"/>
            <w:vAlign w:val="center"/>
          </w:tcPr>
          <w:p w14:paraId="29F4DFC7" w14:textId="77777777" w:rsidR="0007761D" w:rsidRPr="00400687" w:rsidRDefault="0007761D" w:rsidP="0007761D">
            <w:pPr>
              <w:pStyle w:val="TableTextCentred"/>
              <w:rPr>
                <w:sz w:val="20"/>
                <w:szCs w:val="20"/>
              </w:rPr>
            </w:pPr>
            <w:r w:rsidRPr="00400687">
              <w:rPr>
                <w:sz w:val="20"/>
                <w:szCs w:val="20"/>
              </w:rPr>
              <w:t>64.4%</w:t>
            </w:r>
          </w:p>
        </w:tc>
        <w:tc>
          <w:tcPr>
            <w:tcW w:w="451" w:type="dxa"/>
            <w:tcBorders>
              <w:left w:val="single" w:sz="4" w:space="0" w:color="0079C1"/>
              <w:bottom w:val="single" w:sz="4" w:space="0" w:color="0079C1" w:themeColor="text2"/>
            </w:tcBorders>
            <w:shd w:val="clear" w:color="auto" w:fill="auto"/>
            <w:vAlign w:val="center"/>
          </w:tcPr>
          <w:p w14:paraId="3239A28C" w14:textId="684B798B" w:rsidR="0007761D" w:rsidRPr="00400687" w:rsidRDefault="0007761D" w:rsidP="0007761D">
            <w:pPr>
              <w:pStyle w:val="TableTextCentred"/>
              <w:rPr>
                <w:sz w:val="20"/>
                <w:szCs w:val="20"/>
              </w:rPr>
            </w:pPr>
            <w:r w:rsidRPr="00400687">
              <w:rPr>
                <w:sz w:val="20"/>
                <w:szCs w:val="20"/>
              </w:rPr>
              <w:t>5</w:t>
            </w:r>
          </w:p>
        </w:tc>
        <w:tc>
          <w:tcPr>
            <w:tcW w:w="967" w:type="dxa"/>
            <w:tcBorders>
              <w:bottom w:val="single" w:sz="4" w:space="0" w:color="0079C1" w:themeColor="text2"/>
              <w:right w:val="single" w:sz="4" w:space="0" w:color="0079C1"/>
            </w:tcBorders>
            <w:shd w:val="clear" w:color="auto" w:fill="auto"/>
            <w:vAlign w:val="center"/>
          </w:tcPr>
          <w:p w14:paraId="681D92BF" w14:textId="3282C308" w:rsidR="0007761D" w:rsidRPr="00400687" w:rsidRDefault="0007761D" w:rsidP="0007761D">
            <w:pPr>
              <w:pStyle w:val="TableTextCentred"/>
              <w:rPr>
                <w:sz w:val="20"/>
                <w:szCs w:val="20"/>
              </w:rPr>
            </w:pPr>
            <w:r w:rsidRPr="00400687">
              <w:rPr>
                <w:sz w:val="20"/>
                <w:szCs w:val="20"/>
              </w:rPr>
              <w:t>25.0%</w:t>
            </w:r>
          </w:p>
        </w:tc>
        <w:tc>
          <w:tcPr>
            <w:tcW w:w="567" w:type="dxa"/>
            <w:tcBorders>
              <w:left w:val="single" w:sz="4" w:space="0" w:color="0079C1"/>
              <w:bottom w:val="single" w:sz="4" w:space="0" w:color="0079C1" w:themeColor="text2"/>
            </w:tcBorders>
            <w:shd w:val="clear" w:color="auto" w:fill="auto"/>
            <w:vAlign w:val="center"/>
          </w:tcPr>
          <w:p w14:paraId="5193AAF0" w14:textId="32804126" w:rsidR="0007761D" w:rsidRPr="00400687" w:rsidRDefault="0007761D" w:rsidP="0007761D">
            <w:pPr>
              <w:pStyle w:val="TableTextCentred"/>
              <w:rPr>
                <w:rStyle w:val="Strong"/>
                <w:sz w:val="20"/>
                <w:szCs w:val="20"/>
              </w:rPr>
            </w:pPr>
            <w:r w:rsidRPr="00400687">
              <w:rPr>
                <w:rStyle w:val="Strong"/>
                <w:sz w:val="20"/>
                <w:szCs w:val="20"/>
              </w:rPr>
              <w:t>90</w:t>
            </w:r>
          </w:p>
        </w:tc>
        <w:tc>
          <w:tcPr>
            <w:tcW w:w="1134" w:type="dxa"/>
            <w:tcBorders>
              <w:bottom w:val="single" w:sz="4" w:space="0" w:color="0079C1" w:themeColor="text2"/>
            </w:tcBorders>
            <w:shd w:val="clear" w:color="auto" w:fill="auto"/>
            <w:vAlign w:val="center"/>
          </w:tcPr>
          <w:p w14:paraId="29119533" w14:textId="06371EFF" w:rsidR="0007761D" w:rsidRPr="00400687" w:rsidRDefault="0007761D" w:rsidP="0007761D">
            <w:pPr>
              <w:pStyle w:val="TableTextCentred"/>
              <w:rPr>
                <w:rStyle w:val="Strong"/>
                <w:sz w:val="20"/>
                <w:szCs w:val="20"/>
              </w:rPr>
            </w:pPr>
            <w:r w:rsidRPr="00400687">
              <w:rPr>
                <w:rStyle w:val="Strong"/>
                <w:sz w:val="20"/>
                <w:szCs w:val="20"/>
              </w:rPr>
              <w:t>40.9%</w:t>
            </w:r>
          </w:p>
        </w:tc>
      </w:tr>
      <w:tr w:rsidR="0035587D" w:rsidRPr="00400687" w14:paraId="6F278254" w14:textId="77777777" w:rsidTr="00400687">
        <w:trPr>
          <w:cantSplit/>
        </w:trPr>
        <w:tc>
          <w:tcPr>
            <w:tcW w:w="1848" w:type="dxa"/>
            <w:tcBorders>
              <w:top w:val="single" w:sz="4" w:space="0" w:color="0079C1" w:themeColor="text2"/>
              <w:bottom w:val="single" w:sz="4" w:space="0" w:color="0079C1" w:themeColor="text2"/>
              <w:right w:val="single" w:sz="4" w:space="0" w:color="0079C1"/>
            </w:tcBorders>
            <w:shd w:val="clear" w:color="auto" w:fill="E2F4FF" w:themeFill="accent1" w:themeFillTint="33"/>
          </w:tcPr>
          <w:p w14:paraId="61602733" w14:textId="32D49AE2" w:rsidR="00F22A70" w:rsidRPr="00400687" w:rsidRDefault="00F22A70" w:rsidP="00BD111F">
            <w:pPr>
              <w:pStyle w:val="TableText"/>
              <w:rPr>
                <w:b/>
                <w:sz w:val="20"/>
                <w:szCs w:val="20"/>
              </w:rPr>
            </w:pPr>
            <w:r w:rsidRPr="00400687">
              <w:rPr>
                <w:b/>
                <w:sz w:val="20"/>
                <w:szCs w:val="20"/>
              </w:rPr>
              <w:t>Total</w:t>
            </w:r>
          </w:p>
        </w:tc>
        <w:tc>
          <w:tcPr>
            <w:tcW w:w="567"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40CCA89E" w14:textId="77777777" w:rsidR="00F22A70" w:rsidRPr="00400687" w:rsidRDefault="00F22A70" w:rsidP="0007761D">
            <w:pPr>
              <w:pStyle w:val="TableTextCentred"/>
              <w:rPr>
                <w:b/>
                <w:sz w:val="20"/>
                <w:szCs w:val="20"/>
              </w:rPr>
            </w:pPr>
            <w:r w:rsidRPr="00400687">
              <w:rPr>
                <w:b/>
                <w:sz w:val="20"/>
                <w:szCs w:val="20"/>
              </w:rPr>
              <w:t>108</w:t>
            </w:r>
          </w:p>
        </w:tc>
        <w:tc>
          <w:tcPr>
            <w:tcW w:w="994"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066D8E1E" w14:textId="77777777" w:rsidR="00F22A70" w:rsidRPr="00400687" w:rsidRDefault="00F22A70" w:rsidP="0007761D">
            <w:pPr>
              <w:pStyle w:val="TableTextCentred"/>
              <w:rPr>
                <w:b/>
                <w:sz w:val="20"/>
                <w:szCs w:val="20"/>
              </w:rPr>
            </w:pPr>
            <w:r w:rsidRPr="00400687">
              <w:rPr>
                <w:b/>
                <w:sz w:val="20"/>
                <w:szCs w:val="20"/>
              </w:rPr>
              <w:t>100.0%</w:t>
            </w:r>
          </w:p>
        </w:tc>
        <w:tc>
          <w:tcPr>
            <w:tcW w:w="480"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33F1CAC6" w14:textId="77777777" w:rsidR="00F22A70" w:rsidRPr="00400687" w:rsidRDefault="00F22A70" w:rsidP="0007761D">
            <w:pPr>
              <w:pStyle w:val="TableTextCentred"/>
              <w:rPr>
                <w:b/>
                <w:sz w:val="20"/>
                <w:szCs w:val="20"/>
              </w:rPr>
            </w:pPr>
            <w:r w:rsidRPr="00400687">
              <w:rPr>
                <w:b/>
                <w:sz w:val="20"/>
                <w:szCs w:val="20"/>
              </w:rPr>
              <w:t>19</w:t>
            </w:r>
          </w:p>
        </w:tc>
        <w:tc>
          <w:tcPr>
            <w:tcW w:w="938"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5DFCD868" w14:textId="77777777" w:rsidR="00F22A70" w:rsidRPr="00400687" w:rsidRDefault="00F22A70" w:rsidP="0007761D">
            <w:pPr>
              <w:pStyle w:val="TableTextCentred"/>
              <w:rPr>
                <w:b/>
                <w:sz w:val="20"/>
                <w:szCs w:val="20"/>
              </w:rPr>
            </w:pPr>
            <w:r w:rsidRPr="00400687">
              <w:rPr>
                <w:b/>
                <w:sz w:val="20"/>
                <w:szCs w:val="20"/>
              </w:rPr>
              <w:t>100.0%</w:t>
            </w:r>
          </w:p>
        </w:tc>
        <w:tc>
          <w:tcPr>
            <w:tcW w:w="536"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4806FCC0" w14:textId="77777777" w:rsidR="00F22A70" w:rsidRPr="00400687" w:rsidRDefault="00F22A70" w:rsidP="0007761D">
            <w:pPr>
              <w:pStyle w:val="TableTextCentred"/>
              <w:rPr>
                <w:b/>
                <w:sz w:val="20"/>
                <w:szCs w:val="20"/>
              </w:rPr>
            </w:pPr>
            <w:r w:rsidRPr="00400687">
              <w:rPr>
                <w:b/>
                <w:sz w:val="20"/>
                <w:szCs w:val="20"/>
              </w:rPr>
              <w:t>73</w:t>
            </w:r>
          </w:p>
        </w:tc>
        <w:tc>
          <w:tcPr>
            <w:tcW w:w="1023"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4F1B2BF7" w14:textId="77777777" w:rsidR="00F22A70" w:rsidRPr="00400687" w:rsidRDefault="00F22A70" w:rsidP="0007761D">
            <w:pPr>
              <w:pStyle w:val="TableTextCentred"/>
              <w:rPr>
                <w:b/>
                <w:sz w:val="20"/>
                <w:szCs w:val="20"/>
              </w:rPr>
            </w:pPr>
            <w:r w:rsidRPr="00400687">
              <w:rPr>
                <w:b/>
                <w:sz w:val="20"/>
                <w:szCs w:val="20"/>
              </w:rPr>
              <w:t>100.0%</w:t>
            </w:r>
          </w:p>
        </w:tc>
        <w:tc>
          <w:tcPr>
            <w:tcW w:w="451"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607270E1" w14:textId="77777777" w:rsidR="00F22A70" w:rsidRPr="00400687" w:rsidRDefault="00F22A70" w:rsidP="0007761D">
            <w:pPr>
              <w:pStyle w:val="TableTextCentred"/>
              <w:rPr>
                <w:b/>
                <w:sz w:val="20"/>
                <w:szCs w:val="20"/>
              </w:rPr>
            </w:pPr>
            <w:r w:rsidRPr="00400687">
              <w:rPr>
                <w:b/>
                <w:sz w:val="20"/>
                <w:szCs w:val="20"/>
              </w:rPr>
              <w:t>20</w:t>
            </w:r>
          </w:p>
        </w:tc>
        <w:tc>
          <w:tcPr>
            <w:tcW w:w="967"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216152E3" w14:textId="77777777" w:rsidR="00F22A70" w:rsidRPr="00400687" w:rsidRDefault="00F22A70" w:rsidP="0007761D">
            <w:pPr>
              <w:pStyle w:val="TableTextCentred"/>
              <w:rPr>
                <w:b/>
                <w:sz w:val="20"/>
                <w:szCs w:val="20"/>
              </w:rPr>
            </w:pPr>
            <w:r w:rsidRPr="00400687">
              <w:rPr>
                <w:b/>
                <w:sz w:val="20"/>
                <w:szCs w:val="20"/>
              </w:rPr>
              <w:t>100.0%</w:t>
            </w:r>
          </w:p>
        </w:tc>
        <w:tc>
          <w:tcPr>
            <w:tcW w:w="567"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2DB59E91" w14:textId="77777777" w:rsidR="00F22A70" w:rsidRPr="00400687" w:rsidRDefault="00F22A70" w:rsidP="0007761D">
            <w:pPr>
              <w:pStyle w:val="TableTextCentred"/>
              <w:rPr>
                <w:b/>
                <w:sz w:val="20"/>
                <w:szCs w:val="20"/>
              </w:rPr>
            </w:pPr>
            <w:r w:rsidRPr="00400687">
              <w:rPr>
                <w:b/>
                <w:sz w:val="20"/>
                <w:szCs w:val="20"/>
              </w:rPr>
              <w:t>220</w:t>
            </w:r>
          </w:p>
        </w:tc>
        <w:tc>
          <w:tcPr>
            <w:tcW w:w="1134" w:type="dxa"/>
            <w:tcBorders>
              <w:top w:val="single" w:sz="4" w:space="0" w:color="0079C1" w:themeColor="text2"/>
              <w:bottom w:val="single" w:sz="4" w:space="0" w:color="0079C1" w:themeColor="text2"/>
            </w:tcBorders>
            <w:shd w:val="clear" w:color="auto" w:fill="E2F4FF" w:themeFill="accent1" w:themeFillTint="33"/>
            <w:vAlign w:val="center"/>
          </w:tcPr>
          <w:p w14:paraId="2B90DAD2" w14:textId="77777777" w:rsidR="00F22A70" w:rsidRPr="00400687" w:rsidRDefault="00F22A70" w:rsidP="0007761D">
            <w:pPr>
              <w:pStyle w:val="TableTextCentred"/>
              <w:rPr>
                <w:b/>
                <w:sz w:val="20"/>
                <w:szCs w:val="20"/>
              </w:rPr>
            </w:pPr>
            <w:r w:rsidRPr="00400687">
              <w:rPr>
                <w:b/>
                <w:sz w:val="20"/>
                <w:szCs w:val="20"/>
              </w:rPr>
              <w:t>100.0%</w:t>
            </w:r>
          </w:p>
        </w:tc>
      </w:tr>
    </w:tbl>
    <w:p w14:paraId="2B6CBA69" w14:textId="5C8AA91C" w:rsidR="00F22A70" w:rsidRDefault="0007761D" w:rsidP="0035587D">
      <w:pPr>
        <w:pStyle w:val="Paragraph"/>
      </w:pPr>
      <w:r>
        <w:t xml:space="preserve">Looking for </w:t>
      </w:r>
      <w:r w:rsidR="00AE1A4B">
        <w:t xml:space="preserve">general information about overseas adoption and for </w:t>
      </w:r>
      <w:r>
        <w:t xml:space="preserve">information about eligibility ranked as the </w:t>
      </w:r>
      <w:r w:rsidR="00AE1A4B">
        <w:t xml:space="preserve">two </w:t>
      </w:r>
      <w:r>
        <w:t>most frequently cited reason for using the website by parental respondents</w:t>
      </w:r>
      <w:r w:rsidR="00DB2842">
        <w:t xml:space="preserve"> (</w:t>
      </w:r>
      <w:r w:rsidR="00AE1A4B">
        <w:t>59/131, 45.0% and 5</w:t>
      </w:r>
      <w:r w:rsidR="00C20740">
        <w:t>2/</w:t>
      </w:r>
      <w:r w:rsidR="00AE1A4B">
        <w:t xml:space="preserve">131, </w:t>
      </w:r>
      <w:r w:rsidR="00DB2842">
        <w:t>39.</w:t>
      </w:r>
      <w:r w:rsidR="00AE1A4B">
        <w:t>7</w:t>
      </w:r>
      <w:r w:rsidR="00DB2842">
        <w:t>%</w:t>
      </w:r>
      <w:r w:rsidR="00EA0E41">
        <w:t xml:space="preserve"> respectively)</w:t>
      </w:r>
      <w:r>
        <w:t xml:space="preserve"> (</w:t>
      </w:r>
      <w:r w:rsidRPr="009E2BA1">
        <w:rPr>
          <w:rStyle w:val="Emphasis"/>
        </w:rPr>
        <w:fldChar w:fldCharType="begin"/>
      </w:r>
      <w:r w:rsidRPr="009E2BA1">
        <w:rPr>
          <w:rStyle w:val="Emphasis"/>
        </w:rPr>
        <w:instrText xml:space="preserve"> REF _Ref463011285 \h </w:instrText>
      </w:r>
      <w:r w:rsidR="009E2BA1">
        <w:rPr>
          <w:rStyle w:val="Emphasis"/>
        </w:rPr>
        <w:instrText xml:space="preserve"> \* MERGEFORMAT </w:instrText>
      </w:r>
      <w:r w:rsidRPr="009E2BA1">
        <w:rPr>
          <w:rStyle w:val="Emphasis"/>
        </w:rPr>
      </w:r>
      <w:r w:rsidRPr="009E2BA1">
        <w:rPr>
          <w:rStyle w:val="Emphasis"/>
        </w:rPr>
        <w:fldChar w:fldCharType="separate"/>
      </w:r>
      <w:r w:rsidR="00487073" w:rsidRPr="00487073">
        <w:rPr>
          <w:rStyle w:val="Emphasis"/>
        </w:rPr>
        <w:t>Table 6</w:t>
      </w:r>
      <w:r w:rsidR="00487073" w:rsidRPr="00487073">
        <w:rPr>
          <w:rStyle w:val="Emphasis"/>
        </w:rPr>
        <w:noBreakHyphen/>
        <w:t>4</w:t>
      </w:r>
      <w:r w:rsidRPr="009E2BA1">
        <w:rPr>
          <w:rStyle w:val="Emphasis"/>
        </w:rPr>
        <w:fldChar w:fldCharType="end"/>
      </w:r>
      <w:r>
        <w:t>).</w:t>
      </w:r>
    </w:p>
    <w:p w14:paraId="05381362" w14:textId="1FED433A" w:rsidR="00F22A70" w:rsidRDefault="00F22A70" w:rsidP="00F22A70">
      <w:pPr>
        <w:pStyle w:val="Caption"/>
      </w:pPr>
      <w:bookmarkStart w:id="156" w:name="_Ref463011285"/>
      <w:bookmarkStart w:id="157" w:name="_Toc490481669"/>
      <w:bookmarkStart w:id="158" w:name="_Hlk489548148"/>
      <w:r w:rsidRPr="00262D6D">
        <w:t>Table </w:t>
      </w:r>
      <w:r w:rsidR="00644B63">
        <w:fldChar w:fldCharType="begin"/>
      </w:r>
      <w:r w:rsidR="00644B63">
        <w:instrText xml:space="preserve"> STYLEREF 1 \s </w:instrText>
      </w:r>
      <w:r w:rsidR="00644B63">
        <w:fldChar w:fldCharType="separate"/>
      </w:r>
      <w:r w:rsidR="00487073">
        <w:rPr>
          <w:noProof/>
        </w:rPr>
        <w:t>6</w:t>
      </w:r>
      <w:r w:rsidR="00644B63">
        <w:fldChar w:fldCharType="end"/>
      </w:r>
      <w:r w:rsidR="00644B63">
        <w:noBreakHyphen/>
      </w:r>
      <w:r w:rsidR="00644B63">
        <w:fldChar w:fldCharType="begin"/>
      </w:r>
      <w:r w:rsidR="00644B63">
        <w:instrText xml:space="preserve"> SEQ Table \* ARABIC \s 1 </w:instrText>
      </w:r>
      <w:r w:rsidR="00644B63">
        <w:fldChar w:fldCharType="separate"/>
      </w:r>
      <w:r w:rsidR="00487073">
        <w:rPr>
          <w:noProof/>
        </w:rPr>
        <w:t>4</w:t>
      </w:r>
      <w:r w:rsidR="00644B63">
        <w:fldChar w:fldCharType="end"/>
      </w:r>
      <w:bookmarkEnd w:id="156"/>
      <w:r w:rsidRPr="00262D6D">
        <w:t>:</w:t>
      </w:r>
      <w:r w:rsidRPr="00262D6D">
        <w:tab/>
        <w:t>Reasons for using the website</w:t>
      </w:r>
      <w:bookmarkEnd w:id="157"/>
    </w:p>
    <w:tbl>
      <w:tblPr>
        <w:tblStyle w:val="TableGrid"/>
        <w:tblW w:w="9505" w:type="dxa"/>
        <w:tblInd w:w="108"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Description w:val="Table 6 4: Reasons for using the website"/>
      </w:tblPr>
      <w:tblGrid>
        <w:gridCol w:w="1992"/>
        <w:gridCol w:w="567"/>
        <w:gridCol w:w="907"/>
        <w:gridCol w:w="567"/>
        <w:gridCol w:w="936"/>
        <w:gridCol w:w="538"/>
        <w:gridCol w:w="1021"/>
        <w:gridCol w:w="453"/>
        <w:gridCol w:w="964"/>
        <w:gridCol w:w="567"/>
        <w:gridCol w:w="993"/>
      </w:tblGrid>
      <w:tr w:rsidR="006E48A5" w:rsidRPr="00400687" w14:paraId="2D6D4575" w14:textId="77777777" w:rsidTr="00F25A33">
        <w:trPr>
          <w:tblHeader/>
        </w:trPr>
        <w:tc>
          <w:tcPr>
            <w:tcW w:w="1992" w:type="dxa"/>
            <w:vMerge w:val="restart"/>
            <w:shd w:val="clear" w:color="auto" w:fill="0079C1" w:themeFill="text2"/>
            <w:vAlign w:val="center"/>
          </w:tcPr>
          <w:p w14:paraId="534C43C8" w14:textId="77777777" w:rsidR="006E48A5" w:rsidRPr="00400687" w:rsidRDefault="006E48A5" w:rsidP="00B10F64">
            <w:pPr>
              <w:pStyle w:val="TableHeading1"/>
              <w:rPr>
                <w:sz w:val="20"/>
              </w:rPr>
            </w:pPr>
            <w:r w:rsidRPr="00400687">
              <w:rPr>
                <w:sz w:val="20"/>
              </w:rPr>
              <w:t>Reason</w:t>
            </w:r>
          </w:p>
        </w:tc>
        <w:tc>
          <w:tcPr>
            <w:tcW w:w="2977" w:type="dxa"/>
            <w:gridSpan w:val="4"/>
            <w:shd w:val="clear" w:color="auto" w:fill="0079C1" w:themeFill="text2"/>
            <w:vAlign w:val="center"/>
          </w:tcPr>
          <w:p w14:paraId="2FD13DCD" w14:textId="77777777" w:rsidR="006E48A5" w:rsidRPr="00400687" w:rsidRDefault="006E48A5" w:rsidP="00B10F64">
            <w:pPr>
              <w:pStyle w:val="TableHeading1Centred"/>
              <w:rPr>
                <w:sz w:val="20"/>
              </w:rPr>
            </w:pPr>
            <w:r w:rsidRPr="00400687">
              <w:rPr>
                <w:sz w:val="20"/>
              </w:rPr>
              <w:t>Wanting to adopt</w:t>
            </w:r>
          </w:p>
        </w:tc>
        <w:tc>
          <w:tcPr>
            <w:tcW w:w="1559" w:type="dxa"/>
            <w:gridSpan w:val="2"/>
            <w:vMerge w:val="restart"/>
            <w:shd w:val="clear" w:color="auto" w:fill="0079C1" w:themeFill="text2"/>
            <w:vAlign w:val="center"/>
          </w:tcPr>
          <w:p w14:paraId="093CBBC4" w14:textId="77777777" w:rsidR="006E48A5" w:rsidRPr="00400687" w:rsidRDefault="006E48A5" w:rsidP="00B10F64">
            <w:pPr>
              <w:pStyle w:val="TableHeading1Centred"/>
              <w:rPr>
                <w:sz w:val="20"/>
              </w:rPr>
            </w:pPr>
            <w:r w:rsidRPr="00400687">
              <w:rPr>
                <w:sz w:val="20"/>
              </w:rPr>
              <w:t>Post adoption</w:t>
            </w:r>
          </w:p>
        </w:tc>
        <w:tc>
          <w:tcPr>
            <w:tcW w:w="1417" w:type="dxa"/>
            <w:gridSpan w:val="2"/>
            <w:vMerge w:val="restart"/>
            <w:shd w:val="clear" w:color="auto" w:fill="0079C1" w:themeFill="text2"/>
            <w:vAlign w:val="center"/>
          </w:tcPr>
          <w:p w14:paraId="79FBFCF5" w14:textId="77777777" w:rsidR="006E48A5" w:rsidRPr="00400687" w:rsidRDefault="006E48A5" w:rsidP="00B10F64">
            <w:pPr>
              <w:pStyle w:val="TableHeading1Centred"/>
              <w:rPr>
                <w:sz w:val="20"/>
              </w:rPr>
            </w:pPr>
            <w:r w:rsidRPr="00400687">
              <w:rPr>
                <w:sz w:val="20"/>
              </w:rPr>
              <w:t>Did not continue</w:t>
            </w:r>
          </w:p>
        </w:tc>
        <w:tc>
          <w:tcPr>
            <w:tcW w:w="1560" w:type="dxa"/>
            <w:gridSpan w:val="2"/>
            <w:vMerge w:val="restart"/>
            <w:shd w:val="clear" w:color="auto" w:fill="0079C1" w:themeFill="text2"/>
            <w:vAlign w:val="center"/>
          </w:tcPr>
          <w:p w14:paraId="53242A08" w14:textId="77777777" w:rsidR="006E48A5" w:rsidRPr="00400687" w:rsidRDefault="006E48A5" w:rsidP="00B10F64">
            <w:pPr>
              <w:pStyle w:val="TableHeading1Centred"/>
              <w:rPr>
                <w:sz w:val="20"/>
              </w:rPr>
            </w:pPr>
            <w:r w:rsidRPr="00400687">
              <w:rPr>
                <w:sz w:val="20"/>
              </w:rPr>
              <w:t>Total</w:t>
            </w:r>
          </w:p>
        </w:tc>
      </w:tr>
      <w:tr w:rsidR="006E48A5" w:rsidRPr="00400687" w14:paraId="6A1CD19B" w14:textId="77777777" w:rsidTr="00F25A33">
        <w:trPr>
          <w:tblHeader/>
        </w:trPr>
        <w:tc>
          <w:tcPr>
            <w:tcW w:w="1992" w:type="dxa"/>
            <w:vMerge/>
            <w:shd w:val="clear" w:color="auto" w:fill="0079C1" w:themeFill="text2"/>
            <w:vAlign w:val="center"/>
          </w:tcPr>
          <w:p w14:paraId="540E5718" w14:textId="77777777" w:rsidR="006E48A5" w:rsidRPr="00400687" w:rsidRDefault="006E48A5" w:rsidP="00B10F64">
            <w:pPr>
              <w:pStyle w:val="TableHeading1Centred"/>
              <w:rPr>
                <w:sz w:val="20"/>
              </w:rPr>
            </w:pPr>
          </w:p>
        </w:tc>
        <w:tc>
          <w:tcPr>
            <w:tcW w:w="1474" w:type="dxa"/>
            <w:gridSpan w:val="2"/>
            <w:shd w:val="clear" w:color="auto" w:fill="0079C1" w:themeFill="text2"/>
            <w:vAlign w:val="center"/>
          </w:tcPr>
          <w:p w14:paraId="45301965" w14:textId="77777777" w:rsidR="006E48A5" w:rsidRPr="00400687" w:rsidRDefault="006E48A5" w:rsidP="00B10F64">
            <w:pPr>
              <w:pStyle w:val="TableHeading1Centred"/>
              <w:rPr>
                <w:sz w:val="20"/>
              </w:rPr>
            </w:pPr>
            <w:r w:rsidRPr="00400687">
              <w:rPr>
                <w:sz w:val="20"/>
              </w:rPr>
              <w:t>First time</w:t>
            </w:r>
          </w:p>
        </w:tc>
        <w:tc>
          <w:tcPr>
            <w:tcW w:w="1503" w:type="dxa"/>
            <w:gridSpan w:val="2"/>
            <w:shd w:val="clear" w:color="auto" w:fill="0079C1" w:themeFill="text2"/>
            <w:vAlign w:val="center"/>
          </w:tcPr>
          <w:p w14:paraId="614B2430" w14:textId="77777777" w:rsidR="006E48A5" w:rsidRPr="00400687" w:rsidRDefault="006E48A5" w:rsidP="00B10F64">
            <w:pPr>
              <w:pStyle w:val="TableHeading1Centred"/>
              <w:rPr>
                <w:sz w:val="20"/>
              </w:rPr>
            </w:pPr>
            <w:r w:rsidRPr="00400687">
              <w:rPr>
                <w:sz w:val="20"/>
              </w:rPr>
              <w:t>Repeat</w:t>
            </w:r>
          </w:p>
        </w:tc>
        <w:tc>
          <w:tcPr>
            <w:tcW w:w="1559" w:type="dxa"/>
            <w:gridSpan w:val="2"/>
            <w:vMerge/>
            <w:shd w:val="clear" w:color="auto" w:fill="0079C1" w:themeFill="text2"/>
            <w:vAlign w:val="center"/>
          </w:tcPr>
          <w:p w14:paraId="1AB81FE1" w14:textId="77777777" w:rsidR="006E48A5" w:rsidRPr="00400687" w:rsidRDefault="006E48A5" w:rsidP="00B10F64">
            <w:pPr>
              <w:pStyle w:val="TableHeading1Centred"/>
              <w:rPr>
                <w:sz w:val="20"/>
              </w:rPr>
            </w:pPr>
          </w:p>
        </w:tc>
        <w:tc>
          <w:tcPr>
            <w:tcW w:w="1417" w:type="dxa"/>
            <w:gridSpan w:val="2"/>
            <w:vMerge/>
            <w:shd w:val="clear" w:color="auto" w:fill="0079C1" w:themeFill="text2"/>
            <w:vAlign w:val="center"/>
          </w:tcPr>
          <w:p w14:paraId="24ABB76F" w14:textId="77777777" w:rsidR="006E48A5" w:rsidRPr="00400687" w:rsidRDefault="006E48A5" w:rsidP="00B10F64">
            <w:pPr>
              <w:pStyle w:val="TableHeading1Centred"/>
              <w:rPr>
                <w:sz w:val="20"/>
              </w:rPr>
            </w:pPr>
          </w:p>
        </w:tc>
        <w:tc>
          <w:tcPr>
            <w:tcW w:w="1560" w:type="dxa"/>
            <w:gridSpan w:val="2"/>
            <w:vMerge/>
            <w:shd w:val="clear" w:color="auto" w:fill="0079C1" w:themeFill="text2"/>
            <w:vAlign w:val="center"/>
          </w:tcPr>
          <w:p w14:paraId="6AA8D5BE" w14:textId="77777777" w:rsidR="006E48A5" w:rsidRPr="00400687" w:rsidRDefault="006E48A5" w:rsidP="00B10F64">
            <w:pPr>
              <w:pStyle w:val="TableHeading1Centred"/>
              <w:rPr>
                <w:sz w:val="20"/>
              </w:rPr>
            </w:pPr>
          </w:p>
        </w:tc>
      </w:tr>
      <w:tr w:rsidR="00064763" w:rsidRPr="00400687" w14:paraId="1FBED78D" w14:textId="77777777" w:rsidTr="00F25A33">
        <w:trPr>
          <w:tblHeader/>
        </w:trPr>
        <w:tc>
          <w:tcPr>
            <w:tcW w:w="1992" w:type="dxa"/>
            <w:vMerge/>
            <w:vAlign w:val="center"/>
          </w:tcPr>
          <w:p w14:paraId="6EA2239D" w14:textId="77777777" w:rsidR="00F22A70" w:rsidRPr="00400687" w:rsidRDefault="00F22A70" w:rsidP="00B10F64">
            <w:pPr>
              <w:pStyle w:val="TableHeading1Centred"/>
              <w:rPr>
                <w:sz w:val="20"/>
              </w:rPr>
            </w:pPr>
          </w:p>
        </w:tc>
        <w:tc>
          <w:tcPr>
            <w:tcW w:w="567" w:type="dxa"/>
            <w:shd w:val="clear" w:color="auto" w:fill="0079C1" w:themeFill="text2"/>
            <w:vAlign w:val="center"/>
          </w:tcPr>
          <w:p w14:paraId="5D3D24FC" w14:textId="77777777" w:rsidR="00F22A70" w:rsidRPr="00400687" w:rsidRDefault="00F22A70" w:rsidP="00B10F64">
            <w:pPr>
              <w:pStyle w:val="TableHeading1Centred"/>
              <w:rPr>
                <w:sz w:val="20"/>
              </w:rPr>
            </w:pPr>
            <w:r w:rsidRPr="00400687">
              <w:rPr>
                <w:sz w:val="20"/>
              </w:rPr>
              <w:t>n</w:t>
            </w:r>
          </w:p>
        </w:tc>
        <w:tc>
          <w:tcPr>
            <w:tcW w:w="907" w:type="dxa"/>
            <w:shd w:val="clear" w:color="auto" w:fill="0079C1" w:themeFill="text2"/>
            <w:vAlign w:val="center"/>
          </w:tcPr>
          <w:p w14:paraId="0DC0C76B" w14:textId="77777777" w:rsidR="00F22A70" w:rsidRPr="00400687" w:rsidRDefault="00F22A70" w:rsidP="00B10F64">
            <w:pPr>
              <w:pStyle w:val="TableHeading1Centred"/>
              <w:rPr>
                <w:sz w:val="20"/>
              </w:rPr>
            </w:pPr>
            <w:r w:rsidRPr="00400687">
              <w:rPr>
                <w:sz w:val="20"/>
              </w:rPr>
              <w:t>%</w:t>
            </w:r>
          </w:p>
        </w:tc>
        <w:tc>
          <w:tcPr>
            <w:tcW w:w="567" w:type="dxa"/>
            <w:shd w:val="clear" w:color="auto" w:fill="0079C1" w:themeFill="text2"/>
            <w:vAlign w:val="center"/>
          </w:tcPr>
          <w:p w14:paraId="37AF0E9E" w14:textId="77777777" w:rsidR="00F22A70" w:rsidRPr="00400687" w:rsidRDefault="00F22A70" w:rsidP="00B10F64">
            <w:pPr>
              <w:pStyle w:val="TableHeading1Centred"/>
              <w:rPr>
                <w:sz w:val="20"/>
              </w:rPr>
            </w:pPr>
            <w:r w:rsidRPr="00400687">
              <w:rPr>
                <w:sz w:val="20"/>
              </w:rPr>
              <w:t>n</w:t>
            </w:r>
          </w:p>
        </w:tc>
        <w:tc>
          <w:tcPr>
            <w:tcW w:w="936" w:type="dxa"/>
            <w:shd w:val="clear" w:color="auto" w:fill="0079C1" w:themeFill="text2"/>
            <w:vAlign w:val="center"/>
          </w:tcPr>
          <w:p w14:paraId="51D08675" w14:textId="77777777" w:rsidR="00F22A70" w:rsidRPr="00400687" w:rsidRDefault="00F22A70" w:rsidP="00B10F64">
            <w:pPr>
              <w:pStyle w:val="TableHeading1Centred"/>
              <w:rPr>
                <w:sz w:val="20"/>
              </w:rPr>
            </w:pPr>
            <w:r w:rsidRPr="00400687">
              <w:rPr>
                <w:sz w:val="20"/>
              </w:rPr>
              <w:t>%</w:t>
            </w:r>
          </w:p>
        </w:tc>
        <w:tc>
          <w:tcPr>
            <w:tcW w:w="538" w:type="dxa"/>
            <w:shd w:val="clear" w:color="auto" w:fill="0079C1" w:themeFill="text2"/>
            <w:vAlign w:val="center"/>
          </w:tcPr>
          <w:p w14:paraId="47C32626" w14:textId="77777777" w:rsidR="00F22A70" w:rsidRPr="00400687" w:rsidRDefault="00F22A70" w:rsidP="00B10F64">
            <w:pPr>
              <w:pStyle w:val="TableHeading1Centred"/>
              <w:rPr>
                <w:sz w:val="20"/>
              </w:rPr>
            </w:pPr>
            <w:r w:rsidRPr="00400687">
              <w:rPr>
                <w:sz w:val="20"/>
              </w:rPr>
              <w:t>n</w:t>
            </w:r>
          </w:p>
        </w:tc>
        <w:tc>
          <w:tcPr>
            <w:tcW w:w="1021" w:type="dxa"/>
            <w:shd w:val="clear" w:color="auto" w:fill="0079C1" w:themeFill="text2"/>
            <w:vAlign w:val="center"/>
          </w:tcPr>
          <w:p w14:paraId="249B4C02" w14:textId="77777777" w:rsidR="00F22A70" w:rsidRPr="00400687" w:rsidRDefault="00F22A70" w:rsidP="00B10F64">
            <w:pPr>
              <w:pStyle w:val="TableHeading1Centred"/>
              <w:rPr>
                <w:sz w:val="20"/>
              </w:rPr>
            </w:pPr>
            <w:r w:rsidRPr="00400687">
              <w:rPr>
                <w:sz w:val="20"/>
              </w:rPr>
              <w:t>%</w:t>
            </w:r>
          </w:p>
        </w:tc>
        <w:tc>
          <w:tcPr>
            <w:tcW w:w="453" w:type="dxa"/>
            <w:shd w:val="clear" w:color="auto" w:fill="0079C1" w:themeFill="text2"/>
            <w:vAlign w:val="center"/>
          </w:tcPr>
          <w:p w14:paraId="74BFB826" w14:textId="77777777" w:rsidR="00F22A70" w:rsidRPr="00400687" w:rsidRDefault="00F22A70" w:rsidP="00B10F64">
            <w:pPr>
              <w:pStyle w:val="TableHeading1Centred"/>
              <w:rPr>
                <w:sz w:val="20"/>
              </w:rPr>
            </w:pPr>
            <w:r w:rsidRPr="00400687">
              <w:rPr>
                <w:sz w:val="20"/>
              </w:rPr>
              <w:t>n</w:t>
            </w:r>
          </w:p>
        </w:tc>
        <w:tc>
          <w:tcPr>
            <w:tcW w:w="964" w:type="dxa"/>
            <w:shd w:val="clear" w:color="auto" w:fill="0079C1" w:themeFill="text2"/>
            <w:vAlign w:val="center"/>
          </w:tcPr>
          <w:p w14:paraId="7A087852" w14:textId="77777777" w:rsidR="00F22A70" w:rsidRPr="00400687" w:rsidRDefault="00F22A70" w:rsidP="00B10F64">
            <w:pPr>
              <w:pStyle w:val="TableHeading1Centred"/>
              <w:rPr>
                <w:sz w:val="20"/>
              </w:rPr>
            </w:pPr>
            <w:r w:rsidRPr="00400687">
              <w:rPr>
                <w:sz w:val="20"/>
              </w:rPr>
              <w:t>%</w:t>
            </w:r>
          </w:p>
        </w:tc>
        <w:tc>
          <w:tcPr>
            <w:tcW w:w="567" w:type="dxa"/>
            <w:shd w:val="clear" w:color="auto" w:fill="0079C1" w:themeFill="text2"/>
            <w:vAlign w:val="center"/>
          </w:tcPr>
          <w:p w14:paraId="31FCDEFF" w14:textId="77777777" w:rsidR="00F22A70" w:rsidRPr="00400687" w:rsidRDefault="00F22A70" w:rsidP="00B10F64">
            <w:pPr>
              <w:pStyle w:val="TableHeading1Centred"/>
              <w:rPr>
                <w:sz w:val="20"/>
              </w:rPr>
            </w:pPr>
            <w:r w:rsidRPr="00400687">
              <w:rPr>
                <w:sz w:val="20"/>
              </w:rPr>
              <w:t>n</w:t>
            </w:r>
          </w:p>
        </w:tc>
        <w:tc>
          <w:tcPr>
            <w:tcW w:w="993" w:type="dxa"/>
            <w:shd w:val="clear" w:color="auto" w:fill="0079C1" w:themeFill="text2"/>
            <w:vAlign w:val="center"/>
          </w:tcPr>
          <w:p w14:paraId="4D03A431" w14:textId="77777777" w:rsidR="00F22A70" w:rsidRPr="00400687" w:rsidRDefault="00F22A70" w:rsidP="00B10F64">
            <w:pPr>
              <w:pStyle w:val="TableHeading1Centred"/>
              <w:rPr>
                <w:sz w:val="20"/>
              </w:rPr>
            </w:pPr>
            <w:r w:rsidRPr="00400687">
              <w:rPr>
                <w:sz w:val="20"/>
              </w:rPr>
              <w:t>%</w:t>
            </w:r>
          </w:p>
        </w:tc>
      </w:tr>
      <w:tr w:rsidR="00AE1A4B" w:rsidRPr="00400687" w14:paraId="5CE57795" w14:textId="77777777" w:rsidTr="00400687">
        <w:tc>
          <w:tcPr>
            <w:tcW w:w="1992" w:type="dxa"/>
            <w:tcBorders>
              <w:right w:val="single" w:sz="4" w:space="0" w:color="0079C1"/>
            </w:tcBorders>
            <w:shd w:val="clear" w:color="auto" w:fill="auto"/>
            <w:vAlign w:val="center"/>
          </w:tcPr>
          <w:p w14:paraId="775FF757" w14:textId="77777777" w:rsidR="00AE1A4B" w:rsidRPr="00400687" w:rsidRDefault="00AE1A4B" w:rsidP="00AE1A4B">
            <w:pPr>
              <w:pStyle w:val="TableText"/>
              <w:rPr>
                <w:sz w:val="20"/>
                <w:szCs w:val="20"/>
              </w:rPr>
            </w:pPr>
            <w:r w:rsidRPr="00400687">
              <w:rPr>
                <w:sz w:val="20"/>
                <w:szCs w:val="20"/>
              </w:rPr>
              <w:t>Looking for general information on my eligibility to adopt</w:t>
            </w:r>
          </w:p>
        </w:tc>
        <w:tc>
          <w:tcPr>
            <w:tcW w:w="567" w:type="dxa"/>
            <w:tcBorders>
              <w:left w:val="single" w:sz="4" w:space="0" w:color="0079C1"/>
            </w:tcBorders>
            <w:shd w:val="clear" w:color="auto" w:fill="auto"/>
            <w:vAlign w:val="center"/>
          </w:tcPr>
          <w:p w14:paraId="37A0AA82" w14:textId="708F16FB" w:rsidR="00AE1A4B" w:rsidRPr="00400687" w:rsidRDefault="00AE1A4B" w:rsidP="00AE1A4B">
            <w:pPr>
              <w:pStyle w:val="TableTextCentred"/>
              <w:rPr>
                <w:sz w:val="20"/>
                <w:szCs w:val="20"/>
              </w:rPr>
            </w:pPr>
            <w:r w:rsidRPr="00400687">
              <w:rPr>
                <w:sz w:val="20"/>
                <w:szCs w:val="20"/>
              </w:rPr>
              <w:t>35</w:t>
            </w:r>
          </w:p>
        </w:tc>
        <w:tc>
          <w:tcPr>
            <w:tcW w:w="907" w:type="dxa"/>
            <w:tcBorders>
              <w:right w:val="single" w:sz="4" w:space="0" w:color="0079C1"/>
            </w:tcBorders>
            <w:shd w:val="clear" w:color="auto" w:fill="auto"/>
            <w:vAlign w:val="center"/>
          </w:tcPr>
          <w:p w14:paraId="29BA1844" w14:textId="6C04467D" w:rsidR="00AE1A4B" w:rsidRPr="00400687" w:rsidRDefault="00AE1A4B" w:rsidP="00AE1A4B">
            <w:pPr>
              <w:pStyle w:val="TableTextCentred"/>
              <w:rPr>
                <w:sz w:val="20"/>
                <w:szCs w:val="20"/>
              </w:rPr>
            </w:pPr>
            <w:r w:rsidRPr="00400687">
              <w:rPr>
                <w:sz w:val="20"/>
                <w:szCs w:val="20"/>
              </w:rPr>
              <w:t>32.4%</w:t>
            </w:r>
          </w:p>
        </w:tc>
        <w:tc>
          <w:tcPr>
            <w:tcW w:w="567" w:type="dxa"/>
            <w:tcBorders>
              <w:left w:val="single" w:sz="4" w:space="0" w:color="0079C1"/>
            </w:tcBorders>
            <w:shd w:val="clear" w:color="auto" w:fill="auto"/>
            <w:vAlign w:val="center"/>
          </w:tcPr>
          <w:p w14:paraId="6341B6C7" w14:textId="584BCDB0" w:rsidR="00AE1A4B" w:rsidRPr="00400687" w:rsidRDefault="00AE1A4B" w:rsidP="00AE1A4B">
            <w:pPr>
              <w:pStyle w:val="TableTextCentred"/>
              <w:rPr>
                <w:sz w:val="20"/>
                <w:szCs w:val="20"/>
              </w:rPr>
            </w:pPr>
            <w:r w:rsidRPr="00400687">
              <w:rPr>
                <w:sz w:val="20"/>
                <w:szCs w:val="20"/>
              </w:rPr>
              <w:t>4</w:t>
            </w:r>
          </w:p>
        </w:tc>
        <w:tc>
          <w:tcPr>
            <w:tcW w:w="936" w:type="dxa"/>
            <w:tcBorders>
              <w:right w:val="single" w:sz="4" w:space="0" w:color="0079C1"/>
            </w:tcBorders>
            <w:shd w:val="clear" w:color="auto" w:fill="auto"/>
            <w:vAlign w:val="center"/>
          </w:tcPr>
          <w:p w14:paraId="6B0DD478" w14:textId="06D75851" w:rsidR="00AE1A4B" w:rsidRPr="00400687" w:rsidRDefault="00AE1A4B" w:rsidP="00AE1A4B">
            <w:pPr>
              <w:pStyle w:val="TableTextCentred"/>
              <w:rPr>
                <w:sz w:val="20"/>
                <w:szCs w:val="20"/>
              </w:rPr>
            </w:pPr>
            <w:r w:rsidRPr="00400687">
              <w:rPr>
                <w:sz w:val="20"/>
                <w:szCs w:val="20"/>
              </w:rPr>
              <w:t>21.1%</w:t>
            </w:r>
          </w:p>
        </w:tc>
        <w:tc>
          <w:tcPr>
            <w:tcW w:w="538" w:type="dxa"/>
            <w:tcBorders>
              <w:left w:val="single" w:sz="4" w:space="0" w:color="0079C1"/>
            </w:tcBorders>
            <w:shd w:val="clear" w:color="auto" w:fill="auto"/>
            <w:vAlign w:val="center"/>
          </w:tcPr>
          <w:p w14:paraId="0C9CFA2E" w14:textId="23A3E102" w:rsidR="00AE1A4B" w:rsidRPr="00400687" w:rsidRDefault="00AE1A4B" w:rsidP="00AE1A4B">
            <w:pPr>
              <w:pStyle w:val="TableTextCentred"/>
              <w:rPr>
                <w:sz w:val="20"/>
                <w:szCs w:val="20"/>
              </w:rPr>
            </w:pPr>
            <w:r w:rsidRPr="00400687">
              <w:rPr>
                <w:sz w:val="20"/>
                <w:szCs w:val="20"/>
              </w:rPr>
              <w:t>5</w:t>
            </w:r>
          </w:p>
        </w:tc>
        <w:tc>
          <w:tcPr>
            <w:tcW w:w="1021" w:type="dxa"/>
            <w:tcBorders>
              <w:right w:val="single" w:sz="4" w:space="0" w:color="0079C1"/>
            </w:tcBorders>
            <w:shd w:val="clear" w:color="auto" w:fill="auto"/>
            <w:vAlign w:val="center"/>
          </w:tcPr>
          <w:p w14:paraId="7D36707A" w14:textId="38F75320" w:rsidR="00AE1A4B" w:rsidRPr="00400687" w:rsidRDefault="00AE1A4B" w:rsidP="00AE1A4B">
            <w:pPr>
              <w:pStyle w:val="TableTextCentred"/>
              <w:rPr>
                <w:sz w:val="20"/>
                <w:szCs w:val="20"/>
              </w:rPr>
            </w:pPr>
            <w:r w:rsidRPr="00400687">
              <w:rPr>
                <w:sz w:val="20"/>
                <w:szCs w:val="20"/>
              </w:rPr>
              <w:t>6.8%</w:t>
            </w:r>
          </w:p>
        </w:tc>
        <w:tc>
          <w:tcPr>
            <w:tcW w:w="453" w:type="dxa"/>
            <w:tcBorders>
              <w:left w:val="single" w:sz="4" w:space="0" w:color="0079C1"/>
            </w:tcBorders>
            <w:shd w:val="clear" w:color="auto" w:fill="auto"/>
            <w:vAlign w:val="center"/>
          </w:tcPr>
          <w:p w14:paraId="2C85FA3F" w14:textId="4F06BCB2" w:rsidR="00AE1A4B" w:rsidRPr="00400687" w:rsidRDefault="00AE1A4B" w:rsidP="00AE1A4B">
            <w:pPr>
              <w:pStyle w:val="TableTextCentred"/>
              <w:rPr>
                <w:sz w:val="20"/>
                <w:szCs w:val="20"/>
              </w:rPr>
            </w:pPr>
            <w:r w:rsidRPr="00400687">
              <w:rPr>
                <w:sz w:val="20"/>
                <w:szCs w:val="20"/>
              </w:rPr>
              <w:t>8</w:t>
            </w:r>
          </w:p>
        </w:tc>
        <w:tc>
          <w:tcPr>
            <w:tcW w:w="964" w:type="dxa"/>
            <w:tcBorders>
              <w:right w:val="single" w:sz="4" w:space="0" w:color="0079C1"/>
            </w:tcBorders>
            <w:shd w:val="clear" w:color="auto" w:fill="auto"/>
            <w:vAlign w:val="center"/>
          </w:tcPr>
          <w:p w14:paraId="2ADE1B61" w14:textId="1E7E52AA" w:rsidR="00AE1A4B" w:rsidRPr="00400687" w:rsidRDefault="00AE1A4B" w:rsidP="00AE1A4B">
            <w:pPr>
              <w:pStyle w:val="TableTextCentred"/>
              <w:rPr>
                <w:sz w:val="20"/>
                <w:szCs w:val="20"/>
              </w:rPr>
            </w:pPr>
            <w:r w:rsidRPr="00400687">
              <w:rPr>
                <w:sz w:val="20"/>
                <w:szCs w:val="20"/>
              </w:rPr>
              <w:t>40.0%</w:t>
            </w:r>
          </w:p>
        </w:tc>
        <w:tc>
          <w:tcPr>
            <w:tcW w:w="567" w:type="dxa"/>
            <w:tcBorders>
              <w:left w:val="single" w:sz="4" w:space="0" w:color="0079C1"/>
            </w:tcBorders>
            <w:shd w:val="clear" w:color="auto" w:fill="auto"/>
            <w:vAlign w:val="center"/>
          </w:tcPr>
          <w:p w14:paraId="25CD1F92" w14:textId="044C2B1F" w:rsidR="00AE1A4B" w:rsidRPr="00400687" w:rsidRDefault="00AE1A4B" w:rsidP="00AE1A4B">
            <w:pPr>
              <w:pStyle w:val="TableTextCentred"/>
              <w:rPr>
                <w:rStyle w:val="Bold"/>
                <w:b w:val="0"/>
                <w:sz w:val="20"/>
                <w:szCs w:val="20"/>
              </w:rPr>
            </w:pPr>
            <w:r w:rsidRPr="00400687">
              <w:rPr>
                <w:b/>
                <w:sz w:val="20"/>
                <w:szCs w:val="20"/>
              </w:rPr>
              <w:t>52</w:t>
            </w:r>
          </w:p>
        </w:tc>
        <w:tc>
          <w:tcPr>
            <w:tcW w:w="993" w:type="dxa"/>
            <w:shd w:val="clear" w:color="auto" w:fill="auto"/>
            <w:vAlign w:val="center"/>
          </w:tcPr>
          <w:p w14:paraId="4940FAE1" w14:textId="315B3EA1" w:rsidR="00AE1A4B" w:rsidRPr="00400687" w:rsidRDefault="00AE1A4B" w:rsidP="00AE1A4B">
            <w:pPr>
              <w:pStyle w:val="TableTextCentred"/>
              <w:rPr>
                <w:rStyle w:val="Bold"/>
                <w:b w:val="0"/>
                <w:sz w:val="20"/>
                <w:szCs w:val="20"/>
              </w:rPr>
            </w:pPr>
            <w:r w:rsidRPr="00400687">
              <w:rPr>
                <w:b/>
                <w:sz w:val="20"/>
                <w:szCs w:val="20"/>
              </w:rPr>
              <w:t>23.6%</w:t>
            </w:r>
          </w:p>
        </w:tc>
      </w:tr>
      <w:tr w:rsidR="00AE1A4B" w:rsidRPr="00400687" w14:paraId="167EC785" w14:textId="77777777" w:rsidTr="00400687">
        <w:tc>
          <w:tcPr>
            <w:tcW w:w="1992" w:type="dxa"/>
            <w:tcBorders>
              <w:right w:val="single" w:sz="4" w:space="0" w:color="0079C1"/>
            </w:tcBorders>
            <w:shd w:val="clear" w:color="auto" w:fill="auto"/>
            <w:vAlign w:val="center"/>
          </w:tcPr>
          <w:p w14:paraId="6A2973E8" w14:textId="77777777" w:rsidR="00AE1A4B" w:rsidRPr="00400687" w:rsidRDefault="00AE1A4B" w:rsidP="00AE1A4B">
            <w:pPr>
              <w:pStyle w:val="TableText"/>
              <w:rPr>
                <w:sz w:val="20"/>
                <w:szCs w:val="20"/>
              </w:rPr>
            </w:pPr>
            <w:r w:rsidRPr="00400687">
              <w:rPr>
                <w:sz w:val="20"/>
                <w:szCs w:val="20"/>
              </w:rPr>
              <w:t>Looking for general information on overseas adoption</w:t>
            </w:r>
          </w:p>
        </w:tc>
        <w:tc>
          <w:tcPr>
            <w:tcW w:w="567" w:type="dxa"/>
            <w:tcBorders>
              <w:left w:val="single" w:sz="4" w:space="0" w:color="0079C1"/>
            </w:tcBorders>
            <w:shd w:val="clear" w:color="auto" w:fill="auto"/>
            <w:vAlign w:val="center"/>
          </w:tcPr>
          <w:p w14:paraId="535070E2" w14:textId="53F6E939" w:rsidR="00AE1A4B" w:rsidRPr="00400687" w:rsidRDefault="00AE1A4B" w:rsidP="00AE1A4B">
            <w:pPr>
              <w:pStyle w:val="TableTextCentred"/>
              <w:rPr>
                <w:sz w:val="20"/>
                <w:szCs w:val="20"/>
              </w:rPr>
            </w:pPr>
            <w:r w:rsidRPr="00400687">
              <w:rPr>
                <w:sz w:val="20"/>
                <w:szCs w:val="20"/>
              </w:rPr>
              <w:t>42</w:t>
            </w:r>
          </w:p>
        </w:tc>
        <w:tc>
          <w:tcPr>
            <w:tcW w:w="907" w:type="dxa"/>
            <w:tcBorders>
              <w:right w:val="single" w:sz="4" w:space="0" w:color="0079C1"/>
            </w:tcBorders>
            <w:shd w:val="clear" w:color="auto" w:fill="auto"/>
            <w:vAlign w:val="center"/>
          </w:tcPr>
          <w:p w14:paraId="500773A1" w14:textId="2BC0DB9F" w:rsidR="00AE1A4B" w:rsidRPr="00400687" w:rsidRDefault="00AE1A4B" w:rsidP="00AE1A4B">
            <w:pPr>
              <w:pStyle w:val="TableTextCentred"/>
              <w:rPr>
                <w:sz w:val="20"/>
                <w:szCs w:val="20"/>
              </w:rPr>
            </w:pPr>
            <w:r w:rsidRPr="00400687">
              <w:rPr>
                <w:sz w:val="20"/>
                <w:szCs w:val="20"/>
              </w:rPr>
              <w:t>38.9%</w:t>
            </w:r>
          </w:p>
        </w:tc>
        <w:tc>
          <w:tcPr>
            <w:tcW w:w="567" w:type="dxa"/>
            <w:tcBorders>
              <w:left w:val="single" w:sz="4" w:space="0" w:color="0079C1"/>
            </w:tcBorders>
            <w:shd w:val="clear" w:color="auto" w:fill="auto"/>
            <w:vAlign w:val="center"/>
          </w:tcPr>
          <w:p w14:paraId="48EBC60C" w14:textId="069C5B86" w:rsidR="00AE1A4B" w:rsidRPr="00400687" w:rsidRDefault="00AE1A4B" w:rsidP="00AE1A4B">
            <w:pPr>
              <w:pStyle w:val="TableTextCentred"/>
              <w:rPr>
                <w:sz w:val="20"/>
                <w:szCs w:val="20"/>
              </w:rPr>
            </w:pPr>
            <w:r w:rsidRPr="00400687">
              <w:rPr>
                <w:sz w:val="20"/>
                <w:szCs w:val="20"/>
              </w:rPr>
              <w:t>2</w:t>
            </w:r>
          </w:p>
        </w:tc>
        <w:tc>
          <w:tcPr>
            <w:tcW w:w="936" w:type="dxa"/>
            <w:tcBorders>
              <w:right w:val="single" w:sz="4" w:space="0" w:color="0079C1"/>
            </w:tcBorders>
            <w:shd w:val="clear" w:color="auto" w:fill="auto"/>
            <w:vAlign w:val="center"/>
          </w:tcPr>
          <w:p w14:paraId="18199D0B" w14:textId="576D38E9" w:rsidR="00AE1A4B" w:rsidRPr="00400687" w:rsidRDefault="00AE1A4B" w:rsidP="00AE1A4B">
            <w:pPr>
              <w:pStyle w:val="TableTextCentred"/>
              <w:rPr>
                <w:sz w:val="20"/>
                <w:szCs w:val="20"/>
              </w:rPr>
            </w:pPr>
            <w:r w:rsidRPr="00400687">
              <w:rPr>
                <w:sz w:val="20"/>
                <w:szCs w:val="20"/>
              </w:rPr>
              <w:t>10.5%</w:t>
            </w:r>
          </w:p>
        </w:tc>
        <w:tc>
          <w:tcPr>
            <w:tcW w:w="538" w:type="dxa"/>
            <w:tcBorders>
              <w:left w:val="single" w:sz="4" w:space="0" w:color="0079C1"/>
            </w:tcBorders>
            <w:shd w:val="clear" w:color="auto" w:fill="auto"/>
            <w:vAlign w:val="center"/>
          </w:tcPr>
          <w:p w14:paraId="29AA6AF1" w14:textId="23D279E4" w:rsidR="00AE1A4B" w:rsidRPr="00400687" w:rsidRDefault="00AE1A4B" w:rsidP="00AE1A4B">
            <w:pPr>
              <w:pStyle w:val="TableTextCentred"/>
              <w:rPr>
                <w:sz w:val="20"/>
                <w:szCs w:val="20"/>
              </w:rPr>
            </w:pPr>
            <w:r w:rsidRPr="00400687">
              <w:rPr>
                <w:sz w:val="20"/>
                <w:szCs w:val="20"/>
              </w:rPr>
              <w:t>8</w:t>
            </w:r>
          </w:p>
        </w:tc>
        <w:tc>
          <w:tcPr>
            <w:tcW w:w="1021" w:type="dxa"/>
            <w:tcBorders>
              <w:right w:val="single" w:sz="4" w:space="0" w:color="0079C1"/>
            </w:tcBorders>
            <w:shd w:val="clear" w:color="auto" w:fill="auto"/>
            <w:vAlign w:val="center"/>
          </w:tcPr>
          <w:p w14:paraId="09D55F05" w14:textId="3CBFD0F4" w:rsidR="00AE1A4B" w:rsidRPr="00400687" w:rsidRDefault="00AE1A4B" w:rsidP="00AE1A4B">
            <w:pPr>
              <w:pStyle w:val="TableTextCentred"/>
              <w:rPr>
                <w:sz w:val="20"/>
                <w:szCs w:val="20"/>
              </w:rPr>
            </w:pPr>
            <w:r w:rsidRPr="00400687">
              <w:rPr>
                <w:sz w:val="20"/>
                <w:szCs w:val="20"/>
              </w:rPr>
              <w:t>11.0%</w:t>
            </w:r>
          </w:p>
        </w:tc>
        <w:tc>
          <w:tcPr>
            <w:tcW w:w="453" w:type="dxa"/>
            <w:tcBorders>
              <w:left w:val="single" w:sz="4" w:space="0" w:color="0079C1"/>
            </w:tcBorders>
            <w:shd w:val="clear" w:color="auto" w:fill="auto"/>
            <w:vAlign w:val="center"/>
          </w:tcPr>
          <w:p w14:paraId="59AAF085" w14:textId="510491D6" w:rsidR="00AE1A4B" w:rsidRPr="00400687" w:rsidRDefault="00AE1A4B" w:rsidP="00AE1A4B">
            <w:pPr>
              <w:pStyle w:val="TableTextCentred"/>
              <w:rPr>
                <w:sz w:val="20"/>
                <w:szCs w:val="20"/>
              </w:rPr>
            </w:pPr>
            <w:r w:rsidRPr="00400687">
              <w:rPr>
                <w:sz w:val="20"/>
                <w:szCs w:val="20"/>
              </w:rPr>
              <w:t>7</w:t>
            </w:r>
          </w:p>
        </w:tc>
        <w:tc>
          <w:tcPr>
            <w:tcW w:w="964" w:type="dxa"/>
            <w:tcBorders>
              <w:right w:val="single" w:sz="4" w:space="0" w:color="0079C1"/>
            </w:tcBorders>
            <w:shd w:val="clear" w:color="auto" w:fill="auto"/>
            <w:vAlign w:val="center"/>
          </w:tcPr>
          <w:p w14:paraId="0DDA16E1" w14:textId="532F78D0" w:rsidR="00AE1A4B" w:rsidRPr="00400687" w:rsidRDefault="00AE1A4B" w:rsidP="00AE1A4B">
            <w:pPr>
              <w:pStyle w:val="TableTextCentred"/>
              <w:rPr>
                <w:sz w:val="20"/>
                <w:szCs w:val="20"/>
              </w:rPr>
            </w:pPr>
            <w:r w:rsidRPr="00400687">
              <w:rPr>
                <w:sz w:val="20"/>
                <w:szCs w:val="20"/>
              </w:rPr>
              <w:t>35.0%</w:t>
            </w:r>
          </w:p>
        </w:tc>
        <w:tc>
          <w:tcPr>
            <w:tcW w:w="567" w:type="dxa"/>
            <w:tcBorders>
              <w:left w:val="single" w:sz="4" w:space="0" w:color="0079C1"/>
            </w:tcBorders>
            <w:shd w:val="clear" w:color="auto" w:fill="auto"/>
            <w:vAlign w:val="center"/>
          </w:tcPr>
          <w:p w14:paraId="02AC732F" w14:textId="683C3880" w:rsidR="00AE1A4B" w:rsidRPr="00400687" w:rsidRDefault="00AE1A4B" w:rsidP="00AE1A4B">
            <w:pPr>
              <w:pStyle w:val="TableTextCentred"/>
              <w:rPr>
                <w:rStyle w:val="Bold"/>
                <w:b w:val="0"/>
                <w:sz w:val="20"/>
                <w:szCs w:val="20"/>
              </w:rPr>
            </w:pPr>
            <w:r w:rsidRPr="00400687">
              <w:rPr>
                <w:b/>
                <w:sz w:val="20"/>
                <w:szCs w:val="20"/>
              </w:rPr>
              <w:t>59</w:t>
            </w:r>
          </w:p>
        </w:tc>
        <w:tc>
          <w:tcPr>
            <w:tcW w:w="993" w:type="dxa"/>
            <w:shd w:val="clear" w:color="auto" w:fill="auto"/>
            <w:vAlign w:val="center"/>
          </w:tcPr>
          <w:p w14:paraId="2CCB8374" w14:textId="4DBA6230" w:rsidR="00AE1A4B" w:rsidRPr="00400687" w:rsidRDefault="00AE1A4B" w:rsidP="00AE1A4B">
            <w:pPr>
              <w:pStyle w:val="TableTextCentred"/>
              <w:rPr>
                <w:rStyle w:val="Bold"/>
                <w:b w:val="0"/>
                <w:sz w:val="20"/>
                <w:szCs w:val="20"/>
              </w:rPr>
            </w:pPr>
            <w:r w:rsidRPr="00400687">
              <w:rPr>
                <w:b/>
                <w:sz w:val="20"/>
                <w:szCs w:val="20"/>
              </w:rPr>
              <w:t>26.8%</w:t>
            </w:r>
          </w:p>
        </w:tc>
      </w:tr>
      <w:tr w:rsidR="00AE1A4B" w:rsidRPr="00400687" w14:paraId="681E6F53" w14:textId="77777777" w:rsidTr="00400687">
        <w:tc>
          <w:tcPr>
            <w:tcW w:w="1992" w:type="dxa"/>
            <w:tcBorders>
              <w:right w:val="single" w:sz="4" w:space="0" w:color="0079C1"/>
            </w:tcBorders>
            <w:vAlign w:val="center"/>
          </w:tcPr>
          <w:p w14:paraId="18B903A6" w14:textId="77777777" w:rsidR="00AE1A4B" w:rsidRPr="00400687" w:rsidRDefault="00AE1A4B" w:rsidP="00AE1A4B">
            <w:pPr>
              <w:pStyle w:val="TableText"/>
              <w:rPr>
                <w:sz w:val="20"/>
                <w:szCs w:val="20"/>
              </w:rPr>
            </w:pPr>
            <w:r w:rsidRPr="00400687">
              <w:rPr>
                <w:sz w:val="20"/>
                <w:szCs w:val="20"/>
              </w:rPr>
              <w:t>Seeking help on immigration processes</w:t>
            </w:r>
          </w:p>
        </w:tc>
        <w:tc>
          <w:tcPr>
            <w:tcW w:w="567" w:type="dxa"/>
            <w:tcBorders>
              <w:left w:val="single" w:sz="4" w:space="0" w:color="0079C1"/>
            </w:tcBorders>
            <w:shd w:val="clear" w:color="auto" w:fill="auto"/>
            <w:vAlign w:val="center"/>
          </w:tcPr>
          <w:p w14:paraId="0CCDB1FA" w14:textId="77777777" w:rsidR="00AE1A4B" w:rsidRPr="00400687" w:rsidRDefault="00AE1A4B" w:rsidP="00AE1A4B">
            <w:pPr>
              <w:pStyle w:val="TableTextCentred"/>
              <w:rPr>
                <w:sz w:val="20"/>
                <w:szCs w:val="20"/>
              </w:rPr>
            </w:pPr>
          </w:p>
        </w:tc>
        <w:tc>
          <w:tcPr>
            <w:tcW w:w="907" w:type="dxa"/>
            <w:tcBorders>
              <w:right w:val="single" w:sz="4" w:space="0" w:color="0079C1"/>
            </w:tcBorders>
            <w:shd w:val="clear" w:color="auto" w:fill="auto"/>
            <w:vAlign w:val="center"/>
          </w:tcPr>
          <w:p w14:paraId="4A317FEA" w14:textId="2B8CDCA3" w:rsidR="00AE1A4B" w:rsidRPr="00400687" w:rsidRDefault="00AE1A4B" w:rsidP="00AE1A4B">
            <w:pPr>
              <w:pStyle w:val="TableTextCentred"/>
              <w:rPr>
                <w:sz w:val="20"/>
                <w:szCs w:val="20"/>
              </w:rPr>
            </w:pPr>
            <w:r w:rsidRPr="00400687">
              <w:rPr>
                <w:sz w:val="20"/>
                <w:szCs w:val="20"/>
              </w:rPr>
              <w:t>0.0%</w:t>
            </w:r>
          </w:p>
        </w:tc>
        <w:tc>
          <w:tcPr>
            <w:tcW w:w="567" w:type="dxa"/>
            <w:tcBorders>
              <w:left w:val="single" w:sz="4" w:space="0" w:color="0079C1"/>
            </w:tcBorders>
            <w:shd w:val="clear" w:color="auto" w:fill="auto"/>
            <w:vAlign w:val="center"/>
          </w:tcPr>
          <w:p w14:paraId="68050168" w14:textId="5325D466" w:rsidR="00AE1A4B" w:rsidRPr="00400687" w:rsidRDefault="00AE1A4B" w:rsidP="00AE1A4B">
            <w:pPr>
              <w:pStyle w:val="TableTextCentred"/>
              <w:rPr>
                <w:sz w:val="20"/>
                <w:szCs w:val="20"/>
              </w:rPr>
            </w:pPr>
            <w:r w:rsidRPr="00400687">
              <w:rPr>
                <w:sz w:val="20"/>
                <w:szCs w:val="20"/>
              </w:rPr>
              <w:t>1</w:t>
            </w:r>
          </w:p>
        </w:tc>
        <w:tc>
          <w:tcPr>
            <w:tcW w:w="936" w:type="dxa"/>
            <w:tcBorders>
              <w:right w:val="single" w:sz="4" w:space="0" w:color="0079C1"/>
            </w:tcBorders>
            <w:shd w:val="clear" w:color="auto" w:fill="auto"/>
            <w:vAlign w:val="center"/>
          </w:tcPr>
          <w:p w14:paraId="2313E4F9" w14:textId="0614F510" w:rsidR="00AE1A4B" w:rsidRPr="00400687" w:rsidRDefault="00AE1A4B" w:rsidP="00AE1A4B">
            <w:pPr>
              <w:pStyle w:val="TableTextCentred"/>
              <w:rPr>
                <w:sz w:val="20"/>
                <w:szCs w:val="20"/>
              </w:rPr>
            </w:pPr>
            <w:r w:rsidRPr="00400687">
              <w:rPr>
                <w:sz w:val="20"/>
                <w:szCs w:val="20"/>
              </w:rPr>
              <w:t>5.3%</w:t>
            </w:r>
          </w:p>
        </w:tc>
        <w:tc>
          <w:tcPr>
            <w:tcW w:w="538" w:type="dxa"/>
            <w:tcBorders>
              <w:left w:val="single" w:sz="4" w:space="0" w:color="0079C1"/>
            </w:tcBorders>
            <w:shd w:val="clear" w:color="auto" w:fill="auto"/>
            <w:vAlign w:val="center"/>
          </w:tcPr>
          <w:p w14:paraId="4D43F767" w14:textId="3704218A" w:rsidR="00AE1A4B" w:rsidRPr="00400687" w:rsidRDefault="00AE1A4B" w:rsidP="00AE1A4B">
            <w:pPr>
              <w:pStyle w:val="TableTextCentred"/>
              <w:rPr>
                <w:sz w:val="20"/>
                <w:szCs w:val="20"/>
              </w:rPr>
            </w:pPr>
            <w:r w:rsidRPr="00400687">
              <w:rPr>
                <w:sz w:val="20"/>
                <w:szCs w:val="20"/>
              </w:rPr>
              <w:t>2</w:t>
            </w:r>
          </w:p>
        </w:tc>
        <w:tc>
          <w:tcPr>
            <w:tcW w:w="1021" w:type="dxa"/>
            <w:tcBorders>
              <w:right w:val="single" w:sz="4" w:space="0" w:color="0079C1"/>
            </w:tcBorders>
            <w:shd w:val="clear" w:color="auto" w:fill="auto"/>
            <w:vAlign w:val="center"/>
          </w:tcPr>
          <w:p w14:paraId="4377072E" w14:textId="4CCEA418" w:rsidR="00AE1A4B" w:rsidRPr="00400687" w:rsidRDefault="00AE1A4B" w:rsidP="00AE1A4B">
            <w:pPr>
              <w:pStyle w:val="TableTextCentred"/>
              <w:rPr>
                <w:sz w:val="20"/>
                <w:szCs w:val="20"/>
              </w:rPr>
            </w:pPr>
            <w:r w:rsidRPr="00400687">
              <w:rPr>
                <w:sz w:val="20"/>
                <w:szCs w:val="20"/>
              </w:rPr>
              <w:t>2.7%</w:t>
            </w:r>
          </w:p>
        </w:tc>
        <w:tc>
          <w:tcPr>
            <w:tcW w:w="453" w:type="dxa"/>
            <w:tcBorders>
              <w:left w:val="single" w:sz="4" w:space="0" w:color="0079C1"/>
            </w:tcBorders>
            <w:shd w:val="clear" w:color="auto" w:fill="auto"/>
            <w:vAlign w:val="center"/>
          </w:tcPr>
          <w:p w14:paraId="485B449B" w14:textId="1DBE8691" w:rsidR="00AE1A4B" w:rsidRPr="00400687" w:rsidRDefault="00AE1A4B" w:rsidP="00AE1A4B">
            <w:pPr>
              <w:pStyle w:val="TableTextCentred"/>
              <w:rPr>
                <w:sz w:val="20"/>
                <w:szCs w:val="20"/>
              </w:rPr>
            </w:pPr>
            <w:r w:rsidRPr="00400687">
              <w:rPr>
                <w:sz w:val="20"/>
                <w:szCs w:val="20"/>
              </w:rPr>
              <w:t>-</w:t>
            </w:r>
          </w:p>
        </w:tc>
        <w:tc>
          <w:tcPr>
            <w:tcW w:w="964" w:type="dxa"/>
            <w:tcBorders>
              <w:right w:val="single" w:sz="4" w:space="0" w:color="0079C1"/>
            </w:tcBorders>
            <w:shd w:val="clear" w:color="auto" w:fill="auto"/>
            <w:vAlign w:val="center"/>
          </w:tcPr>
          <w:p w14:paraId="7063C06D" w14:textId="1392B1A2" w:rsidR="00AE1A4B" w:rsidRPr="00400687" w:rsidRDefault="00AE1A4B" w:rsidP="00AE1A4B">
            <w:pPr>
              <w:pStyle w:val="TableTextCentred"/>
              <w:rPr>
                <w:sz w:val="20"/>
                <w:szCs w:val="20"/>
              </w:rPr>
            </w:pPr>
            <w:r w:rsidRPr="00400687">
              <w:rPr>
                <w:sz w:val="20"/>
                <w:szCs w:val="20"/>
              </w:rPr>
              <w:t>-</w:t>
            </w:r>
          </w:p>
        </w:tc>
        <w:tc>
          <w:tcPr>
            <w:tcW w:w="567" w:type="dxa"/>
            <w:tcBorders>
              <w:left w:val="single" w:sz="4" w:space="0" w:color="0079C1"/>
            </w:tcBorders>
            <w:shd w:val="clear" w:color="auto" w:fill="auto"/>
            <w:vAlign w:val="center"/>
          </w:tcPr>
          <w:p w14:paraId="3DDA18CC" w14:textId="2DF9F923" w:rsidR="00AE1A4B" w:rsidRPr="00400687" w:rsidRDefault="00AE1A4B" w:rsidP="00AE1A4B">
            <w:pPr>
              <w:pStyle w:val="TableTextCentred"/>
              <w:rPr>
                <w:rStyle w:val="Bold"/>
                <w:b w:val="0"/>
                <w:sz w:val="20"/>
                <w:szCs w:val="20"/>
              </w:rPr>
            </w:pPr>
            <w:r w:rsidRPr="00400687">
              <w:rPr>
                <w:b/>
                <w:sz w:val="20"/>
                <w:szCs w:val="20"/>
              </w:rPr>
              <w:t>3</w:t>
            </w:r>
          </w:p>
        </w:tc>
        <w:tc>
          <w:tcPr>
            <w:tcW w:w="993" w:type="dxa"/>
            <w:shd w:val="clear" w:color="auto" w:fill="auto"/>
            <w:vAlign w:val="center"/>
          </w:tcPr>
          <w:p w14:paraId="72F6260B" w14:textId="0CF6D6EB" w:rsidR="00AE1A4B" w:rsidRPr="00400687" w:rsidRDefault="00AE1A4B" w:rsidP="00AE1A4B">
            <w:pPr>
              <w:pStyle w:val="TableTextCentred"/>
              <w:rPr>
                <w:rStyle w:val="Bold"/>
                <w:b w:val="0"/>
                <w:sz w:val="20"/>
                <w:szCs w:val="20"/>
              </w:rPr>
            </w:pPr>
            <w:r w:rsidRPr="00400687">
              <w:rPr>
                <w:b/>
                <w:sz w:val="20"/>
                <w:szCs w:val="20"/>
              </w:rPr>
              <w:t>1.4%</w:t>
            </w:r>
          </w:p>
        </w:tc>
      </w:tr>
      <w:tr w:rsidR="00AE1A4B" w:rsidRPr="00400687" w14:paraId="5B0DBD2A" w14:textId="77777777" w:rsidTr="00400687">
        <w:tc>
          <w:tcPr>
            <w:tcW w:w="1992" w:type="dxa"/>
            <w:tcBorders>
              <w:right w:val="single" w:sz="4" w:space="0" w:color="0079C1"/>
            </w:tcBorders>
            <w:vAlign w:val="center"/>
          </w:tcPr>
          <w:p w14:paraId="72A1C29A" w14:textId="77777777" w:rsidR="00AE1A4B" w:rsidRPr="00400687" w:rsidRDefault="00AE1A4B" w:rsidP="00AE1A4B">
            <w:pPr>
              <w:pStyle w:val="TableText"/>
              <w:rPr>
                <w:sz w:val="20"/>
                <w:szCs w:val="20"/>
              </w:rPr>
            </w:pPr>
            <w:r w:rsidRPr="00400687">
              <w:rPr>
                <w:sz w:val="20"/>
                <w:szCs w:val="20"/>
              </w:rPr>
              <w:t>Seeking information on post-adoption services</w:t>
            </w:r>
          </w:p>
        </w:tc>
        <w:tc>
          <w:tcPr>
            <w:tcW w:w="567" w:type="dxa"/>
            <w:tcBorders>
              <w:left w:val="single" w:sz="4" w:space="0" w:color="0079C1"/>
            </w:tcBorders>
            <w:shd w:val="clear" w:color="auto" w:fill="auto"/>
            <w:vAlign w:val="center"/>
          </w:tcPr>
          <w:p w14:paraId="42B38D06" w14:textId="2B48A813" w:rsidR="00AE1A4B" w:rsidRPr="00400687" w:rsidRDefault="00AE1A4B" w:rsidP="00AE1A4B">
            <w:pPr>
              <w:pStyle w:val="TableTextCentred"/>
              <w:rPr>
                <w:sz w:val="20"/>
                <w:szCs w:val="20"/>
              </w:rPr>
            </w:pPr>
            <w:r w:rsidRPr="00400687">
              <w:rPr>
                <w:sz w:val="20"/>
                <w:szCs w:val="20"/>
              </w:rPr>
              <w:t>1</w:t>
            </w:r>
          </w:p>
        </w:tc>
        <w:tc>
          <w:tcPr>
            <w:tcW w:w="907" w:type="dxa"/>
            <w:tcBorders>
              <w:right w:val="single" w:sz="4" w:space="0" w:color="0079C1"/>
            </w:tcBorders>
            <w:shd w:val="clear" w:color="auto" w:fill="auto"/>
            <w:vAlign w:val="center"/>
          </w:tcPr>
          <w:p w14:paraId="7D35FB6A" w14:textId="3C00E0D6" w:rsidR="00AE1A4B" w:rsidRPr="00400687" w:rsidRDefault="00AE1A4B" w:rsidP="00AE1A4B">
            <w:pPr>
              <w:pStyle w:val="TableTextCentred"/>
              <w:rPr>
                <w:sz w:val="20"/>
                <w:szCs w:val="20"/>
              </w:rPr>
            </w:pPr>
            <w:r w:rsidRPr="00400687">
              <w:rPr>
                <w:sz w:val="20"/>
                <w:szCs w:val="20"/>
              </w:rPr>
              <w:t>0.9%</w:t>
            </w:r>
          </w:p>
        </w:tc>
        <w:tc>
          <w:tcPr>
            <w:tcW w:w="567" w:type="dxa"/>
            <w:tcBorders>
              <w:left w:val="single" w:sz="4" w:space="0" w:color="0079C1"/>
            </w:tcBorders>
            <w:shd w:val="clear" w:color="auto" w:fill="auto"/>
            <w:vAlign w:val="center"/>
          </w:tcPr>
          <w:p w14:paraId="1AFB025A" w14:textId="04194AD4" w:rsidR="00AE1A4B" w:rsidRPr="00400687" w:rsidRDefault="00AE1A4B" w:rsidP="00AE1A4B">
            <w:pPr>
              <w:pStyle w:val="TableTextCentred"/>
              <w:rPr>
                <w:sz w:val="20"/>
                <w:szCs w:val="20"/>
              </w:rPr>
            </w:pPr>
            <w:r w:rsidRPr="00400687">
              <w:rPr>
                <w:sz w:val="20"/>
                <w:szCs w:val="20"/>
              </w:rPr>
              <w:t>-</w:t>
            </w:r>
          </w:p>
        </w:tc>
        <w:tc>
          <w:tcPr>
            <w:tcW w:w="936" w:type="dxa"/>
            <w:tcBorders>
              <w:right w:val="single" w:sz="4" w:space="0" w:color="0079C1"/>
            </w:tcBorders>
            <w:shd w:val="clear" w:color="auto" w:fill="auto"/>
            <w:vAlign w:val="center"/>
          </w:tcPr>
          <w:p w14:paraId="2A95FF4D" w14:textId="2B1C01E6" w:rsidR="00AE1A4B" w:rsidRPr="00400687" w:rsidRDefault="00AE1A4B" w:rsidP="00AE1A4B">
            <w:pPr>
              <w:pStyle w:val="TableTextCentred"/>
              <w:rPr>
                <w:sz w:val="20"/>
                <w:szCs w:val="20"/>
              </w:rPr>
            </w:pPr>
            <w:r w:rsidRPr="00400687">
              <w:rPr>
                <w:sz w:val="20"/>
                <w:szCs w:val="20"/>
              </w:rPr>
              <w:t>-</w:t>
            </w:r>
          </w:p>
        </w:tc>
        <w:tc>
          <w:tcPr>
            <w:tcW w:w="538" w:type="dxa"/>
            <w:tcBorders>
              <w:left w:val="single" w:sz="4" w:space="0" w:color="0079C1"/>
            </w:tcBorders>
            <w:shd w:val="clear" w:color="auto" w:fill="auto"/>
            <w:vAlign w:val="center"/>
          </w:tcPr>
          <w:p w14:paraId="5770072F" w14:textId="43DE8374" w:rsidR="00AE1A4B" w:rsidRPr="00400687" w:rsidRDefault="00AE1A4B" w:rsidP="00AE1A4B">
            <w:pPr>
              <w:pStyle w:val="TableTextCentred"/>
              <w:rPr>
                <w:sz w:val="20"/>
                <w:szCs w:val="20"/>
              </w:rPr>
            </w:pPr>
            <w:r w:rsidRPr="00400687">
              <w:rPr>
                <w:sz w:val="20"/>
                <w:szCs w:val="20"/>
              </w:rPr>
              <w:t>7</w:t>
            </w:r>
          </w:p>
        </w:tc>
        <w:tc>
          <w:tcPr>
            <w:tcW w:w="1021" w:type="dxa"/>
            <w:tcBorders>
              <w:right w:val="single" w:sz="4" w:space="0" w:color="0079C1"/>
            </w:tcBorders>
            <w:shd w:val="clear" w:color="auto" w:fill="auto"/>
            <w:vAlign w:val="center"/>
          </w:tcPr>
          <w:p w14:paraId="7FD08A96" w14:textId="3E5EC43D" w:rsidR="00AE1A4B" w:rsidRPr="00400687" w:rsidRDefault="00AE1A4B" w:rsidP="00AE1A4B">
            <w:pPr>
              <w:pStyle w:val="TableTextCentred"/>
              <w:rPr>
                <w:sz w:val="20"/>
                <w:szCs w:val="20"/>
              </w:rPr>
            </w:pPr>
            <w:r w:rsidRPr="00400687">
              <w:rPr>
                <w:sz w:val="20"/>
                <w:szCs w:val="20"/>
              </w:rPr>
              <w:t>9.6%</w:t>
            </w:r>
          </w:p>
        </w:tc>
        <w:tc>
          <w:tcPr>
            <w:tcW w:w="453" w:type="dxa"/>
            <w:tcBorders>
              <w:left w:val="single" w:sz="4" w:space="0" w:color="0079C1"/>
            </w:tcBorders>
            <w:shd w:val="clear" w:color="auto" w:fill="auto"/>
            <w:vAlign w:val="center"/>
          </w:tcPr>
          <w:p w14:paraId="7E6187A3" w14:textId="5DA3E0A8" w:rsidR="00AE1A4B" w:rsidRPr="00400687" w:rsidRDefault="00AE1A4B" w:rsidP="00AE1A4B">
            <w:pPr>
              <w:pStyle w:val="TableTextCentred"/>
              <w:rPr>
                <w:sz w:val="20"/>
                <w:szCs w:val="20"/>
              </w:rPr>
            </w:pPr>
            <w:r w:rsidRPr="00400687">
              <w:rPr>
                <w:sz w:val="20"/>
                <w:szCs w:val="20"/>
              </w:rPr>
              <w:t>-</w:t>
            </w:r>
          </w:p>
        </w:tc>
        <w:tc>
          <w:tcPr>
            <w:tcW w:w="964" w:type="dxa"/>
            <w:tcBorders>
              <w:right w:val="single" w:sz="4" w:space="0" w:color="0079C1"/>
            </w:tcBorders>
            <w:shd w:val="clear" w:color="auto" w:fill="auto"/>
            <w:vAlign w:val="center"/>
          </w:tcPr>
          <w:p w14:paraId="7E9D6EAC" w14:textId="43039B9C" w:rsidR="00AE1A4B" w:rsidRPr="00400687" w:rsidRDefault="00AE1A4B" w:rsidP="00AE1A4B">
            <w:pPr>
              <w:pStyle w:val="TableTextCentred"/>
              <w:rPr>
                <w:sz w:val="20"/>
                <w:szCs w:val="20"/>
              </w:rPr>
            </w:pPr>
            <w:r w:rsidRPr="00400687">
              <w:rPr>
                <w:sz w:val="20"/>
                <w:szCs w:val="20"/>
              </w:rPr>
              <w:t>-</w:t>
            </w:r>
          </w:p>
        </w:tc>
        <w:tc>
          <w:tcPr>
            <w:tcW w:w="567" w:type="dxa"/>
            <w:tcBorders>
              <w:left w:val="single" w:sz="4" w:space="0" w:color="0079C1"/>
            </w:tcBorders>
            <w:shd w:val="clear" w:color="auto" w:fill="auto"/>
            <w:vAlign w:val="center"/>
          </w:tcPr>
          <w:p w14:paraId="78ABC36D" w14:textId="43883F81" w:rsidR="00AE1A4B" w:rsidRPr="00400687" w:rsidRDefault="00AE1A4B" w:rsidP="00AE1A4B">
            <w:pPr>
              <w:pStyle w:val="TableTextCentred"/>
              <w:rPr>
                <w:rStyle w:val="Bold"/>
                <w:b w:val="0"/>
                <w:sz w:val="20"/>
                <w:szCs w:val="20"/>
              </w:rPr>
            </w:pPr>
            <w:r w:rsidRPr="00400687">
              <w:rPr>
                <w:b/>
                <w:sz w:val="20"/>
                <w:szCs w:val="20"/>
              </w:rPr>
              <w:t>8</w:t>
            </w:r>
          </w:p>
        </w:tc>
        <w:tc>
          <w:tcPr>
            <w:tcW w:w="993" w:type="dxa"/>
            <w:shd w:val="clear" w:color="auto" w:fill="auto"/>
            <w:vAlign w:val="center"/>
          </w:tcPr>
          <w:p w14:paraId="7075320B" w14:textId="5A34778B" w:rsidR="00AE1A4B" w:rsidRPr="00400687" w:rsidRDefault="00AE1A4B" w:rsidP="00AE1A4B">
            <w:pPr>
              <w:pStyle w:val="TableTextCentred"/>
              <w:rPr>
                <w:rStyle w:val="Bold"/>
                <w:b w:val="0"/>
                <w:sz w:val="20"/>
                <w:szCs w:val="20"/>
              </w:rPr>
            </w:pPr>
            <w:r w:rsidRPr="00400687">
              <w:rPr>
                <w:b/>
                <w:sz w:val="20"/>
                <w:szCs w:val="20"/>
              </w:rPr>
              <w:t>3.6%</w:t>
            </w:r>
          </w:p>
        </w:tc>
      </w:tr>
      <w:tr w:rsidR="00AE1A4B" w:rsidRPr="00400687" w14:paraId="6A91A8A2" w14:textId="77777777" w:rsidTr="00400687">
        <w:tc>
          <w:tcPr>
            <w:tcW w:w="1992" w:type="dxa"/>
            <w:tcBorders>
              <w:right w:val="single" w:sz="4" w:space="0" w:color="0079C1"/>
            </w:tcBorders>
            <w:vAlign w:val="center"/>
          </w:tcPr>
          <w:p w14:paraId="391EE720" w14:textId="18597C13" w:rsidR="00AE1A4B" w:rsidRPr="00400687" w:rsidRDefault="00AE1A4B" w:rsidP="00AE1A4B">
            <w:pPr>
              <w:pStyle w:val="TableText"/>
              <w:rPr>
                <w:sz w:val="20"/>
                <w:szCs w:val="20"/>
              </w:rPr>
            </w:pPr>
            <w:r w:rsidRPr="00400687">
              <w:rPr>
                <w:sz w:val="20"/>
                <w:szCs w:val="20"/>
              </w:rPr>
              <w:t>Other</w:t>
            </w:r>
          </w:p>
        </w:tc>
        <w:tc>
          <w:tcPr>
            <w:tcW w:w="567" w:type="dxa"/>
            <w:tcBorders>
              <w:left w:val="single" w:sz="4" w:space="0" w:color="0079C1"/>
            </w:tcBorders>
            <w:shd w:val="clear" w:color="auto" w:fill="auto"/>
            <w:vAlign w:val="center"/>
          </w:tcPr>
          <w:p w14:paraId="71957B8E" w14:textId="516C74ED" w:rsidR="00AE1A4B" w:rsidRPr="00400687" w:rsidRDefault="00AE1A4B" w:rsidP="00AE1A4B">
            <w:pPr>
              <w:pStyle w:val="TableTextCentred"/>
              <w:rPr>
                <w:sz w:val="20"/>
                <w:szCs w:val="20"/>
              </w:rPr>
            </w:pPr>
            <w:r w:rsidRPr="00400687">
              <w:rPr>
                <w:sz w:val="20"/>
                <w:szCs w:val="20"/>
              </w:rPr>
              <w:t>3</w:t>
            </w:r>
          </w:p>
        </w:tc>
        <w:tc>
          <w:tcPr>
            <w:tcW w:w="907" w:type="dxa"/>
            <w:tcBorders>
              <w:right w:val="single" w:sz="4" w:space="0" w:color="0079C1"/>
            </w:tcBorders>
            <w:shd w:val="clear" w:color="auto" w:fill="auto"/>
            <w:vAlign w:val="center"/>
          </w:tcPr>
          <w:p w14:paraId="0EB1FAFD" w14:textId="36E29446" w:rsidR="00AE1A4B" w:rsidRPr="00400687" w:rsidRDefault="00AE1A4B" w:rsidP="00AE1A4B">
            <w:pPr>
              <w:pStyle w:val="TableTextCentred"/>
              <w:rPr>
                <w:sz w:val="20"/>
                <w:szCs w:val="20"/>
              </w:rPr>
            </w:pPr>
            <w:r w:rsidRPr="00400687">
              <w:rPr>
                <w:sz w:val="20"/>
                <w:szCs w:val="20"/>
              </w:rPr>
              <w:t>2.8%</w:t>
            </w:r>
          </w:p>
        </w:tc>
        <w:tc>
          <w:tcPr>
            <w:tcW w:w="567" w:type="dxa"/>
            <w:tcBorders>
              <w:left w:val="single" w:sz="4" w:space="0" w:color="0079C1"/>
            </w:tcBorders>
            <w:shd w:val="clear" w:color="auto" w:fill="auto"/>
            <w:vAlign w:val="center"/>
          </w:tcPr>
          <w:p w14:paraId="5CF66DE3" w14:textId="3113E0DD" w:rsidR="00AE1A4B" w:rsidRPr="00400687" w:rsidRDefault="00AE1A4B" w:rsidP="00AE1A4B">
            <w:pPr>
              <w:pStyle w:val="TableTextCentred"/>
              <w:rPr>
                <w:sz w:val="20"/>
                <w:szCs w:val="20"/>
              </w:rPr>
            </w:pPr>
            <w:r w:rsidRPr="00400687">
              <w:rPr>
                <w:sz w:val="20"/>
                <w:szCs w:val="20"/>
              </w:rPr>
              <w:t>1</w:t>
            </w:r>
          </w:p>
        </w:tc>
        <w:tc>
          <w:tcPr>
            <w:tcW w:w="936" w:type="dxa"/>
            <w:tcBorders>
              <w:right w:val="single" w:sz="4" w:space="0" w:color="0079C1"/>
            </w:tcBorders>
            <w:shd w:val="clear" w:color="auto" w:fill="auto"/>
            <w:vAlign w:val="center"/>
          </w:tcPr>
          <w:p w14:paraId="74E27D38" w14:textId="236A0B78" w:rsidR="00AE1A4B" w:rsidRPr="00400687" w:rsidRDefault="00AE1A4B" w:rsidP="00AE1A4B">
            <w:pPr>
              <w:pStyle w:val="TableTextCentred"/>
              <w:rPr>
                <w:sz w:val="20"/>
                <w:szCs w:val="20"/>
              </w:rPr>
            </w:pPr>
            <w:r w:rsidRPr="00400687">
              <w:rPr>
                <w:sz w:val="20"/>
                <w:szCs w:val="20"/>
              </w:rPr>
              <w:t>5.3%</w:t>
            </w:r>
          </w:p>
        </w:tc>
        <w:tc>
          <w:tcPr>
            <w:tcW w:w="538" w:type="dxa"/>
            <w:tcBorders>
              <w:left w:val="single" w:sz="4" w:space="0" w:color="0079C1"/>
            </w:tcBorders>
            <w:shd w:val="clear" w:color="auto" w:fill="auto"/>
            <w:vAlign w:val="center"/>
          </w:tcPr>
          <w:p w14:paraId="2FEAD2CB" w14:textId="554DC3A2" w:rsidR="00AE1A4B" w:rsidRPr="00400687" w:rsidRDefault="00AE1A4B" w:rsidP="00AE1A4B">
            <w:pPr>
              <w:pStyle w:val="TableTextCentred"/>
              <w:rPr>
                <w:sz w:val="20"/>
                <w:szCs w:val="20"/>
              </w:rPr>
            </w:pPr>
            <w:r w:rsidRPr="00400687">
              <w:rPr>
                <w:sz w:val="20"/>
                <w:szCs w:val="20"/>
              </w:rPr>
              <w:t>4</w:t>
            </w:r>
          </w:p>
        </w:tc>
        <w:tc>
          <w:tcPr>
            <w:tcW w:w="1021" w:type="dxa"/>
            <w:tcBorders>
              <w:right w:val="single" w:sz="4" w:space="0" w:color="0079C1"/>
            </w:tcBorders>
            <w:shd w:val="clear" w:color="auto" w:fill="auto"/>
            <w:vAlign w:val="center"/>
          </w:tcPr>
          <w:p w14:paraId="5EA57C8D" w14:textId="5E2EE785" w:rsidR="00AE1A4B" w:rsidRPr="00400687" w:rsidRDefault="00AE1A4B" w:rsidP="00AE1A4B">
            <w:pPr>
              <w:pStyle w:val="TableTextCentred"/>
              <w:rPr>
                <w:sz w:val="20"/>
                <w:szCs w:val="20"/>
              </w:rPr>
            </w:pPr>
            <w:r w:rsidRPr="00400687">
              <w:rPr>
                <w:sz w:val="20"/>
                <w:szCs w:val="20"/>
              </w:rPr>
              <w:t>5.5%</w:t>
            </w:r>
          </w:p>
        </w:tc>
        <w:tc>
          <w:tcPr>
            <w:tcW w:w="453" w:type="dxa"/>
            <w:tcBorders>
              <w:left w:val="single" w:sz="4" w:space="0" w:color="0079C1"/>
            </w:tcBorders>
            <w:shd w:val="clear" w:color="auto" w:fill="auto"/>
            <w:vAlign w:val="center"/>
          </w:tcPr>
          <w:p w14:paraId="0DA82004" w14:textId="3F6E9E30" w:rsidR="00AE1A4B" w:rsidRPr="00400687" w:rsidRDefault="00AE1A4B" w:rsidP="00AE1A4B">
            <w:pPr>
              <w:pStyle w:val="TableTextCentred"/>
              <w:rPr>
                <w:sz w:val="20"/>
                <w:szCs w:val="20"/>
              </w:rPr>
            </w:pPr>
            <w:r w:rsidRPr="00400687">
              <w:rPr>
                <w:sz w:val="20"/>
                <w:szCs w:val="20"/>
              </w:rPr>
              <w:t>-</w:t>
            </w:r>
          </w:p>
        </w:tc>
        <w:tc>
          <w:tcPr>
            <w:tcW w:w="964" w:type="dxa"/>
            <w:tcBorders>
              <w:right w:val="single" w:sz="4" w:space="0" w:color="0079C1"/>
            </w:tcBorders>
            <w:shd w:val="clear" w:color="auto" w:fill="auto"/>
            <w:vAlign w:val="center"/>
          </w:tcPr>
          <w:p w14:paraId="05E0F76C" w14:textId="444B106F" w:rsidR="00AE1A4B" w:rsidRPr="00400687" w:rsidRDefault="00AE1A4B" w:rsidP="00AE1A4B">
            <w:pPr>
              <w:pStyle w:val="TableTextCentred"/>
              <w:rPr>
                <w:sz w:val="20"/>
                <w:szCs w:val="20"/>
              </w:rPr>
            </w:pPr>
            <w:r w:rsidRPr="00400687">
              <w:rPr>
                <w:sz w:val="20"/>
                <w:szCs w:val="20"/>
              </w:rPr>
              <w:t>-</w:t>
            </w:r>
          </w:p>
        </w:tc>
        <w:tc>
          <w:tcPr>
            <w:tcW w:w="567" w:type="dxa"/>
            <w:tcBorders>
              <w:left w:val="single" w:sz="4" w:space="0" w:color="0079C1"/>
            </w:tcBorders>
            <w:shd w:val="clear" w:color="auto" w:fill="auto"/>
            <w:vAlign w:val="center"/>
          </w:tcPr>
          <w:p w14:paraId="2280A607" w14:textId="4C951416" w:rsidR="00AE1A4B" w:rsidRPr="00400687" w:rsidRDefault="00AE1A4B" w:rsidP="00AE1A4B">
            <w:pPr>
              <w:pStyle w:val="TableTextCentred"/>
              <w:rPr>
                <w:rStyle w:val="Bold"/>
                <w:b w:val="0"/>
                <w:sz w:val="20"/>
                <w:szCs w:val="20"/>
              </w:rPr>
            </w:pPr>
            <w:r w:rsidRPr="00400687">
              <w:rPr>
                <w:b/>
                <w:sz w:val="20"/>
                <w:szCs w:val="20"/>
              </w:rPr>
              <w:t>8</w:t>
            </w:r>
          </w:p>
        </w:tc>
        <w:tc>
          <w:tcPr>
            <w:tcW w:w="993" w:type="dxa"/>
            <w:shd w:val="clear" w:color="auto" w:fill="auto"/>
            <w:vAlign w:val="center"/>
          </w:tcPr>
          <w:p w14:paraId="3C6E326F" w14:textId="757DBDD6" w:rsidR="00AE1A4B" w:rsidRPr="00400687" w:rsidRDefault="00AE1A4B" w:rsidP="00AE1A4B">
            <w:pPr>
              <w:pStyle w:val="TableTextCentred"/>
              <w:rPr>
                <w:rStyle w:val="Bold"/>
                <w:b w:val="0"/>
                <w:sz w:val="20"/>
                <w:szCs w:val="20"/>
              </w:rPr>
            </w:pPr>
            <w:r w:rsidRPr="00400687">
              <w:rPr>
                <w:b/>
                <w:sz w:val="20"/>
                <w:szCs w:val="20"/>
              </w:rPr>
              <w:t>3.6%</w:t>
            </w:r>
          </w:p>
        </w:tc>
      </w:tr>
      <w:tr w:rsidR="00AE1A4B" w:rsidRPr="00400687" w14:paraId="3D1AD6D7" w14:textId="77777777" w:rsidTr="00400687">
        <w:tc>
          <w:tcPr>
            <w:tcW w:w="1992" w:type="dxa"/>
            <w:tcBorders>
              <w:bottom w:val="single" w:sz="4" w:space="0" w:color="0079C1" w:themeColor="text2"/>
              <w:right w:val="single" w:sz="4" w:space="0" w:color="0079C1"/>
            </w:tcBorders>
            <w:vAlign w:val="center"/>
          </w:tcPr>
          <w:p w14:paraId="70FF46A9" w14:textId="156E1BD3" w:rsidR="00AE1A4B" w:rsidRPr="00400687" w:rsidRDefault="00AE1A4B" w:rsidP="00AE1A4B">
            <w:pPr>
              <w:pStyle w:val="TableText"/>
              <w:rPr>
                <w:sz w:val="20"/>
                <w:szCs w:val="20"/>
              </w:rPr>
            </w:pPr>
            <w:r w:rsidRPr="00400687">
              <w:rPr>
                <w:sz w:val="20"/>
                <w:szCs w:val="20"/>
              </w:rPr>
              <w:t>Not stated/not applicable</w:t>
            </w:r>
          </w:p>
        </w:tc>
        <w:tc>
          <w:tcPr>
            <w:tcW w:w="567" w:type="dxa"/>
            <w:tcBorders>
              <w:left w:val="single" w:sz="4" w:space="0" w:color="0079C1"/>
              <w:bottom w:val="single" w:sz="4" w:space="0" w:color="0079C1" w:themeColor="text2"/>
            </w:tcBorders>
            <w:shd w:val="clear" w:color="auto" w:fill="auto"/>
            <w:vAlign w:val="center"/>
          </w:tcPr>
          <w:p w14:paraId="0C46AC3F" w14:textId="41D46D9C" w:rsidR="00AE1A4B" w:rsidRPr="00400687" w:rsidRDefault="00AE1A4B" w:rsidP="00AE1A4B">
            <w:pPr>
              <w:pStyle w:val="TableTextCentred"/>
              <w:rPr>
                <w:sz w:val="20"/>
                <w:szCs w:val="20"/>
              </w:rPr>
            </w:pPr>
            <w:r w:rsidRPr="00400687">
              <w:rPr>
                <w:sz w:val="20"/>
                <w:szCs w:val="20"/>
              </w:rPr>
              <w:t>27</w:t>
            </w:r>
          </w:p>
        </w:tc>
        <w:tc>
          <w:tcPr>
            <w:tcW w:w="907" w:type="dxa"/>
            <w:tcBorders>
              <w:bottom w:val="single" w:sz="4" w:space="0" w:color="0079C1" w:themeColor="text2"/>
              <w:right w:val="single" w:sz="4" w:space="0" w:color="0079C1"/>
            </w:tcBorders>
            <w:shd w:val="clear" w:color="auto" w:fill="auto"/>
            <w:vAlign w:val="center"/>
          </w:tcPr>
          <w:p w14:paraId="0E4AA11D" w14:textId="2FCED2C3" w:rsidR="00AE1A4B" w:rsidRPr="00400687" w:rsidRDefault="00AE1A4B" w:rsidP="00AE1A4B">
            <w:pPr>
              <w:pStyle w:val="TableTextCentred"/>
              <w:rPr>
                <w:sz w:val="20"/>
                <w:szCs w:val="20"/>
              </w:rPr>
            </w:pPr>
            <w:r w:rsidRPr="00400687">
              <w:rPr>
                <w:sz w:val="20"/>
                <w:szCs w:val="20"/>
              </w:rPr>
              <w:t>25.0%</w:t>
            </w:r>
          </w:p>
        </w:tc>
        <w:tc>
          <w:tcPr>
            <w:tcW w:w="567" w:type="dxa"/>
            <w:tcBorders>
              <w:left w:val="single" w:sz="4" w:space="0" w:color="0079C1"/>
              <w:bottom w:val="single" w:sz="4" w:space="0" w:color="0079C1" w:themeColor="text2"/>
            </w:tcBorders>
            <w:shd w:val="clear" w:color="auto" w:fill="auto"/>
            <w:vAlign w:val="center"/>
          </w:tcPr>
          <w:p w14:paraId="6013A029" w14:textId="1F23E0EC" w:rsidR="00AE1A4B" w:rsidRPr="00400687" w:rsidRDefault="00AE1A4B" w:rsidP="00AE1A4B">
            <w:pPr>
              <w:pStyle w:val="TableTextCentred"/>
              <w:rPr>
                <w:sz w:val="20"/>
                <w:szCs w:val="20"/>
              </w:rPr>
            </w:pPr>
            <w:r w:rsidRPr="00400687">
              <w:rPr>
                <w:sz w:val="20"/>
                <w:szCs w:val="20"/>
              </w:rPr>
              <w:t>11</w:t>
            </w:r>
          </w:p>
        </w:tc>
        <w:tc>
          <w:tcPr>
            <w:tcW w:w="936" w:type="dxa"/>
            <w:tcBorders>
              <w:bottom w:val="single" w:sz="4" w:space="0" w:color="0079C1" w:themeColor="text2"/>
              <w:right w:val="single" w:sz="4" w:space="0" w:color="0079C1"/>
            </w:tcBorders>
            <w:shd w:val="clear" w:color="auto" w:fill="auto"/>
            <w:vAlign w:val="center"/>
          </w:tcPr>
          <w:p w14:paraId="6BF441CC" w14:textId="2F6221DB" w:rsidR="00AE1A4B" w:rsidRPr="00400687" w:rsidRDefault="00AE1A4B" w:rsidP="00AE1A4B">
            <w:pPr>
              <w:pStyle w:val="TableTextCentred"/>
              <w:rPr>
                <w:sz w:val="20"/>
                <w:szCs w:val="20"/>
              </w:rPr>
            </w:pPr>
            <w:r w:rsidRPr="00400687">
              <w:rPr>
                <w:sz w:val="20"/>
                <w:szCs w:val="20"/>
              </w:rPr>
              <w:t>57.9%</w:t>
            </w:r>
          </w:p>
        </w:tc>
        <w:tc>
          <w:tcPr>
            <w:tcW w:w="538" w:type="dxa"/>
            <w:tcBorders>
              <w:left w:val="single" w:sz="4" w:space="0" w:color="0079C1"/>
              <w:bottom w:val="single" w:sz="4" w:space="0" w:color="0079C1" w:themeColor="text2"/>
            </w:tcBorders>
            <w:shd w:val="clear" w:color="auto" w:fill="auto"/>
            <w:vAlign w:val="center"/>
          </w:tcPr>
          <w:p w14:paraId="148D2772" w14:textId="079521B2" w:rsidR="00AE1A4B" w:rsidRPr="00400687" w:rsidRDefault="00AE1A4B" w:rsidP="00AE1A4B">
            <w:pPr>
              <w:pStyle w:val="TableTextCentred"/>
              <w:rPr>
                <w:sz w:val="20"/>
                <w:szCs w:val="20"/>
              </w:rPr>
            </w:pPr>
            <w:r w:rsidRPr="00400687">
              <w:rPr>
                <w:sz w:val="20"/>
                <w:szCs w:val="20"/>
              </w:rPr>
              <w:t>47</w:t>
            </w:r>
          </w:p>
        </w:tc>
        <w:tc>
          <w:tcPr>
            <w:tcW w:w="1021" w:type="dxa"/>
            <w:tcBorders>
              <w:bottom w:val="single" w:sz="4" w:space="0" w:color="0079C1" w:themeColor="text2"/>
              <w:right w:val="single" w:sz="4" w:space="0" w:color="0079C1"/>
            </w:tcBorders>
            <w:shd w:val="clear" w:color="auto" w:fill="auto"/>
            <w:vAlign w:val="center"/>
          </w:tcPr>
          <w:p w14:paraId="062F0F51" w14:textId="7DD1B736" w:rsidR="00AE1A4B" w:rsidRPr="00400687" w:rsidRDefault="00AE1A4B" w:rsidP="00AE1A4B">
            <w:pPr>
              <w:pStyle w:val="TableTextCentred"/>
              <w:rPr>
                <w:sz w:val="20"/>
                <w:szCs w:val="20"/>
              </w:rPr>
            </w:pPr>
            <w:r w:rsidRPr="00400687">
              <w:rPr>
                <w:sz w:val="20"/>
                <w:szCs w:val="20"/>
              </w:rPr>
              <w:t>64.4%</w:t>
            </w:r>
          </w:p>
        </w:tc>
        <w:tc>
          <w:tcPr>
            <w:tcW w:w="453" w:type="dxa"/>
            <w:tcBorders>
              <w:left w:val="single" w:sz="4" w:space="0" w:color="0079C1"/>
              <w:bottom w:val="single" w:sz="4" w:space="0" w:color="0079C1" w:themeColor="text2"/>
            </w:tcBorders>
            <w:shd w:val="clear" w:color="auto" w:fill="auto"/>
            <w:vAlign w:val="center"/>
          </w:tcPr>
          <w:p w14:paraId="566B542A" w14:textId="716E8EEC" w:rsidR="00AE1A4B" w:rsidRPr="00400687" w:rsidRDefault="00AE1A4B" w:rsidP="00AE1A4B">
            <w:pPr>
              <w:pStyle w:val="TableTextCentred"/>
              <w:rPr>
                <w:sz w:val="20"/>
                <w:szCs w:val="20"/>
              </w:rPr>
            </w:pPr>
            <w:r w:rsidRPr="00400687">
              <w:rPr>
                <w:sz w:val="20"/>
                <w:szCs w:val="20"/>
              </w:rPr>
              <w:t>5</w:t>
            </w:r>
          </w:p>
        </w:tc>
        <w:tc>
          <w:tcPr>
            <w:tcW w:w="964" w:type="dxa"/>
            <w:tcBorders>
              <w:bottom w:val="single" w:sz="4" w:space="0" w:color="0079C1" w:themeColor="text2"/>
              <w:right w:val="single" w:sz="4" w:space="0" w:color="0079C1"/>
            </w:tcBorders>
            <w:shd w:val="clear" w:color="auto" w:fill="auto"/>
            <w:vAlign w:val="center"/>
          </w:tcPr>
          <w:p w14:paraId="6E88C2DF" w14:textId="396DDAC3" w:rsidR="00AE1A4B" w:rsidRPr="00400687" w:rsidRDefault="00AE1A4B" w:rsidP="00AE1A4B">
            <w:pPr>
              <w:pStyle w:val="TableTextCentred"/>
              <w:rPr>
                <w:sz w:val="20"/>
                <w:szCs w:val="20"/>
              </w:rPr>
            </w:pPr>
            <w:r w:rsidRPr="00400687">
              <w:rPr>
                <w:sz w:val="20"/>
                <w:szCs w:val="20"/>
              </w:rPr>
              <w:t>25.0%</w:t>
            </w:r>
          </w:p>
        </w:tc>
        <w:tc>
          <w:tcPr>
            <w:tcW w:w="567" w:type="dxa"/>
            <w:tcBorders>
              <w:left w:val="single" w:sz="4" w:space="0" w:color="0079C1"/>
              <w:bottom w:val="single" w:sz="4" w:space="0" w:color="0079C1" w:themeColor="text2"/>
            </w:tcBorders>
            <w:shd w:val="clear" w:color="auto" w:fill="auto"/>
            <w:vAlign w:val="center"/>
          </w:tcPr>
          <w:p w14:paraId="0FA8C945" w14:textId="466E3B63" w:rsidR="00AE1A4B" w:rsidRPr="00400687" w:rsidRDefault="00AE1A4B" w:rsidP="00AE1A4B">
            <w:pPr>
              <w:pStyle w:val="TableTextCentred"/>
              <w:rPr>
                <w:rStyle w:val="Bold"/>
                <w:b w:val="0"/>
                <w:sz w:val="20"/>
                <w:szCs w:val="20"/>
              </w:rPr>
            </w:pPr>
            <w:r w:rsidRPr="00400687">
              <w:rPr>
                <w:b/>
                <w:sz w:val="20"/>
                <w:szCs w:val="20"/>
              </w:rPr>
              <w:t>90</w:t>
            </w:r>
          </w:p>
        </w:tc>
        <w:tc>
          <w:tcPr>
            <w:tcW w:w="993" w:type="dxa"/>
            <w:tcBorders>
              <w:bottom w:val="single" w:sz="4" w:space="0" w:color="0079C1" w:themeColor="text2"/>
            </w:tcBorders>
            <w:shd w:val="clear" w:color="auto" w:fill="auto"/>
            <w:vAlign w:val="center"/>
          </w:tcPr>
          <w:p w14:paraId="593E10E4" w14:textId="0DE928EC" w:rsidR="00AE1A4B" w:rsidRPr="00400687" w:rsidRDefault="00AE1A4B" w:rsidP="00AE1A4B">
            <w:pPr>
              <w:pStyle w:val="TableTextCentred"/>
              <w:rPr>
                <w:rStyle w:val="Bold"/>
                <w:b w:val="0"/>
                <w:sz w:val="20"/>
                <w:szCs w:val="20"/>
              </w:rPr>
            </w:pPr>
            <w:r w:rsidRPr="00400687">
              <w:rPr>
                <w:b/>
                <w:sz w:val="20"/>
                <w:szCs w:val="20"/>
              </w:rPr>
              <w:t>40.9%</w:t>
            </w:r>
          </w:p>
        </w:tc>
      </w:tr>
      <w:tr w:rsidR="00400687" w:rsidRPr="00400687" w14:paraId="359DB85C" w14:textId="77777777" w:rsidTr="00400687">
        <w:tc>
          <w:tcPr>
            <w:tcW w:w="1992"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49B0D20B" w14:textId="3BF99E00" w:rsidR="00F22A70" w:rsidRPr="00400687" w:rsidRDefault="00F22A70" w:rsidP="00B10F64">
            <w:pPr>
              <w:pStyle w:val="TableText"/>
              <w:rPr>
                <w:rStyle w:val="Bold"/>
                <w:sz w:val="20"/>
                <w:szCs w:val="20"/>
              </w:rPr>
            </w:pPr>
            <w:r w:rsidRPr="00400687">
              <w:rPr>
                <w:rStyle w:val="Bold"/>
                <w:sz w:val="20"/>
                <w:szCs w:val="20"/>
              </w:rPr>
              <w:t>Total</w:t>
            </w:r>
          </w:p>
        </w:tc>
        <w:tc>
          <w:tcPr>
            <w:tcW w:w="567"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1F76C4F8" w14:textId="77777777" w:rsidR="00F22A70" w:rsidRPr="00400687" w:rsidRDefault="00F22A70" w:rsidP="0007761D">
            <w:pPr>
              <w:pStyle w:val="TableTextCentred"/>
              <w:rPr>
                <w:rStyle w:val="Bold"/>
                <w:sz w:val="20"/>
                <w:szCs w:val="20"/>
              </w:rPr>
            </w:pPr>
            <w:r w:rsidRPr="00400687">
              <w:rPr>
                <w:rStyle w:val="Bold"/>
                <w:sz w:val="20"/>
                <w:szCs w:val="20"/>
              </w:rPr>
              <w:t>108</w:t>
            </w:r>
          </w:p>
        </w:tc>
        <w:tc>
          <w:tcPr>
            <w:tcW w:w="907"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2A6F10D2" w14:textId="77777777" w:rsidR="00F22A70" w:rsidRPr="00400687" w:rsidRDefault="00F22A70" w:rsidP="0007761D">
            <w:pPr>
              <w:pStyle w:val="TableTextCentred"/>
              <w:rPr>
                <w:rStyle w:val="Bold"/>
                <w:sz w:val="20"/>
                <w:szCs w:val="20"/>
              </w:rPr>
            </w:pPr>
            <w:r w:rsidRPr="00400687">
              <w:rPr>
                <w:rStyle w:val="Bold"/>
                <w:sz w:val="20"/>
                <w:szCs w:val="20"/>
              </w:rPr>
              <w:t>100.0%</w:t>
            </w:r>
          </w:p>
        </w:tc>
        <w:tc>
          <w:tcPr>
            <w:tcW w:w="567"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01E52102" w14:textId="77777777" w:rsidR="00F22A70" w:rsidRPr="00400687" w:rsidRDefault="00F22A70" w:rsidP="0007761D">
            <w:pPr>
              <w:pStyle w:val="TableTextCentred"/>
              <w:rPr>
                <w:rStyle w:val="Bold"/>
                <w:sz w:val="20"/>
                <w:szCs w:val="20"/>
              </w:rPr>
            </w:pPr>
            <w:r w:rsidRPr="00400687">
              <w:rPr>
                <w:rStyle w:val="Bold"/>
                <w:sz w:val="20"/>
                <w:szCs w:val="20"/>
              </w:rPr>
              <w:t>19</w:t>
            </w:r>
          </w:p>
        </w:tc>
        <w:tc>
          <w:tcPr>
            <w:tcW w:w="936"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4E2FFF99" w14:textId="77777777" w:rsidR="00F22A70" w:rsidRPr="00400687" w:rsidRDefault="00F22A70" w:rsidP="0007761D">
            <w:pPr>
              <w:pStyle w:val="TableTextCentred"/>
              <w:rPr>
                <w:rStyle w:val="Bold"/>
                <w:sz w:val="20"/>
                <w:szCs w:val="20"/>
              </w:rPr>
            </w:pPr>
            <w:r w:rsidRPr="00400687">
              <w:rPr>
                <w:rStyle w:val="Bold"/>
                <w:sz w:val="20"/>
                <w:szCs w:val="20"/>
              </w:rPr>
              <w:t>100.0%</w:t>
            </w:r>
          </w:p>
        </w:tc>
        <w:tc>
          <w:tcPr>
            <w:tcW w:w="538"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226D816E" w14:textId="77777777" w:rsidR="00F22A70" w:rsidRPr="00400687" w:rsidRDefault="00F22A70" w:rsidP="0007761D">
            <w:pPr>
              <w:pStyle w:val="TableTextCentred"/>
              <w:rPr>
                <w:rStyle w:val="Bold"/>
                <w:sz w:val="20"/>
                <w:szCs w:val="20"/>
              </w:rPr>
            </w:pPr>
            <w:r w:rsidRPr="00400687">
              <w:rPr>
                <w:rStyle w:val="Bold"/>
                <w:sz w:val="20"/>
                <w:szCs w:val="20"/>
              </w:rPr>
              <w:t>73</w:t>
            </w:r>
          </w:p>
        </w:tc>
        <w:tc>
          <w:tcPr>
            <w:tcW w:w="1021"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5E0B1234" w14:textId="77777777" w:rsidR="00F22A70" w:rsidRPr="00400687" w:rsidRDefault="00F22A70" w:rsidP="0007761D">
            <w:pPr>
              <w:pStyle w:val="TableTextCentred"/>
              <w:rPr>
                <w:rStyle w:val="Bold"/>
                <w:sz w:val="20"/>
                <w:szCs w:val="20"/>
              </w:rPr>
            </w:pPr>
            <w:r w:rsidRPr="00400687">
              <w:rPr>
                <w:rStyle w:val="Bold"/>
                <w:sz w:val="20"/>
                <w:szCs w:val="20"/>
              </w:rPr>
              <w:t>100.0%</w:t>
            </w:r>
          </w:p>
        </w:tc>
        <w:tc>
          <w:tcPr>
            <w:tcW w:w="453"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69C64C66" w14:textId="77777777" w:rsidR="00F22A70" w:rsidRPr="00400687" w:rsidRDefault="00F22A70" w:rsidP="0007761D">
            <w:pPr>
              <w:pStyle w:val="TableTextCentred"/>
              <w:rPr>
                <w:rStyle w:val="Bold"/>
                <w:sz w:val="20"/>
                <w:szCs w:val="20"/>
              </w:rPr>
            </w:pPr>
            <w:r w:rsidRPr="00400687">
              <w:rPr>
                <w:rStyle w:val="Bold"/>
                <w:sz w:val="20"/>
                <w:szCs w:val="20"/>
              </w:rPr>
              <w:t>20</w:t>
            </w:r>
          </w:p>
        </w:tc>
        <w:tc>
          <w:tcPr>
            <w:tcW w:w="964" w:type="dxa"/>
            <w:tcBorders>
              <w:top w:val="single" w:sz="4" w:space="0" w:color="0079C1" w:themeColor="text2"/>
              <w:bottom w:val="single" w:sz="4" w:space="0" w:color="0079C1" w:themeColor="text2"/>
              <w:right w:val="single" w:sz="4" w:space="0" w:color="0079C1"/>
            </w:tcBorders>
            <w:shd w:val="clear" w:color="auto" w:fill="E2F4FF" w:themeFill="accent1" w:themeFillTint="33"/>
            <w:vAlign w:val="center"/>
          </w:tcPr>
          <w:p w14:paraId="776DDA64" w14:textId="77777777" w:rsidR="00F22A70" w:rsidRPr="00400687" w:rsidRDefault="00F22A70" w:rsidP="0007761D">
            <w:pPr>
              <w:pStyle w:val="TableTextCentred"/>
              <w:rPr>
                <w:rStyle w:val="Bold"/>
                <w:sz w:val="20"/>
                <w:szCs w:val="20"/>
              </w:rPr>
            </w:pPr>
            <w:r w:rsidRPr="00400687">
              <w:rPr>
                <w:rStyle w:val="Bold"/>
                <w:sz w:val="20"/>
                <w:szCs w:val="20"/>
              </w:rPr>
              <w:t>100.0%</w:t>
            </w:r>
          </w:p>
        </w:tc>
        <w:tc>
          <w:tcPr>
            <w:tcW w:w="567" w:type="dxa"/>
            <w:tcBorders>
              <w:top w:val="single" w:sz="4" w:space="0" w:color="0079C1" w:themeColor="text2"/>
              <w:left w:val="single" w:sz="4" w:space="0" w:color="0079C1"/>
              <w:bottom w:val="single" w:sz="4" w:space="0" w:color="0079C1" w:themeColor="text2"/>
            </w:tcBorders>
            <w:shd w:val="clear" w:color="auto" w:fill="E2F4FF" w:themeFill="accent1" w:themeFillTint="33"/>
            <w:vAlign w:val="center"/>
          </w:tcPr>
          <w:p w14:paraId="4C601966" w14:textId="77777777" w:rsidR="00F22A70" w:rsidRPr="00400687" w:rsidRDefault="00F22A70" w:rsidP="0007761D">
            <w:pPr>
              <w:pStyle w:val="TableTextCentred"/>
              <w:rPr>
                <w:rStyle w:val="Bold"/>
                <w:sz w:val="20"/>
                <w:szCs w:val="20"/>
              </w:rPr>
            </w:pPr>
            <w:r w:rsidRPr="00400687">
              <w:rPr>
                <w:rStyle w:val="Bold"/>
                <w:sz w:val="20"/>
                <w:szCs w:val="20"/>
              </w:rPr>
              <w:t>220</w:t>
            </w:r>
          </w:p>
        </w:tc>
        <w:tc>
          <w:tcPr>
            <w:tcW w:w="993" w:type="dxa"/>
            <w:tcBorders>
              <w:top w:val="single" w:sz="4" w:space="0" w:color="0079C1" w:themeColor="text2"/>
              <w:bottom w:val="single" w:sz="4" w:space="0" w:color="0079C1" w:themeColor="text2"/>
            </w:tcBorders>
            <w:shd w:val="clear" w:color="auto" w:fill="E2F4FF" w:themeFill="accent1" w:themeFillTint="33"/>
            <w:vAlign w:val="center"/>
          </w:tcPr>
          <w:p w14:paraId="1DBB4DA0" w14:textId="77777777" w:rsidR="00F22A70" w:rsidRPr="00400687" w:rsidRDefault="00F22A70" w:rsidP="0007761D">
            <w:pPr>
              <w:pStyle w:val="TableTextCentred"/>
              <w:rPr>
                <w:rStyle w:val="Bold"/>
                <w:sz w:val="20"/>
                <w:szCs w:val="20"/>
              </w:rPr>
            </w:pPr>
            <w:r w:rsidRPr="00400687">
              <w:rPr>
                <w:rStyle w:val="Bold"/>
                <w:sz w:val="20"/>
                <w:szCs w:val="20"/>
              </w:rPr>
              <w:t>100.0%</w:t>
            </w:r>
          </w:p>
        </w:tc>
      </w:tr>
    </w:tbl>
    <w:bookmarkEnd w:id="158"/>
    <w:p w14:paraId="4E71687D" w14:textId="157AB074" w:rsidR="00F22A70" w:rsidRDefault="00F22A70" w:rsidP="00F22A70">
      <w:pPr>
        <w:pStyle w:val="Paragraph"/>
      </w:pPr>
      <w:r>
        <w:lastRenderedPageBreak/>
        <w:t xml:space="preserve">All survey respondents and non- service users who participated in in-depth follow-up interviews were asked their opinions on the main barriers to people accessing the IAA service.  Not knowing the service is available or what the service does ranked as the most commonly cited barrier.  </w:t>
      </w:r>
    </w:p>
    <w:p w14:paraId="65E4B92F" w14:textId="11F4AFD9" w:rsidR="00C471B3" w:rsidRDefault="00F22A70" w:rsidP="00F22A70">
      <w:pPr>
        <w:pStyle w:val="Paragraph"/>
      </w:pPr>
      <w:r>
        <w:t xml:space="preserve">Although parent support and advocacy groups were not a primary source of information about IAA for survey respondents, their role in promoting IAA to their membership may be compromised by their understanding of the IAA’s target clientele.  Two of the </w:t>
      </w:r>
      <w:r w:rsidR="0081080E">
        <w:t xml:space="preserve">four </w:t>
      </w:r>
      <w:r>
        <w:t>groups consult</w:t>
      </w:r>
      <w:r w:rsidR="0081080E">
        <w:t xml:space="preserve">ed </w:t>
      </w:r>
      <w:r>
        <w:t xml:space="preserve">were of the opinion that the IAA service was exclusively for those considering ICA while the other three groups were aware that the IAA has expanded its scope to also support parents of adopted children and adoptees.  </w:t>
      </w:r>
    </w:p>
    <w:tbl>
      <w:tblPr>
        <w:tblStyle w:val="TableGrid"/>
        <w:tblW w:w="0" w:type="auto"/>
        <w:tblInd w:w="108" w:type="dxa"/>
        <w:tblBorders>
          <w:top w:val="single" w:sz="4" w:space="0" w:color="0079C1" w:themeColor="text2"/>
          <w:left w:val="single" w:sz="4" w:space="0" w:color="0079C1" w:themeColor="text2"/>
          <w:bottom w:val="single" w:sz="4" w:space="0" w:color="0079C1" w:themeColor="text2"/>
          <w:right w:val="single" w:sz="4" w:space="0" w:color="0079C1" w:themeColor="text2"/>
          <w:insideH w:val="none" w:sz="0" w:space="0" w:color="auto"/>
          <w:insideV w:val="none" w:sz="0" w:space="0" w:color="auto"/>
        </w:tblBorders>
        <w:shd w:val="clear" w:color="auto" w:fill="E2F4FF" w:themeFill="accent1" w:themeFillTint="33"/>
        <w:tblLook w:val="04A0" w:firstRow="1" w:lastRow="0" w:firstColumn="1" w:lastColumn="0" w:noHBand="0" w:noVBand="1"/>
        <w:tblDescription w:val="Key findings:&#10;• Underutilisation of the 1800 information line was evident with 75.5% (166/220) of survey respondents indicating they had not used the 1800 information line&#10;• The two main reasons cited by non-users for not having used the IAA 1800 information line were that respondents did not know about the service (63/166, 38.0%) or that they had contacted their STCA directly (47/166, 28.31%)&#10;• The two main reasons for not having used the IAA website were that the service did not exist when the respondent had started the process (35/81, 43.2%) or that respondents did not know about the service (32/81, 39.5%).&#10;"/>
      </w:tblPr>
      <w:tblGrid>
        <w:gridCol w:w="9237"/>
      </w:tblGrid>
      <w:tr w:rsidR="00E405EE" w:rsidRPr="00B43607" w14:paraId="51B5B2C5" w14:textId="77777777" w:rsidTr="004E43C8">
        <w:trPr>
          <w:tblHeader/>
        </w:trPr>
        <w:tc>
          <w:tcPr>
            <w:tcW w:w="9349" w:type="dxa"/>
            <w:shd w:val="clear" w:color="auto" w:fill="E2F4FF" w:themeFill="accent1" w:themeFillTint="33"/>
          </w:tcPr>
          <w:p w14:paraId="1799202C" w14:textId="77777777" w:rsidR="00E405EE" w:rsidRPr="008A1452" w:rsidRDefault="00E405EE" w:rsidP="00192B69">
            <w:pPr>
              <w:pStyle w:val="Heading4"/>
              <w:outlineLvl w:val="3"/>
              <w:rPr>
                <w:color w:val="auto"/>
                <w:lang w:val="en-AU"/>
              </w:rPr>
            </w:pPr>
            <w:bookmarkStart w:id="159" w:name="_Hlk489974179"/>
            <w:r w:rsidRPr="008A1452">
              <w:rPr>
                <w:color w:val="auto"/>
                <w:lang w:val="en-AU"/>
              </w:rPr>
              <w:t>Key findings:</w:t>
            </w:r>
          </w:p>
          <w:p w14:paraId="3E24ACD0" w14:textId="77777777" w:rsidR="00F82B2C" w:rsidRPr="00F82B2C" w:rsidRDefault="00F82B2C" w:rsidP="00F82B2C">
            <w:pPr>
              <w:pStyle w:val="Bullet1"/>
              <w:rPr>
                <w:lang w:val="en-AU"/>
              </w:rPr>
            </w:pPr>
            <w:r w:rsidRPr="00F82B2C">
              <w:rPr>
                <w:lang w:val="en-AU"/>
              </w:rPr>
              <w:t>Underutilisation of the 1800 information line was evident with 75.5% (166/220) of survey respondents indicating they had not used the 1800 information line</w:t>
            </w:r>
          </w:p>
          <w:p w14:paraId="7F0BBADE" w14:textId="5A5FAC82" w:rsidR="00FF0F38" w:rsidRPr="00FF0F38" w:rsidRDefault="00FF0F38" w:rsidP="00FF0F38">
            <w:pPr>
              <w:pStyle w:val="Bullet1"/>
              <w:rPr>
                <w:lang w:val="en-AU"/>
              </w:rPr>
            </w:pPr>
            <w:r w:rsidRPr="00FF0F38">
              <w:rPr>
                <w:lang w:val="en-AU"/>
              </w:rPr>
              <w:t>The two main reasons cited by non-users for not having used the IAA 1800 information line were that respondents did not</w:t>
            </w:r>
            <w:r>
              <w:rPr>
                <w:lang w:val="en-AU"/>
              </w:rPr>
              <w:t xml:space="preserve"> know about the service (63/166</w:t>
            </w:r>
            <w:r w:rsidRPr="00FF0F38">
              <w:rPr>
                <w:lang w:val="en-AU"/>
              </w:rPr>
              <w:t>, 38.0%) or that they had contacted their STCA directly (47/166, 28.31%)</w:t>
            </w:r>
          </w:p>
          <w:p w14:paraId="113FA550" w14:textId="7F7CC981" w:rsidR="00E405EE" w:rsidRPr="00B43607" w:rsidRDefault="00FF0F38" w:rsidP="00FF0F38">
            <w:pPr>
              <w:pStyle w:val="Bullet1"/>
              <w:rPr>
                <w:lang w:val="en-AU"/>
              </w:rPr>
            </w:pPr>
            <w:r w:rsidRPr="00FF0F38">
              <w:rPr>
                <w:lang w:val="en-AU"/>
              </w:rPr>
              <w:t>The two main reasons for not having used the IAA website were that the service did not exist when the respondent had started the process (35/81, 43.2</w:t>
            </w:r>
            <w:r w:rsidR="007A6DB7" w:rsidRPr="00FF0F38">
              <w:rPr>
                <w:lang w:val="en-AU"/>
              </w:rPr>
              <w:t>%) or</w:t>
            </w:r>
            <w:r w:rsidRPr="00FF0F38">
              <w:rPr>
                <w:lang w:val="en-AU"/>
              </w:rPr>
              <w:t xml:space="preserve"> that respondents did not know about the service (32/81, 39.5%)</w:t>
            </w:r>
            <w:bookmarkEnd w:id="159"/>
            <w:r>
              <w:rPr>
                <w:lang w:val="en-AU"/>
              </w:rPr>
              <w:t>.</w:t>
            </w:r>
          </w:p>
        </w:tc>
      </w:tr>
    </w:tbl>
    <w:p w14:paraId="12A1259B" w14:textId="77777777" w:rsidR="00C471B3" w:rsidRDefault="00C471B3" w:rsidP="00103362">
      <w:pPr>
        <w:pStyle w:val="Heading4"/>
      </w:pPr>
      <w:r w:rsidRPr="006D440D">
        <w:t>Comprehensiveness of the information provided</w:t>
      </w:r>
    </w:p>
    <w:p w14:paraId="4B2C6381" w14:textId="486AB0E8" w:rsidR="00C471B3" w:rsidRDefault="00C471B3" w:rsidP="003B07DF">
      <w:pPr>
        <w:pStyle w:val="Paragraph"/>
      </w:pPr>
      <w:r>
        <w:t>Consultations with</w:t>
      </w:r>
      <w:r w:rsidRPr="00AC0E19">
        <w:rPr>
          <w:rStyle w:val="Strong"/>
        </w:rPr>
        <w:t xml:space="preserve"> internal (DSS) and externa</w:t>
      </w:r>
      <w:r w:rsidR="00F26A65">
        <w:rPr>
          <w:rStyle w:val="Strong"/>
        </w:rPr>
        <w:t>l</w:t>
      </w:r>
      <w:r w:rsidRPr="00AC0E19">
        <w:rPr>
          <w:rStyle w:val="Strong"/>
        </w:rPr>
        <w:t xml:space="preserve"> stakeholders</w:t>
      </w:r>
      <w:r>
        <w:t xml:space="preserve"> (parents, adoptees, advocacy/parent groups, Commonwealth agencies and STCAs) highlighted that IAA primarily focussed on the information needs of prospective adoptive parents during the service’s initial implementation phase.  This focus was seen by many of the external stakeholders to limit the comprehensive</w:t>
      </w:r>
      <w:r w:rsidR="00DB2842">
        <w:t>ness</w:t>
      </w:r>
      <w:r>
        <w:t xml:space="preserve"> of the information provided.  In particular, gaps were identified in relation to adult adoptees, expatriate adoptions and ad</w:t>
      </w:r>
      <w:r w:rsidR="0081080E">
        <w:t xml:space="preserve"> </w:t>
      </w:r>
      <w:r>
        <w:t>hoc adoptions.</w:t>
      </w:r>
    </w:p>
    <w:p w14:paraId="00F22E8C" w14:textId="160F18C0" w:rsidR="00C471B3" w:rsidRDefault="00C471B3" w:rsidP="003B07DF">
      <w:pPr>
        <w:pStyle w:val="Paragraph"/>
      </w:pPr>
      <w:r w:rsidRPr="00396766">
        <w:rPr>
          <w:rStyle w:val="ParagraphChar"/>
        </w:rPr>
        <w:t>As outlined in</w:t>
      </w:r>
      <w:r w:rsidRPr="00AC0E19">
        <w:rPr>
          <w:rStyle w:val="Emphasis"/>
        </w:rPr>
        <w:t xml:space="preserve"> Section </w:t>
      </w:r>
      <w:r w:rsidRPr="00AC0E19">
        <w:rPr>
          <w:rStyle w:val="Emphasis"/>
        </w:rPr>
        <w:fldChar w:fldCharType="begin"/>
      </w:r>
      <w:r w:rsidRPr="00AC0E19">
        <w:rPr>
          <w:rStyle w:val="Emphasis"/>
        </w:rPr>
        <w:instrText xml:space="preserve"> REF _Ref462841736 \r \h  \* MERGEFORMAT </w:instrText>
      </w:r>
      <w:r w:rsidRPr="00AC0E19">
        <w:rPr>
          <w:rStyle w:val="Emphasis"/>
        </w:rPr>
      </w:r>
      <w:r w:rsidRPr="00AC0E19">
        <w:rPr>
          <w:rStyle w:val="Emphasis"/>
        </w:rPr>
        <w:fldChar w:fldCharType="separate"/>
      </w:r>
      <w:r w:rsidR="00487073">
        <w:rPr>
          <w:rStyle w:val="Emphasis"/>
        </w:rPr>
        <w:t>5.4</w:t>
      </w:r>
      <w:r w:rsidRPr="00AC0E19">
        <w:rPr>
          <w:rStyle w:val="Emphasis"/>
        </w:rPr>
        <w:fldChar w:fldCharType="end"/>
      </w:r>
      <w:r w:rsidRPr="00396766">
        <w:rPr>
          <w:rStyle w:val="ParagraphChar"/>
        </w:rPr>
        <w:t>, the IAA team identified the need to broade</w:t>
      </w:r>
      <w:r w:rsidR="00DB2842">
        <w:rPr>
          <w:rStyle w:val="ParagraphChar"/>
        </w:rPr>
        <w:t>n</w:t>
      </w:r>
      <w:r w:rsidRPr="00396766">
        <w:rPr>
          <w:rStyle w:val="ParagraphChar"/>
        </w:rPr>
        <w:t xml:space="preserve"> its initial scope and has</w:t>
      </w:r>
      <w:r>
        <w:t xml:space="preserve"> proactively sought to address the identified gaps. </w:t>
      </w:r>
    </w:p>
    <w:p w14:paraId="65F06CCD" w14:textId="4A279E7E" w:rsidR="00C471B3" w:rsidRDefault="00C471B3" w:rsidP="00C471B3">
      <w:pPr>
        <w:pStyle w:val="Paragraph"/>
      </w:pPr>
      <w:bookmarkStart w:id="160" w:name="_Hlk489974835"/>
      <w:r w:rsidRPr="009E2BA1">
        <w:rPr>
          <w:rStyle w:val="Strong"/>
        </w:rPr>
        <w:t xml:space="preserve">Parental respondents </w:t>
      </w:r>
      <w:r w:rsidRPr="00B02886">
        <w:t xml:space="preserve">were asked about the consistency of information between their </w:t>
      </w:r>
      <w:r w:rsidR="00F26A65">
        <w:t>STCA</w:t>
      </w:r>
      <w:r w:rsidRPr="00B02886">
        <w:t xml:space="preserve"> and the IAA service.  </w:t>
      </w:r>
      <w:r>
        <w:t xml:space="preserve">While only 14 responses were received, </w:t>
      </w:r>
      <w:r w:rsidR="00EA6033">
        <w:t>10</w:t>
      </w:r>
      <w:r>
        <w:t>/1</w:t>
      </w:r>
      <w:r w:rsidR="00EA6033">
        <w:t>4</w:t>
      </w:r>
      <w:r>
        <w:t xml:space="preserve"> respondents (</w:t>
      </w:r>
      <w:r w:rsidR="00EA6033">
        <w:t>71.4</w:t>
      </w:r>
      <w:r>
        <w:t>%) ranked the</w:t>
      </w:r>
      <w:r w:rsidRPr="00B02886">
        <w:t xml:space="preserve"> information </w:t>
      </w:r>
      <w:r>
        <w:t xml:space="preserve">they received as being </w:t>
      </w:r>
      <w:r w:rsidRPr="00B02886">
        <w:t xml:space="preserve">consistent or very consistent.  </w:t>
      </w:r>
      <w:r>
        <w:t>When asked to comment on their answers about inter-service consistency, the following comments were provided:</w:t>
      </w:r>
    </w:p>
    <w:bookmarkEnd w:id="160"/>
    <w:p w14:paraId="538B9468" w14:textId="7F583392" w:rsidR="00C471B3" w:rsidRPr="000978FC" w:rsidRDefault="00C471B3" w:rsidP="00C471B3">
      <w:pPr>
        <w:pStyle w:val="Quote"/>
      </w:pPr>
      <w:r w:rsidRPr="005263DE">
        <w:t>“Very frustrating actually - I had done my research on eligibility etc. on a specific country</w:t>
      </w:r>
      <w:r w:rsidR="005263DE" w:rsidRPr="005263DE">
        <w:t>…</w:t>
      </w:r>
      <w:r w:rsidRPr="005263DE">
        <w:t xml:space="preserve">  They</w:t>
      </w:r>
      <w:r w:rsidR="00AF2A25" w:rsidRPr="005263DE">
        <w:t xml:space="preserve"> </w:t>
      </w:r>
      <w:r w:rsidR="0014298A" w:rsidRPr="005263DE">
        <w:t>(the state office)</w:t>
      </w:r>
      <w:r w:rsidRPr="005263DE">
        <w:t xml:space="preserve"> then came back to me saying they never recommend single people for that program, despite the IAA site saying single </w:t>
      </w:r>
      <w:r w:rsidR="005263DE" w:rsidRPr="005263DE">
        <w:t>people are eligible..</w:t>
      </w:r>
      <w:r w:rsidRPr="005263DE">
        <w:t>.  Very disappointing.”</w:t>
      </w:r>
    </w:p>
    <w:p w14:paraId="2CC92CE1" w14:textId="0D9AEED5" w:rsidR="00C471B3" w:rsidRPr="00FF7E3F" w:rsidRDefault="00C471B3" w:rsidP="003B07DF">
      <w:pPr>
        <w:pStyle w:val="Paragraph"/>
        <w:rPr>
          <w:rStyle w:val="ParagraphChar"/>
        </w:rPr>
      </w:pPr>
      <w:r w:rsidRPr="00CD4E4F">
        <w:rPr>
          <w:rStyle w:val="Strong"/>
        </w:rPr>
        <w:t>Parent support and advocacy group</w:t>
      </w:r>
      <w:r w:rsidR="00F26A65">
        <w:rPr>
          <w:rStyle w:val="Strong"/>
        </w:rPr>
        <w:t>s</w:t>
      </w:r>
      <w:r w:rsidRPr="00CD4E4F">
        <w:rPr>
          <w:rStyle w:val="Strong"/>
        </w:rPr>
        <w:t xml:space="preserve"> </w:t>
      </w:r>
      <w:r>
        <w:rPr>
          <w:rStyle w:val="Strong"/>
        </w:rPr>
        <w:t>highlighted the importance of web information being accurate and comprehensive.</w:t>
      </w:r>
      <w:r w:rsidRPr="009E2BA1">
        <w:rPr>
          <w:rStyle w:val="Strong"/>
          <w:b w:val="0"/>
        </w:rPr>
        <w:t xml:space="preserve">  Some </w:t>
      </w:r>
      <w:r w:rsidRPr="00AC0E19">
        <w:rPr>
          <w:rStyle w:val="ParagraphChar"/>
        </w:rPr>
        <w:t>expressed concerns about</w:t>
      </w:r>
      <w:r>
        <w:rPr>
          <w:rStyle w:val="Strong"/>
        </w:rPr>
        <w:t xml:space="preserve"> </w:t>
      </w:r>
      <w:r>
        <w:t>i</w:t>
      </w:r>
      <w:r w:rsidRPr="006F2CB9">
        <w:t>naccuracies regarding program partners. “</w:t>
      </w:r>
      <w:r w:rsidRPr="00AC0E19">
        <w:rPr>
          <w:rStyle w:val="Emphasis"/>
        </w:rPr>
        <w:t>The website would say South Africa is a program.  It’s not.  One of our people got fully assessed for that and when they went to put their file over they couldn’t because we [Australia] have no program in South Africa.”</w:t>
      </w:r>
      <w:r>
        <w:rPr>
          <w:rStyle w:val="Emphasis"/>
        </w:rPr>
        <w:t xml:space="preserve">  </w:t>
      </w:r>
      <w:r w:rsidRPr="00FF7E3F">
        <w:rPr>
          <w:rStyle w:val="ParagraphChar"/>
        </w:rPr>
        <w:t xml:space="preserve">This observation was also supported </w:t>
      </w:r>
      <w:r w:rsidR="009E2BA1">
        <w:rPr>
          <w:rStyle w:val="ParagraphChar"/>
        </w:rPr>
        <w:t>in consultations with STCAs where i</w:t>
      </w:r>
      <w:r w:rsidRPr="00FF7E3F">
        <w:rPr>
          <w:rStyle w:val="ParagraphChar"/>
        </w:rPr>
        <w:t xml:space="preserve">ssues related to early </w:t>
      </w:r>
      <w:r w:rsidRPr="00FF7E3F">
        <w:rPr>
          <w:rStyle w:val="ParagraphChar"/>
        </w:rPr>
        <w:lastRenderedPageBreak/>
        <w:t>website content</w:t>
      </w:r>
      <w:r w:rsidR="00D807F2">
        <w:rPr>
          <w:rStyle w:val="ParagraphChar"/>
        </w:rPr>
        <w:t xml:space="preserve"> were r</w:t>
      </w:r>
      <w:r w:rsidR="009E2BA1">
        <w:rPr>
          <w:rStyle w:val="ParagraphChar"/>
        </w:rPr>
        <w:t>aised</w:t>
      </w:r>
      <w:r w:rsidRPr="00FF7E3F">
        <w:rPr>
          <w:rStyle w:val="ParagraphChar"/>
        </w:rPr>
        <w:t xml:space="preserve">.  </w:t>
      </w:r>
      <w:r w:rsidRPr="00FF7E3F">
        <w:rPr>
          <w:rStyle w:val="Emphasis"/>
        </w:rPr>
        <w:t>“I think in the beginning when they were transferring some information from AGD to IAA some of the wording was misleading and raising expectations”</w:t>
      </w:r>
      <w:r w:rsidRPr="00FF7E3F">
        <w:rPr>
          <w:rStyle w:val="ParagraphChar"/>
        </w:rPr>
        <w:t>.</w:t>
      </w:r>
    </w:p>
    <w:p w14:paraId="3DA84375" w14:textId="587FFD62" w:rsidR="00C471B3" w:rsidRPr="008F0141" w:rsidRDefault="00C471B3" w:rsidP="003B07DF">
      <w:pPr>
        <w:pStyle w:val="Paragraph"/>
        <w:rPr>
          <w:lang w:eastAsia="en-AU"/>
        </w:rPr>
      </w:pPr>
      <w:r>
        <w:rPr>
          <w:rStyle w:val="Strong"/>
        </w:rPr>
        <w:t>For a</w:t>
      </w:r>
      <w:r w:rsidRPr="00AC0E19">
        <w:rPr>
          <w:rStyle w:val="Strong"/>
        </w:rPr>
        <w:t xml:space="preserve">cademic </w:t>
      </w:r>
      <w:r w:rsidR="000F63B2" w:rsidRPr="00AC0E19">
        <w:rPr>
          <w:rStyle w:val="Strong"/>
        </w:rPr>
        <w:t>informants,</w:t>
      </w:r>
      <w:r w:rsidRPr="008F0141">
        <w:t xml:space="preserve"> </w:t>
      </w:r>
      <w:r>
        <w:t>a key consideration was the need for IAA to recognise that the i</w:t>
      </w:r>
      <w:r w:rsidRPr="008F0141">
        <w:rPr>
          <w:lang w:eastAsia="en-AU"/>
        </w:rPr>
        <w:t>nformation needs of ICA stakeholders differ considerably depending on their stage in the process.  For this reason, information needs to be provided across the spectrum, from those beginning the process to those in the post-adoption stage, including adult adoptees</w:t>
      </w:r>
    </w:p>
    <w:p w14:paraId="7B30B54B" w14:textId="77777777" w:rsidR="00C471B3" w:rsidRDefault="00C471B3" w:rsidP="00C471B3">
      <w:pPr>
        <w:spacing w:before="240" w:after="240" w:line="264" w:lineRule="auto"/>
        <w:ind w:left="720"/>
        <w:rPr>
          <w:i/>
          <w:iCs/>
        </w:rPr>
      </w:pPr>
      <w:r w:rsidRPr="008F0141">
        <w:rPr>
          <w:i/>
          <w:iCs/>
        </w:rPr>
        <w:t>“Adoptive parents need the opportunity to get ongoing support because adoption is a lifelong process</w:t>
      </w:r>
      <w:r>
        <w:rPr>
          <w:i/>
          <w:iCs/>
        </w:rPr>
        <w:t>.  Y</w:t>
      </w:r>
      <w:r w:rsidRPr="008F0141">
        <w:rPr>
          <w:i/>
          <w:iCs/>
        </w:rPr>
        <w:t>ou don’t just get a happy child and it’s happily ever after, issues keep arising.”</w:t>
      </w:r>
    </w:p>
    <w:tbl>
      <w:tblPr>
        <w:tblStyle w:val="TableGrid"/>
        <w:tblW w:w="0" w:type="auto"/>
        <w:tblInd w:w="108" w:type="dxa"/>
        <w:tblBorders>
          <w:top w:val="single" w:sz="4" w:space="0" w:color="0079C1" w:themeColor="text2"/>
          <w:left w:val="single" w:sz="4" w:space="0" w:color="0079C1" w:themeColor="text2"/>
          <w:bottom w:val="single" w:sz="4" w:space="0" w:color="0079C1" w:themeColor="text2"/>
          <w:right w:val="single" w:sz="4" w:space="0" w:color="0079C1" w:themeColor="text2"/>
          <w:insideH w:val="none" w:sz="0" w:space="0" w:color="auto"/>
          <w:insideV w:val="none" w:sz="0" w:space="0" w:color="auto"/>
        </w:tblBorders>
        <w:shd w:val="clear" w:color="auto" w:fill="E2F4FF" w:themeFill="accent1" w:themeFillTint="33"/>
        <w:tblLook w:val="04A0" w:firstRow="1" w:lastRow="0" w:firstColumn="1" w:lastColumn="0" w:noHBand="0" w:noVBand="1"/>
        <w:tblDescription w:val="Key findings:&#10;• IAA’s primary focus on the information needs of prospective adoptive parents during the service’s initial implementation phase was seen by many of the external stakeholders to limit the comprehensiveness of the information provided.  In particular, gaps were identified in relation to adult adoptees, expatriate adoptions and ad hoc adoptions&#10;• Parent support and advocacy group highlighted the importance of web information being accurate and comprehensive&#10;• For academic informants, a key consideration was the need for IAA to recognise that the information needs of ICA stakeholders differ considerably depending on their stage in the process.&#10;"/>
      </w:tblPr>
      <w:tblGrid>
        <w:gridCol w:w="9237"/>
      </w:tblGrid>
      <w:tr w:rsidR="000B434D" w:rsidRPr="00B43607" w14:paraId="71A8A93E" w14:textId="77777777" w:rsidTr="004E43C8">
        <w:trPr>
          <w:tblHeader/>
        </w:trPr>
        <w:tc>
          <w:tcPr>
            <w:tcW w:w="9349" w:type="dxa"/>
            <w:shd w:val="clear" w:color="auto" w:fill="E2F4FF" w:themeFill="accent1" w:themeFillTint="33"/>
          </w:tcPr>
          <w:p w14:paraId="27C85651" w14:textId="77777777" w:rsidR="000B434D" w:rsidRPr="008A1452" w:rsidRDefault="000B434D" w:rsidP="00C8090B">
            <w:pPr>
              <w:pStyle w:val="Heading4"/>
              <w:outlineLvl w:val="3"/>
              <w:rPr>
                <w:color w:val="auto"/>
                <w:lang w:val="en-AU"/>
              </w:rPr>
            </w:pPr>
            <w:r w:rsidRPr="008A1452">
              <w:rPr>
                <w:color w:val="auto"/>
                <w:lang w:val="en-AU"/>
              </w:rPr>
              <w:t>Key findings:</w:t>
            </w:r>
          </w:p>
          <w:p w14:paraId="3A94E7D4" w14:textId="52962ADE" w:rsidR="009E2BA1" w:rsidRPr="009E2BA1" w:rsidRDefault="009E2BA1" w:rsidP="009E2BA1">
            <w:pPr>
              <w:pStyle w:val="Bullet1"/>
              <w:rPr>
                <w:lang w:val="en-AU"/>
              </w:rPr>
            </w:pPr>
            <w:r>
              <w:rPr>
                <w:lang w:val="en-AU"/>
              </w:rPr>
              <w:t>IAA’s primary f</w:t>
            </w:r>
            <w:r w:rsidRPr="009E2BA1">
              <w:rPr>
                <w:lang w:val="en-AU"/>
              </w:rPr>
              <w:t>ocus</w:t>
            </w:r>
            <w:r>
              <w:rPr>
                <w:lang w:val="en-AU"/>
              </w:rPr>
              <w:t xml:space="preserve"> </w:t>
            </w:r>
            <w:r w:rsidRPr="009E2BA1">
              <w:rPr>
                <w:lang w:val="en-AU"/>
              </w:rPr>
              <w:t>on the information needs of prospective adoptive parents during the service’s initial implementation phase</w:t>
            </w:r>
            <w:r>
              <w:rPr>
                <w:lang w:val="en-AU"/>
              </w:rPr>
              <w:t xml:space="preserve"> </w:t>
            </w:r>
            <w:r w:rsidRPr="009E2BA1">
              <w:rPr>
                <w:lang w:val="en-AU"/>
              </w:rPr>
              <w:t>was seen by many of the external stakeholders to limit the comprehensive</w:t>
            </w:r>
            <w:r w:rsidR="00DB2842">
              <w:rPr>
                <w:lang w:val="en-AU"/>
              </w:rPr>
              <w:t>ness</w:t>
            </w:r>
            <w:r w:rsidRPr="009E2BA1">
              <w:rPr>
                <w:lang w:val="en-AU"/>
              </w:rPr>
              <w:t xml:space="preserve"> of the information provided.  In particular, gaps were identified in relation to adult adoptees, expatriate adoptions and ad hoc adoptions</w:t>
            </w:r>
          </w:p>
          <w:p w14:paraId="7B00203C" w14:textId="0352E1E7" w:rsidR="009E2BA1" w:rsidRPr="009E2BA1" w:rsidRDefault="009E2BA1" w:rsidP="009E2BA1">
            <w:pPr>
              <w:pStyle w:val="Bullet1"/>
              <w:rPr>
                <w:rStyle w:val="Strong"/>
                <w:b w:val="0"/>
              </w:rPr>
            </w:pPr>
            <w:r w:rsidRPr="009E2BA1">
              <w:rPr>
                <w:rStyle w:val="Strong"/>
                <w:b w:val="0"/>
              </w:rPr>
              <w:t>Parent support and advocacy group highlighted the importance of web information being accurate and comprehensive</w:t>
            </w:r>
          </w:p>
          <w:p w14:paraId="4BA41AE5" w14:textId="5999AD27" w:rsidR="000B434D" w:rsidRPr="00B43607" w:rsidRDefault="009E2BA1" w:rsidP="009E2BA1">
            <w:pPr>
              <w:pStyle w:val="Bullet1"/>
              <w:rPr>
                <w:lang w:val="en-AU"/>
              </w:rPr>
            </w:pPr>
            <w:r w:rsidRPr="009E2BA1">
              <w:rPr>
                <w:rStyle w:val="Strong"/>
                <w:b w:val="0"/>
              </w:rPr>
              <w:t xml:space="preserve">For academic </w:t>
            </w:r>
            <w:r w:rsidR="00F528CF" w:rsidRPr="009E2BA1">
              <w:rPr>
                <w:rStyle w:val="Strong"/>
                <w:b w:val="0"/>
              </w:rPr>
              <w:t>informants,</w:t>
            </w:r>
            <w:r w:rsidRPr="009E2BA1">
              <w:rPr>
                <w:b/>
              </w:rPr>
              <w:t xml:space="preserve"> </w:t>
            </w:r>
            <w:r w:rsidRPr="009E2BA1">
              <w:t>a key consideration was the need for IAA to recognise that the information needs of ICA stakeholders differ considerably depending on their stage in the process</w:t>
            </w:r>
            <w:r w:rsidR="00E461F7">
              <w:t>.</w:t>
            </w:r>
          </w:p>
        </w:tc>
      </w:tr>
    </w:tbl>
    <w:p w14:paraId="45B9B4DF" w14:textId="77777777" w:rsidR="00C471B3" w:rsidRPr="00396766" w:rsidRDefault="00C471B3" w:rsidP="00103362">
      <w:pPr>
        <w:pStyle w:val="Heading4"/>
      </w:pPr>
      <w:r w:rsidRPr="00396766">
        <w:t xml:space="preserve">Client expectations </w:t>
      </w:r>
    </w:p>
    <w:p w14:paraId="3FF24A22" w14:textId="2B3F89C4" w:rsidR="009E2BA1" w:rsidRDefault="00C471B3" w:rsidP="009E2BA1">
      <w:pPr>
        <w:pStyle w:val="Paragraph"/>
      </w:pPr>
      <w:r w:rsidRPr="009E2BA1">
        <w:rPr>
          <w:rStyle w:val="ParagraphChar"/>
        </w:rPr>
        <w:t>Stakeholders indicated that client assessment of the utility of available information was</w:t>
      </w:r>
      <w:r>
        <w:t xml:space="preserve"> informed by their expectations.  IAA team members also recognised this</w:t>
      </w:r>
      <w:r w:rsidR="005B0DEA">
        <w:t>, noting</w:t>
      </w:r>
      <w:r w:rsidR="005B0DEA" w:rsidRPr="005B0DEA">
        <w:t xml:space="preserve"> that many clients enquir</w:t>
      </w:r>
      <w:r w:rsidR="005B0DEA">
        <w:t>e</w:t>
      </w:r>
      <w:r w:rsidR="005B0DEA" w:rsidRPr="005B0DEA">
        <w:t xml:space="preserve"> about complex international issues such as how to adopt a relative child residing ove</w:t>
      </w:r>
      <w:r w:rsidR="005B0DEA">
        <w:t xml:space="preserve">rseas in a </w:t>
      </w:r>
      <w:r w:rsidR="00621CA2">
        <w:t>non-Hague</w:t>
      </w:r>
      <w:r w:rsidR="005B0DEA">
        <w:t xml:space="preserve"> </w:t>
      </w:r>
      <w:r w:rsidR="00761DE8">
        <w:t xml:space="preserve">Convention </w:t>
      </w:r>
      <w:r w:rsidR="005B0DEA">
        <w:t>country</w:t>
      </w:r>
      <w:r w:rsidR="005B0DEA" w:rsidRPr="005B0DEA">
        <w:t xml:space="preserve">. </w:t>
      </w:r>
      <w:r w:rsidR="005B0DEA">
        <w:t xml:space="preserve"> </w:t>
      </w:r>
      <w:r w:rsidR="005B0DEA" w:rsidRPr="005B0DEA">
        <w:t xml:space="preserve">IAA </w:t>
      </w:r>
      <w:r w:rsidR="00AC06D7" w:rsidRPr="005B0DEA">
        <w:t>tri</w:t>
      </w:r>
      <w:r w:rsidR="00AC06D7">
        <w:t>es</w:t>
      </w:r>
      <w:r w:rsidR="005B0DEA" w:rsidRPr="005B0DEA">
        <w:t xml:space="preserve"> to help clients understand the complexities </w:t>
      </w:r>
      <w:r w:rsidR="005B0DEA">
        <w:t xml:space="preserve">of their situation but clients are </w:t>
      </w:r>
      <w:r w:rsidR="005B0DEA" w:rsidRPr="005B0DEA">
        <w:t xml:space="preserve">often </w:t>
      </w:r>
      <w:r w:rsidR="005B0DEA">
        <w:t xml:space="preserve">unreceptive to </w:t>
      </w:r>
      <w:r w:rsidR="00541AE0">
        <w:t>hearing the difficult messages being delivered</w:t>
      </w:r>
      <w:r>
        <w:t>:</w:t>
      </w:r>
    </w:p>
    <w:p w14:paraId="7EC0999D" w14:textId="4D12CA3A" w:rsidR="00C471B3" w:rsidRDefault="00C471B3" w:rsidP="003B07DF">
      <w:pPr>
        <w:pStyle w:val="Quote"/>
      </w:pPr>
      <w:r w:rsidRPr="00396766">
        <w:t xml:space="preserve">“People expect us to be able to answer complex immigration enquiries.  We’re not immigration lawyers so we’re not able to answer them.  There’s an expectation from people that we should be able to navigate through that [immigration] as well which isn’t possible” </w:t>
      </w:r>
    </w:p>
    <w:p w14:paraId="3E8427E3" w14:textId="77777777" w:rsidR="00C471B3" w:rsidRDefault="00C471B3" w:rsidP="003B07DF">
      <w:pPr>
        <w:pStyle w:val="Quote"/>
      </w:pPr>
      <w:r w:rsidRPr="00396766">
        <w:t>“Eligibility is like a puzzle with constantly moving pieces.  Its very time consuming, we can give them the message we know the CA like them to have about the realities, the special needs, reinforcing the Hague process.  We can do all of that.  It doesn’t hurt for people to get those messages again and again.  It’s not for everybody, they need to meet the criteria and be suitable and really ready to take on a child who’s probably going to have a range of special needs”</w:t>
      </w:r>
    </w:p>
    <w:p w14:paraId="2CE086B2" w14:textId="03A16154" w:rsidR="00C471B3" w:rsidRDefault="00C471B3" w:rsidP="003B07DF">
      <w:pPr>
        <w:pStyle w:val="Quote"/>
      </w:pPr>
      <w:r w:rsidRPr="00396766">
        <w:t>“Managing expectations, around immigration, people outside the formal path, people look for adoption as solving migration issues, and we can’t give people what they want”.</w:t>
      </w:r>
    </w:p>
    <w:tbl>
      <w:tblPr>
        <w:tblStyle w:val="TableGrid"/>
        <w:tblW w:w="9392" w:type="dxa"/>
        <w:tblInd w:w="108" w:type="dxa"/>
        <w:tblBorders>
          <w:top w:val="single" w:sz="4" w:space="0" w:color="0079C1" w:themeColor="text2"/>
          <w:left w:val="single" w:sz="4" w:space="0" w:color="0079C1" w:themeColor="text2"/>
          <w:bottom w:val="single" w:sz="4" w:space="0" w:color="0079C1" w:themeColor="text2"/>
          <w:right w:val="single" w:sz="4" w:space="0" w:color="0079C1" w:themeColor="text2"/>
          <w:insideH w:val="none" w:sz="0" w:space="0" w:color="auto"/>
          <w:insideV w:val="none" w:sz="0" w:space="0" w:color="auto"/>
        </w:tblBorders>
        <w:shd w:val="clear" w:color="auto" w:fill="E2F4FF" w:themeFill="accent1" w:themeFillTint="33"/>
        <w:tblLook w:val="04A0" w:firstRow="1" w:lastRow="0" w:firstColumn="1" w:lastColumn="0" w:noHBand="0" w:noVBand="1"/>
        <w:tblDescription w:val="Key finding:&#10;• Stakeholders indicated that client assessment of the utility of available information was informed by their expectations, some of which were unrealistic.&#10;"/>
      </w:tblPr>
      <w:tblGrid>
        <w:gridCol w:w="9392"/>
      </w:tblGrid>
      <w:tr w:rsidR="00103362" w14:paraId="03D2874C" w14:textId="77777777" w:rsidTr="004E43C8">
        <w:trPr>
          <w:cantSplit/>
          <w:tblHeader/>
        </w:trPr>
        <w:tc>
          <w:tcPr>
            <w:tcW w:w="9392" w:type="dxa"/>
            <w:shd w:val="clear" w:color="auto" w:fill="E2F4FF" w:themeFill="accent1" w:themeFillTint="33"/>
          </w:tcPr>
          <w:p w14:paraId="731D95DD" w14:textId="4E49E090" w:rsidR="00C471B3" w:rsidRPr="008A1452" w:rsidRDefault="00E461F7" w:rsidP="00103362">
            <w:pPr>
              <w:pStyle w:val="TableHeading2Row"/>
              <w:rPr>
                <w:color w:val="auto"/>
                <w:lang w:val="en-AU"/>
              </w:rPr>
            </w:pPr>
            <w:r w:rsidRPr="008A1452">
              <w:rPr>
                <w:color w:val="auto"/>
                <w:lang w:val="en-AU"/>
              </w:rPr>
              <w:t>Key finding</w:t>
            </w:r>
            <w:r w:rsidR="00C471B3" w:rsidRPr="008A1452">
              <w:rPr>
                <w:color w:val="auto"/>
                <w:lang w:val="en-AU"/>
              </w:rPr>
              <w:t>:</w:t>
            </w:r>
          </w:p>
          <w:p w14:paraId="3331428A" w14:textId="07BBF748" w:rsidR="00C471B3" w:rsidRDefault="009E2BA1" w:rsidP="003B07DF">
            <w:pPr>
              <w:pStyle w:val="Bullet1"/>
              <w:rPr>
                <w:lang w:val="en-AU"/>
              </w:rPr>
            </w:pPr>
            <w:r w:rsidRPr="009E2BA1">
              <w:rPr>
                <w:lang w:val="en-AU"/>
              </w:rPr>
              <w:t>Stakeholders indicated that client assessment of the utility of available information was informed by their expectations</w:t>
            </w:r>
            <w:r>
              <w:rPr>
                <w:lang w:val="en-AU"/>
              </w:rPr>
              <w:t>, some of which were unrealistic.</w:t>
            </w:r>
          </w:p>
        </w:tc>
      </w:tr>
    </w:tbl>
    <w:p w14:paraId="2B5FCC9E" w14:textId="6AD2BFC6" w:rsidR="00C471B3" w:rsidRDefault="00C471B3" w:rsidP="00572E38">
      <w:pPr>
        <w:pStyle w:val="Heading3"/>
      </w:pPr>
      <w:bookmarkStart w:id="161" w:name="_Ref463031409"/>
      <w:r>
        <w:lastRenderedPageBreak/>
        <w:t>Access to referrals</w:t>
      </w:r>
      <w:bookmarkEnd w:id="161"/>
    </w:p>
    <w:p w14:paraId="15398BDD" w14:textId="178200D7" w:rsidR="00C471B3" w:rsidRDefault="00C471B3" w:rsidP="00C471B3">
      <w:pPr>
        <w:pStyle w:val="Paragraph"/>
        <w:rPr>
          <w:lang w:eastAsia="en-AU"/>
        </w:rPr>
      </w:pPr>
      <w:r>
        <w:rPr>
          <w:lang w:eastAsia="en-AU"/>
        </w:rPr>
        <w:t>As outlined in</w:t>
      </w:r>
      <w:r w:rsidR="0081080E" w:rsidRPr="00B77B94">
        <w:rPr>
          <w:rStyle w:val="Emphasis"/>
        </w:rPr>
        <w:t xml:space="preserve"> </w:t>
      </w:r>
      <w:r w:rsidR="00414F62" w:rsidRPr="00414F62">
        <w:rPr>
          <w:rStyle w:val="Emphasis"/>
          <w:i w:val="0"/>
        </w:rPr>
        <w:fldChar w:fldCharType="begin"/>
      </w:r>
      <w:r w:rsidR="00414F62" w:rsidRPr="00414F62">
        <w:rPr>
          <w:rStyle w:val="Emphasis"/>
          <w:i w:val="0"/>
        </w:rPr>
        <w:instrText xml:space="preserve"> REF _Ref462648201 \h </w:instrText>
      </w:r>
      <w:r w:rsidR="00414F62">
        <w:rPr>
          <w:rStyle w:val="Emphasis"/>
          <w:i w:val="0"/>
        </w:rPr>
        <w:instrText xml:space="preserve"> \* MERGEFORMAT </w:instrText>
      </w:r>
      <w:r w:rsidR="00414F62" w:rsidRPr="00414F62">
        <w:rPr>
          <w:rStyle w:val="Emphasis"/>
          <w:i w:val="0"/>
        </w:rPr>
      </w:r>
      <w:r w:rsidR="00414F62" w:rsidRPr="00414F62">
        <w:rPr>
          <w:rStyle w:val="Emphasis"/>
          <w:i w:val="0"/>
        </w:rPr>
        <w:fldChar w:fldCharType="separate"/>
      </w:r>
      <w:r w:rsidR="00487073" w:rsidRPr="00487073">
        <w:rPr>
          <w:i/>
        </w:rPr>
        <w:t>Table 5</w:t>
      </w:r>
      <w:r w:rsidR="00487073" w:rsidRPr="00487073">
        <w:rPr>
          <w:i/>
        </w:rPr>
        <w:noBreakHyphen/>
        <w:t>7</w:t>
      </w:r>
      <w:r w:rsidR="00414F62" w:rsidRPr="00414F62">
        <w:rPr>
          <w:rStyle w:val="Emphasis"/>
          <w:i w:val="0"/>
        </w:rPr>
        <w:fldChar w:fldCharType="end"/>
      </w:r>
      <w:r w:rsidR="00B77B94">
        <w:rPr>
          <w:lang w:eastAsia="en-AU"/>
        </w:rPr>
        <w:t xml:space="preserve">, </w:t>
      </w:r>
      <w:r>
        <w:rPr>
          <w:lang w:eastAsia="en-AU"/>
        </w:rPr>
        <w:t xml:space="preserve">one-third of </w:t>
      </w:r>
      <w:r w:rsidRPr="00940151">
        <w:rPr>
          <w:lang w:eastAsia="en-AU"/>
        </w:rPr>
        <w:t xml:space="preserve">client interactions (34.0%) </w:t>
      </w:r>
      <w:r>
        <w:rPr>
          <w:lang w:eastAsia="en-AU"/>
        </w:rPr>
        <w:t xml:space="preserve">with IAA </w:t>
      </w:r>
      <w:r w:rsidR="00AF2A25">
        <w:rPr>
          <w:lang w:eastAsia="en-AU"/>
        </w:rPr>
        <w:t xml:space="preserve">that were recorded in Sharepoint </w:t>
      </w:r>
      <w:r w:rsidRPr="00940151">
        <w:rPr>
          <w:lang w:eastAsia="en-AU"/>
        </w:rPr>
        <w:t xml:space="preserve">resulted in some form of referral.  </w:t>
      </w:r>
    </w:p>
    <w:p w14:paraId="499266EF" w14:textId="3708A9A1" w:rsidR="007342B0" w:rsidRDefault="00C471B3" w:rsidP="00C471B3">
      <w:pPr>
        <w:pStyle w:val="Paragraph"/>
        <w:rPr>
          <w:lang w:eastAsia="en-AU"/>
        </w:rPr>
      </w:pPr>
      <w:r w:rsidRPr="0081080E">
        <w:rPr>
          <w:lang w:eastAsia="en-AU"/>
        </w:rPr>
        <w:t>Similar referral levels were not reflected in the survey responses, with</w:t>
      </w:r>
      <w:r w:rsidR="001D7343">
        <w:rPr>
          <w:lang w:eastAsia="en-AU"/>
        </w:rPr>
        <w:t xml:space="preserve"> </w:t>
      </w:r>
      <w:r w:rsidRPr="0081080E">
        <w:rPr>
          <w:lang w:eastAsia="en-AU"/>
        </w:rPr>
        <w:t xml:space="preserve">only 9.1% </w:t>
      </w:r>
      <w:r w:rsidR="007342B0">
        <w:rPr>
          <w:lang w:eastAsia="en-AU"/>
        </w:rPr>
        <w:t>(20/220)</w:t>
      </w:r>
      <w:r w:rsidRPr="0081080E">
        <w:rPr>
          <w:lang w:eastAsia="en-AU"/>
        </w:rPr>
        <w:t>of all parental respondents indicating that they had received a referral to their STCA (</w:t>
      </w:r>
      <w:r w:rsidR="0081080E" w:rsidRPr="0081080E">
        <w:rPr>
          <w:rStyle w:val="Emphasis"/>
        </w:rPr>
        <w:fldChar w:fldCharType="begin"/>
      </w:r>
      <w:r w:rsidR="0081080E" w:rsidRPr="0081080E">
        <w:rPr>
          <w:rStyle w:val="Emphasis"/>
        </w:rPr>
        <w:instrText xml:space="preserve"> REF _Ref463005971 \h </w:instrText>
      </w:r>
      <w:r w:rsidR="0081080E">
        <w:rPr>
          <w:rStyle w:val="Emphasis"/>
        </w:rPr>
        <w:instrText xml:space="preserve"> \* MERGEFORMAT </w:instrText>
      </w:r>
      <w:r w:rsidR="0081080E" w:rsidRPr="0081080E">
        <w:rPr>
          <w:rStyle w:val="Emphasis"/>
        </w:rPr>
      </w:r>
      <w:r w:rsidR="0081080E" w:rsidRPr="0081080E">
        <w:rPr>
          <w:rStyle w:val="Emphasis"/>
        </w:rPr>
        <w:fldChar w:fldCharType="separate"/>
      </w:r>
      <w:r w:rsidR="00487073" w:rsidRPr="00487073">
        <w:rPr>
          <w:rStyle w:val="Emphasis"/>
        </w:rPr>
        <w:t>Table 6</w:t>
      </w:r>
      <w:r w:rsidR="00487073" w:rsidRPr="00487073">
        <w:rPr>
          <w:rStyle w:val="Emphasis"/>
        </w:rPr>
        <w:noBreakHyphen/>
        <w:t>5</w:t>
      </w:r>
      <w:r w:rsidR="0081080E" w:rsidRPr="0081080E">
        <w:rPr>
          <w:rStyle w:val="Emphasis"/>
        </w:rPr>
        <w:fldChar w:fldCharType="end"/>
      </w:r>
      <w:r w:rsidRPr="0081080E">
        <w:rPr>
          <w:lang w:eastAsia="en-AU"/>
        </w:rPr>
        <w:t xml:space="preserve">) and only 4.1% </w:t>
      </w:r>
      <w:r w:rsidR="007342B0">
        <w:rPr>
          <w:lang w:eastAsia="en-AU"/>
        </w:rPr>
        <w:t xml:space="preserve">(9/220) </w:t>
      </w:r>
      <w:r w:rsidRPr="0081080E">
        <w:rPr>
          <w:lang w:eastAsia="en-AU"/>
        </w:rPr>
        <w:t>to another service (</w:t>
      </w:r>
      <w:r w:rsidR="0081080E" w:rsidRPr="00B77B94">
        <w:rPr>
          <w:rStyle w:val="Emphasis"/>
        </w:rPr>
        <w:fldChar w:fldCharType="begin"/>
      </w:r>
      <w:r w:rsidR="0081080E" w:rsidRPr="00B77B94">
        <w:rPr>
          <w:rStyle w:val="Emphasis"/>
        </w:rPr>
        <w:instrText xml:space="preserve"> REF _Ref463005986 \h </w:instrText>
      </w:r>
      <w:r w:rsidR="00B77B94">
        <w:rPr>
          <w:rStyle w:val="Emphasis"/>
        </w:rPr>
        <w:instrText xml:space="preserve"> \* MERGEFORMAT </w:instrText>
      </w:r>
      <w:r w:rsidR="0081080E" w:rsidRPr="00B77B94">
        <w:rPr>
          <w:rStyle w:val="Emphasis"/>
        </w:rPr>
      </w:r>
      <w:r w:rsidR="0081080E" w:rsidRPr="00B77B94">
        <w:rPr>
          <w:rStyle w:val="Emphasis"/>
        </w:rPr>
        <w:fldChar w:fldCharType="separate"/>
      </w:r>
      <w:r w:rsidR="00487073" w:rsidRPr="00487073">
        <w:rPr>
          <w:rStyle w:val="Emphasis"/>
        </w:rPr>
        <w:t>Table 6</w:t>
      </w:r>
      <w:r w:rsidR="00487073" w:rsidRPr="00487073">
        <w:rPr>
          <w:rStyle w:val="Emphasis"/>
        </w:rPr>
        <w:noBreakHyphen/>
        <w:t>6</w:t>
      </w:r>
      <w:r w:rsidR="0081080E" w:rsidRPr="00B77B94">
        <w:rPr>
          <w:rStyle w:val="Emphasis"/>
        </w:rPr>
        <w:fldChar w:fldCharType="end"/>
      </w:r>
      <w:r w:rsidRPr="00B77B94">
        <w:rPr>
          <w:rStyle w:val="Emphasis"/>
        </w:rPr>
        <w:t>)</w:t>
      </w:r>
      <w:r w:rsidRPr="0081080E">
        <w:rPr>
          <w:lang w:eastAsia="en-AU"/>
        </w:rPr>
        <w:t xml:space="preserve">.  </w:t>
      </w:r>
      <w:r w:rsidR="007342B0">
        <w:rPr>
          <w:lang w:eastAsia="en-AU"/>
        </w:rPr>
        <w:t>This is despite almost one in five of all parental respondents (42/220, 19.1%) having indicated that they had used the 1800 information line (</w:t>
      </w:r>
      <w:r w:rsidR="007342B0" w:rsidRPr="007342B0">
        <w:rPr>
          <w:i/>
          <w:lang w:eastAsia="en-AU"/>
        </w:rPr>
        <w:t>Table 5 9</w:t>
      </w:r>
      <w:r w:rsidR="007342B0">
        <w:rPr>
          <w:lang w:eastAsia="en-AU"/>
        </w:rPr>
        <w:t xml:space="preserve">) and almost 60% </w:t>
      </w:r>
      <w:r w:rsidR="007342B0" w:rsidRPr="007342B0">
        <w:rPr>
          <w:lang w:eastAsia="en-AU"/>
        </w:rPr>
        <w:t xml:space="preserve">of all parental respondents </w:t>
      </w:r>
      <w:r w:rsidR="007342B0">
        <w:rPr>
          <w:lang w:eastAsia="en-AU"/>
        </w:rPr>
        <w:t>(131/220, 59.5%) having indicated they used the website (</w:t>
      </w:r>
      <w:r w:rsidR="007342B0" w:rsidRPr="007342B0">
        <w:rPr>
          <w:i/>
          <w:lang w:eastAsia="en-AU"/>
        </w:rPr>
        <w:fldChar w:fldCharType="begin"/>
      </w:r>
      <w:r w:rsidR="007342B0" w:rsidRPr="007342B0">
        <w:rPr>
          <w:i/>
          <w:lang w:eastAsia="en-AU"/>
        </w:rPr>
        <w:instrText xml:space="preserve"> REF _Ref462650678 \h </w:instrText>
      </w:r>
      <w:r w:rsidR="007342B0">
        <w:rPr>
          <w:i/>
          <w:lang w:eastAsia="en-AU"/>
        </w:rPr>
        <w:instrText xml:space="preserve"> \* MERGEFORMAT </w:instrText>
      </w:r>
      <w:r w:rsidR="007342B0" w:rsidRPr="007342B0">
        <w:rPr>
          <w:i/>
          <w:lang w:eastAsia="en-AU"/>
        </w:rPr>
      </w:r>
      <w:r w:rsidR="007342B0" w:rsidRPr="007342B0">
        <w:rPr>
          <w:i/>
          <w:lang w:eastAsia="en-AU"/>
        </w:rPr>
        <w:fldChar w:fldCharType="separate"/>
      </w:r>
      <w:r w:rsidR="00487073" w:rsidRPr="00487073">
        <w:rPr>
          <w:i/>
        </w:rPr>
        <w:t>Table 5</w:t>
      </w:r>
      <w:r w:rsidR="00487073" w:rsidRPr="00487073">
        <w:rPr>
          <w:i/>
        </w:rPr>
        <w:noBreakHyphen/>
        <w:t>11</w:t>
      </w:r>
      <w:r w:rsidR="007342B0" w:rsidRPr="007342B0">
        <w:rPr>
          <w:i/>
          <w:lang w:eastAsia="en-AU"/>
        </w:rPr>
        <w:fldChar w:fldCharType="end"/>
      </w:r>
      <w:r w:rsidR="007342B0">
        <w:rPr>
          <w:lang w:eastAsia="en-AU"/>
        </w:rPr>
        <w:t>).</w:t>
      </w:r>
    </w:p>
    <w:p w14:paraId="5BB7552E" w14:textId="7FDC2C3F" w:rsidR="00C471B3" w:rsidRDefault="00C471B3" w:rsidP="00C471B3">
      <w:pPr>
        <w:pStyle w:val="Paragraph"/>
        <w:rPr>
          <w:lang w:eastAsia="en-AU"/>
        </w:rPr>
      </w:pPr>
      <w:r w:rsidRPr="0081080E">
        <w:rPr>
          <w:lang w:eastAsia="en-AU"/>
        </w:rPr>
        <w:t>However, high levels of referral uptake were evident, with 12/20 (60.0%) of those who were referred to their STCA subsequently contacting their STCA (</w:t>
      </w:r>
      <w:r w:rsidR="0081080E" w:rsidRPr="00B77B94">
        <w:rPr>
          <w:rStyle w:val="Emphasis"/>
        </w:rPr>
        <w:fldChar w:fldCharType="begin"/>
      </w:r>
      <w:r w:rsidR="0081080E" w:rsidRPr="00B77B94">
        <w:rPr>
          <w:rStyle w:val="Emphasis"/>
        </w:rPr>
        <w:instrText xml:space="preserve"> REF _Ref463006007 \h </w:instrText>
      </w:r>
      <w:r w:rsidR="00B77B94">
        <w:rPr>
          <w:rStyle w:val="Emphasis"/>
        </w:rPr>
        <w:instrText xml:space="preserve"> \* MERGEFORMAT </w:instrText>
      </w:r>
      <w:r w:rsidR="0081080E" w:rsidRPr="00B77B94">
        <w:rPr>
          <w:rStyle w:val="Emphasis"/>
        </w:rPr>
      </w:r>
      <w:r w:rsidR="0081080E" w:rsidRPr="00B77B94">
        <w:rPr>
          <w:rStyle w:val="Emphasis"/>
        </w:rPr>
        <w:fldChar w:fldCharType="separate"/>
      </w:r>
      <w:r w:rsidR="00487073" w:rsidRPr="00487073">
        <w:rPr>
          <w:rStyle w:val="Emphasis"/>
        </w:rPr>
        <w:t>Table 6</w:t>
      </w:r>
      <w:r w:rsidR="00487073" w:rsidRPr="00487073">
        <w:rPr>
          <w:rStyle w:val="Emphasis"/>
        </w:rPr>
        <w:noBreakHyphen/>
        <w:t>7</w:t>
      </w:r>
      <w:r w:rsidR="0081080E" w:rsidRPr="00B77B94">
        <w:rPr>
          <w:rStyle w:val="Emphasis"/>
        </w:rPr>
        <w:fldChar w:fldCharType="end"/>
      </w:r>
      <w:r w:rsidR="00757B05" w:rsidRPr="00B77B94">
        <w:rPr>
          <w:rStyle w:val="Emphasis"/>
        </w:rPr>
        <w:t>)</w:t>
      </w:r>
      <w:r w:rsidR="00757B05" w:rsidRPr="0081080E">
        <w:rPr>
          <w:lang w:eastAsia="en-AU"/>
        </w:rPr>
        <w:t xml:space="preserve"> and 7</w:t>
      </w:r>
      <w:r w:rsidRPr="0081080E">
        <w:rPr>
          <w:lang w:eastAsia="en-AU"/>
        </w:rPr>
        <w:t>/9 (</w:t>
      </w:r>
      <w:r w:rsidR="00757B05" w:rsidRPr="0081080E">
        <w:rPr>
          <w:lang w:eastAsia="en-AU"/>
        </w:rPr>
        <w:t>77.7</w:t>
      </w:r>
      <w:r w:rsidRPr="0081080E">
        <w:rPr>
          <w:lang w:eastAsia="en-AU"/>
        </w:rPr>
        <w:t>%) of those referred to another service contacting that service (</w:t>
      </w:r>
      <w:r w:rsidR="0081080E" w:rsidRPr="00B77B94">
        <w:rPr>
          <w:rStyle w:val="Emphasis"/>
        </w:rPr>
        <w:fldChar w:fldCharType="begin"/>
      </w:r>
      <w:r w:rsidR="0081080E" w:rsidRPr="00B77B94">
        <w:rPr>
          <w:rStyle w:val="Emphasis"/>
        </w:rPr>
        <w:instrText xml:space="preserve"> REF _Ref463006019 \h </w:instrText>
      </w:r>
      <w:r w:rsidR="00B77B94">
        <w:rPr>
          <w:rStyle w:val="Emphasis"/>
        </w:rPr>
        <w:instrText xml:space="preserve"> \* MERGEFORMAT </w:instrText>
      </w:r>
      <w:r w:rsidR="0081080E" w:rsidRPr="00B77B94">
        <w:rPr>
          <w:rStyle w:val="Emphasis"/>
        </w:rPr>
      </w:r>
      <w:r w:rsidR="0081080E" w:rsidRPr="00B77B94">
        <w:rPr>
          <w:rStyle w:val="Emphasis"/>
        </w:rPr>
        <w:fldChar w:fldCharType="separate"/>
      </w:r>
      <w:r w:rsidR="00487073" w:rsidRPr="00487073">
        <w:rPr>
          <w:rStyle w:val="Emphasis"/>
        </w:rPr>
        <w:t>Table 6</w:t>
      </w:r>
      <w:r w:rsidR="00487073" w:rsidRPr="00487073">
        <w:rPr>
          <w:rStyle w:val="Emphasis"/>
        </w:rPr>
        <w:noBreakHyphen/>
        <w:t>8</w:t>
      </w:r>
      <w:r w:rsidR="0081080E" w:rsidRPr="00B77B94">
        <w:rPr>
          <w:rStyle w:val="Emphasis"/>
        </w:rPr>
        <w:fldChar w:fldCharType="end"/>
      </w:r>
      <w:r w:rsidRPr="00B77B94">
        <w:rPr>
          <w:rStyle w:val="Emphasis"/>
        </w:rPr>
        <w:t>)</w:t>
      </w:r>
      <w:r w:rsidR="00E461F7">
        <w:rPr>
          <w:rStyle w:val="Emphasis"/>
        </w:rPr>
        <w:t>.</w:t>
      </w:r>
      <w:r>
        <w:rPr>
          <w:lang w:eastAsia="en-AU"/>
        </w:rPr>
        <w:t xml:space="preserve"> </w:t>
      </w:r>
    </w:p>
    <w:p w14:paraId="3905C72E" w14:textId="3E825258" w:rsidR="005379F6" w:rsidRPr="005379F6" w:rsidRDefault="005379F6" w:rsidP="005379F6">
      <w:pPr>
        <w:pStyle w:val="Caption"/>
      </w:pPr>
      <w:bookmarkStart w:id="162" w:name="_Ref463005971"/>
      <w:bookmarkStart w:id="163" w:name="_Toc490481670"/>
      <w:r w:rsidRPr="00B43607">
        <w:t xml:space="preserve">Table </w:t>
      </w:r>
      <w:r w:rsidR="00644B63">
        <w:fldChar w:fldCharType="begin"/>
      </w:r>
      <w:r w:rsidR="00644B63">
        <w:instrText xml:space="preserve"> STYLEREF 1 \s </w:instrText>
      </w:r>
      <w:r w:rsidR="00644B63">
        <w:fldChar w:fldCharType="separate"/>
      </w:r>
      <w:r w:rsidR="00487073">
        <w:rPr>
          <w:noProof/>
        </w:rPr>
        <w:t>6</w:t>
      </w:r>
      <w:r w:rsidR="00644B63">
        <w:fldChar w:fldCharType="end"/>
      </w:r>
      <w:r w:rsidR="00644B63">
        <w:noBreakHyphen/>
      </w:r>
      <w:r w:rsidR="00644B63">
        <w:fldChar w:fldCharType="begin"/>
      </w:r>
      <w:r w:rsidR="00644B63">
        <w:instrText xml:space="preserve"> SEQ Table \* ARABIC \s 1 </w:instrText>
      </w:r>
      <w:r w:rsidR="00644B63">
        <w:fldChar w:fldCharType="separate"/>
      </w:r>
      <w:r w:rsidR="00487073">
        <w:rPr>
          <w:noProof/>
        </w:rPr>
        <w:t>5</w:t>
      </w:r>
      <w:r w:rsidR="00644B63">
        <w:fldChar w:fldCharType="end"/>
      </w:r>
      <w:bookmarkEnd w:id="162"/>
      <w:r w:rsidR="00E07D8E">
        <w:t>:</w:t>
      </w:r>
      <w:r w:rsidR="00E07D8E">
        <w:tab/>
      </w:r>
      <w:r w:rsidR="0081080E">
        <w:t xml:space="preserve">Referral of </w:t>
      </w:r>
      <w:r w:rsidR="006C1F0D">
        <w:t>parental</w:t>
      </w:r>
      <w:r w:rsidR="0081080E">
        <w:t xml:space="preserve"> respondents to STCA by IAA</w:t>
      </w:r>
      <w:bookmarkEnd w:id="163"/>
    </w:p>
    <w:tbl>
      <w:tblPr>
        <w:tblW w:w="9071" w:type="dxa"/>
        <w:tblInd w:w="108"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CellMar>
          <w:left w:w="0" w:type="dxa"/>
          <w:right w:w="0" w:type="dxa"/>
        </w:tblCellMar>
        <w:tblLook w:val="04A0" w:firstRow="1" w:lastRow="0" w:firstColumn="1" w:lastColumn="0" w:noHBand="0" w:noVBand="1"/>
      </w:tblPr>
      <w:tblGrid>
        <w:gridCol w:w="1701"/>
        <w:gridCol w:w="567"/>
        <w:gridCol w:w="907"/>
        <w:gridCol w:w="567"/>
        <w:gridCol w:w="907"/>
        <w:gridCol w:w="567"/>
        <w:gridCol w:w="907"/>
        <w:gridCol w:w="567"/>
        <w:gridCol w:w="907"/>
        <w:gridCol w:w="567"/>
        <w:gridCol w:w="907"/>
      </w:tblGrid>
      <w:tr w:rsidR="008722D8" w:rsidRPr="00400687" w14:paraId="5B02D4DD" w14:textId="77777777" w:rsidTr="008722D8">
        <w:trPr>
          <w:tblHeader/>
        </w:trPr>
        <w:tc>
          <w:tcPr>
            <w:tcW w:w="1701" w:type="dxa"/>
            <w:vMerge w:val="restart"/>
            <w:shd w:val="clear" w:color="auto" w:fill="0079C1" w:themeFill="text2"/>
            <w:tcMar>
              <w:top w:w="0" w:type="dxa"/>
              <w:left w:w="108" w:type="dxa"/>
              <w:bottom w:w="0" w:type="dxa"/>
              <w:right w:w="108" w:type="dxa"/>
            </w:tcMar>
            <w:vAlign w:val="center"/>
            <w:hideMark/>
          </w:tcPr>
          <w:p w14:paraId="2A1A5488" w14:textId="77777777" w:rsidR="008722D8" w:rsidRPr="00400687" w:rsidRDefault="008722D8" w:rsidP="000B434D">
            <w:pPr>
              <w:pStyle w:val="TableHeading1"/>
              <w:rPr>
                <w:sz w:val="20"/>
              </w:rPr>
            </w:pPr>
            <w:r w:rsidRPr="00400687">
              <w:rPr>
                <w:sz w:val="20"/>
              </w:rPr>
              <w:t>Referred to STCA by IAA</w:t>
            </w:r>
          </w:p>
        </w:tc>
        <w:tc>
          <w:tcPr>
            <w:tcW w:w="2948" w:type="dxa"/>
            <w:gridSpan w:val="4"/>
            <w:shd w:val="clear" w:color="auto" w:fill="0079C1" w:themeFill="text2"/>
            <w:tcMar>
              <w:top w:w="0" w:type="dxa"/>
              <w:left w:w="108" w:type="dxa"/>
              <w:bottom w:w="0" w:type="dxa"/>
              <w:right w:w="108" w:type="dxa"/>
            </w:tcMar>
            <w:vAlign w:val="center"/>
            <w:hideMark/>
          </w:tcPr>
          <w:p w14:paraId="4F29A35F" w14:textId="77777777" w:rsidR="008722D8" w:rsidRPr="00400687" w:rsidRDefault="008722D8" w:rsidP="000B434D">
            <w:pPr>
              <w:pStyle w:val="TableHeading1Centred"/>
              <w:rPr>
                <w:sz w:val="20"/>
              </w:rPr>
            </w:pPr>
            <w:r w:rsidRPr="00400687">
              <w:rPr>
                <w:sz w:val="20"/>
              </w:rPr>
              <w:t>Wanting to adopt</w:t>
            </w:r>
          </w:p>
        </w:tc>
        <w:tc>
          <w:tcPr>
            <w:tcW w:w="1474" w:type="dxa"/>
            <w:gridSpan w:val="2"/>
            <w:vMerge w:val="restart"/>
            <w:shd w:val="clear" w:color="auto" w:fill="0079C1" w:themeFill="text2"/>
            <w:tcMar>
              <w:top w:w="0" w:type="dxa"/>
              <w:left w:w="108" w:type="dxa"/>
              <w:bottom w:w="0" w:type="dxa"/>
              <w:right w:w="108" w:type="dxa"/>
            </w:tcMar>
            <w:vAlign w:val="center"/>
            <w:hideMark/>
          </w:tcPr>
          <w:p w14:paraId="0B6D55AC" w14:textId="77777777" w:rsidR="008722D8" w:rsidRPr="00400687" w:rsidRDefault="008722D8" w:rsidP="000B434D">
            <w:pPr>
              <w:pStyle w:val="TableHeading1Centred"/>
              <w:rPr>
                <w:sz w:val="20"/>
              </w:rPr>
            </w:pPr>
            <w:r w:rsidRPr="00400687">
              <w:rPr>
                <w:sz w:val="20"/>
              </w:rPr>
              <w:t>Post adoption</w:t>
            </w:r>
          </w:p>
        </w:tc>
        <w:tc>
          <w:tcPr>
            <w:tcW w:w="1474" w:type="dxa"/>
            <w:gridSpan w:val="2"/>
            <w:vMerge w:val="restart"/>
            <w:shd w:val="clear" w:color="auto" w:fill="0079C1" w:themeFill="text2"/>
            <w:tcMar>
              <w:top w:w="0" w:type="dxa"/>
              <w:left w:w="108" w:type="dxa"/>
              <w:bottom w:w="0" w:type="dxa"/>
              <w:right w:w="108" w:type="dxa"/>
            </w:tcMar>
            <w:vAlign w:val="center"/>
            <w:hideMark/>
          </w:tcPr>
          <w:p w14:paraId="7C7C5902" w14:textId="77777777" w:rsidR="008722D8" w:rsidRPr="00400687" w:rsidRDefault="008722D8" w:rsidP="000B434D">
            <w:pPr>
              <w:pStyle w:val="TableHeading1Centred"/>
              <w:rPr>
                <w:sz w:val="20"/>
              </w:rPr>
            </w:pPr>
            <w:r w:rsidRPr="00400687">
              <w:rPr>
                <w:sz w:val="20"/>
              </w:rPr>
              <w:t>Did not continue</w:t>
            </w:r>
          </w:p>
        </w:tc>
        <w:tc>
          <w:tcPr>
            <w:tcW w:w="1474" w:type="dxa"/>
            <w:gridSpan w:val="2"/>
            <w:vMerge w:val="restart"/>
            <w:shd w:val="clear" w:color="auto" w:fill="0079C1" w:themeFill="text2"/>
            <w:tcMar>
              <w:top w:w="0" w:type="dxa"/>
              <w:left w:w="108" w:type="dxa"/>
              <w:bottom w:w="0" w:type="dxa"/>
              <w:right w:w="108" w:type="dxa"/>
            </w:tcMar>
            <w:vAlign w:val="center"/>
            <w:hideMark/>
          </w:tcPr>
          <w:p w14:paraId="496FA467" w14:textId="77777777" w:rsidR="008722D8" w:rsidRPr="00400687" w:rsidRDefault="008722D8" w:rsidP="000B434D">
            <w:pPr>
              <w:pStyle w:val="TableHeading1Centred"/>
              <w:rPr>
                <w:sz w:val="20"/>
              </w:rPr>
            </w:pPr>
            <w:r w:rsidRPr="00400687">
              <w:rPr>
                <w:sz w:val="20"/>
              </w:rPr>
              <w:t>Total</w:t>
            </w:r>
          </w:p>
        </w:tc>
      </w:tr>
      <w:tr w:rsidR="008722D8" w:rsidRPr="00400687" w14:paraId="0F980A70" w14:textId="77777777" w:rsidTr="008722D8">
        <w:trPr>
          <w:tblHeader/>
        </w:trPr>
        <w:tc>
          <w:tcPr>
            <w:tcW w:w="1701" w:type="dxa"/>
            <w:vMerge/>
            <w:shd w:val="clear" w:color="auto" w:fill="0079C1" w:themeFill="text2"/>
            <w:vAlign w:val="center"/>
            <w:hideMark/>
          </w:tcPr>
          <w:p w14:paraId="16AD0D23" w14:textId="77777777" w:rsidR="008722D8" w:rsidRPr="00400687" w:rsidRDefault="008722D8" w:rsidP="000B434D">
            <w:pPr>
              <w:pStyle w:val="TableHeading1Centred"/>
              <w:rPr>
                <w:sz w:val="20"/>
              </w:rPr>
            </w:pPr>
          </w:p>
        </w:tc>
        <w:tc>
          <w:tcPr>
            <w:tcW w:w="1474" w:type="dxa"/>
            <w:gridSpan w:val="2"/>
            <w:shd w:val="clear" w:color="auto" w:fill="0079C1" w:themeFill="text2"/>
            <w:tcMar>
              <w:top w:w="0" w:type="dxa"/>
              <w:left w:w="108" w:type="dxa"/>
              <w:bottom w:w="0" w:type="dxa"/>
              <w:right w:w="108" w:type="dxa"/>
            </w:tcMar>
            <w:vAlign w:val="center"/>
            <w:hideMark/>
          </w:tcPr>
          <w:p w14:paraId="07DDABF2" w14:textId="77777777" w:rsidR="008722D8" w:rsidRPr="00400687" w:rsidRDefault="008722D8" w:rsidP="000B434D">
            <w:pPr>
              <w:pStyle w:val="TableHeading1Centred"/>
              <w:rPr>
                <w:sz w:val="20"/>
              </w:rPr>
            </w:pPr>
            <w:r w:rsidRPr="00400687">
              <w:rPr>
                <w:sz w:val="20"/>
              </w:rPr>
              <w:t>First time</w:t>
            </w:r>
          </w:p>
        </w:tc>
        <w:tc>
          <w:tcPr>
            <w:tcW w:w="1474" w:type="dxa"/>
            <w:gridSpan w:val="2"/>
            <w:shd w:val="clear" w:color="auto" w:fill="0079C1" w:themeFill="text2"/>
            <w:tcMar>
              <w:top w:w="0" w:type="dxa"/>
              <w:left w:w="108" w:type="dxa"/>
              <w:bottom w:w="0" w:type="dxa"/>
              <w:right w:w="108" w:type="dxa"/>
            </w:tcMar>
            <w:vAlign w:val="center"/>
            <w:hideMark/>
          </w:tcPr>
          <w:p w14:paraId="5E1A072E" w14:textId="77777777" w:rsidR="008722D8" w:rsidRPr="00400687" w:rsidRDefault="008722D8" w:rsidP="000B434D">
            <w:pPr>
              <w:pStyle w:val="TableHeading1Centred"/>
              <w:rPr>
                <w:sz w:val="20"/>
              </w:rPr>
            </w:pPr>
            <w:r w:rsidRPr="00400687">
              <w:rPr>
                <w:sz w:val="20"/>
              </w:rPr>
              <w:t>Repeat</w:t>
            </w:r>
          </w:p>
        </w:tc>
        <w:tc>
          <w:tcPr>
            <w:tcW w:w="1474" w:type="dxa"/>
            <w:gridSpan w:val="2"/>
            <w:vMerge/>
            <w:shd w:val="clear" w:color="auto" w:fill="0079C1" w:themeFill="text2"/>
            <w:vAlign w:val="center"/>
            <w:hideMark/>
          </w:tcPr>
          <w:p w14:paraId="27924641" w14:textId="77777777" w:rsidR="008722D8" w:rsidRPr="00400687" w:rsidRDefault="008722D8" w:rsidP="000B434D">
            <w:pPr>
              <w:pStyle w:val="TableHeading1Centred"/>
              <w:rPr>
                <w:sz w:val="20"/>
              </w:rPr>
            </w:pPr>
          </w:p>
        </w:tc>
        <w:tc>
          <w:tcPr>
            <w:tcW w:w="1474" w:type="dxa"/>
            <w:gridSpan w:val="2"/>
            <w:vMerge/>
            <w:shd w:val="clear" w:color="auto" w:fill="0079C1" w:themeFill="text2"/>
            <w:vAlign w:val="center"/>
            <w:hideMark/>
          </w:tcPr>
          <w:p w14:paraId="319DFD96" w14:textId="77777777" w:rsidR="008722D8" w:rsidRPr="00400687" w:rsidRDefault="008722D8" w:rsidP="000B434D">
            <w:pPr>
              <w:pStyle w:val="TableHeading1Centred"/>
              <w:rPr>
                <w:sz w:val="20"/>
              </w:rPr>
            </w:pPr>
          </w:p>
        </w:tc>
        <w:tc>
          <w:tcPr>
            <w:tcW w:w="1474" w:type="dxa"/>
            <w:gridSpan w:val="2"/>
            <w:vMerge/>
            <w:shd w:val="clear" w:color="auto" w:fill="0079C1" w:themeFill="text2"/>
            <w:vAlign w:val="center"/>
            <w:hideMark/>
          </w:tcPr>
          <w:p w14:paraId="15163265" w14:textId="77777777" w:rsidR="008722D8" w:rsidRPr="00400687" w:rsidRDefault="008722D8" w:rsidP="000B434D">
            <w:pPr>
              <w:pStyle w:val="TableHeading1Centred"/>
              <w:rPr>
                <w:sz w:val="20"/>
              </w:rPr>
            </w:pPr>
          </w:p>
        </w:tc>
      </w:tr>
      <w:tr w:rsidR="00FC6DAA" w:rsidRPr="00400687" w14:paraId="4F750FDC" w14:textId="77777777" w:rsidTr="008722D8">
        <w:trPr>
          <w:tblHeader/>
        </w:trPr>
        <w:tc>
          <w:tcPr>
            <w:tcW w:w="1701" w:type="dxa"/>
            <w:vMerge/>
            <w:shd w:val="clear" w:color="auto" w:fill="0079C1" w:themeFill="text2"/>
            <w:vAlign w:val="center"/>
            <w:hideMark/>
          </w:tcPr>
          <w:p w14:paraId="56D51193" w14:textId="77777777" w:rsidR="00C471B3" w:rsidRPr="00400687" w:rsidRDefault="00C471B3" w:rsidP="000B434D">
            <w:pPr>
              <w:pStyle w:val="TableHeading1Centred"/>
              <w:rPr>
                <w:sz w:val="20"/>
              </w:rPr>
            </w:pPr>
          </w:p>
        </w:tc>
        <w:tc>
          <w:tcPr>
            <w:tcW w:w="567" w:type="dxa"/>
            <w:shd w:val="clear" w:color="auto" w:fill="0079C1" w:themeFill="text2"/>
            <w:tcMar>
              <w:top w:w="0" w:type="dxa"/>
              <w:left w:w="108" w:type="dxa"/>
              <w:bottom w:w="0" w:type="dxa"/>
              <w:right w:w="108" w:type="dxa"/>
            </w:tcMar>
            <w:vAlign w:val="center"/>
            <w:hideMark/>
          </w:tcPr>
          <w:p w14:paraId="471018A8" w14:textId="77777777" w:rsidR="00C471B3" w:rsidRPr="00400687" w:rsidRDefault="00C471B3" w:rsidP="000B434D">
            <w:pPr>
              <w:pStyle w:val="TableHeading1Centred"/>
              <w:rPr>
                <w:sz w:val="20"/>
              </w:rPr>
            </w:pPr>
            <w:r w:rsidRPr="00400687">
              <w:rPr>
                <w:sz w:val="20"/>
              </w:rPr>
              <w:t>n</w:t>
            </w:r>
          </w:p>
        </w:tc>
        <w:tc>
          <w:tcPr>
            <w:tcW w:w="907" w:type="dxa"/>
            <w:shd w:val="clear" w:color="auto" w:fill="0079C1" w:themeFill="text2"/>
            <w:tcMar>
              <w:top w:w="0" w:type="dxa"/>
              <w:left w:w="108" w:type="dxa"/>
              <w:bottom w:w="0" w:type="dxa"/>
              <w:right w:w="108" w:type="dxa"/>
            </w:tcMar>
            <w:vAlign w:val="center"/>
            <w:hideMark/>
          </w:tcPr>
          <w:p w14:paraId="4F8EC038" w14:textId="77777777" w:rsidR="00C471B3" w:rsidRPr="00400687" w:rsidRDefault="00C471B3" w:rsidP="000B434D">
            <w:pPr>
              <w:pStyle w:val="TableHeading1Centred"/>
              <w:rPr>
                <w:sz w:val="20"/>
              </w:rPr>
            </w:pPr>
            <w:r w:rsidRPr="00400687">
              <w:rPr>
                <w:sz w:val="20"/>
              </w:rPr>
              <w:t>%</w:t>
            </w:r>
          </w:p>
        </w:tc>
        <w:tc>
          <w:tcPr>
            <w:tcW w:w="567" w:type="dxa"/>
            <w:shd w:val="clear" w:color="auto" w:fill="0079C1" w:themeFill="text2"/>
            <w:tcMar>
              <w:top w:w="0" w:type="dxa"/>
              <w:left w:w="108" w:type="dxa"/>
              <w:bottom w:w="0" w:type="dxa"/>
              <w:right w:w="108" w:type="dxa"/>
            </w:tcMar>
            <w:vAlign w:val="center"/>
            <w:hideMark/>
          </w:tcPr>
          <w:p w14:paraId="3271005B" w14:textId="77777777" w:rsidR="00C471B3" w:rsidRPr="00400687" w:rsidRDefault="00C471B3" w:rsidP="000B434D">
            <w:pPr>
              <w:pStyle w:val="TableHeading1Centred"/>
              <w:rPr>
                <w:sz w:val="20"/>
              </w:rPr>
            </w:pPr>
            <w:r w:rsidRPr="00400687">
              <w:rPr>
                <w:sz w:val="20"/>
              </w:rPr>
              <w:t>n</w:t>
            </w:r>
          </w:p>
        </w:tc>
        <w:tc>
          <w:tcPr>
            <w:tcW w:w="907" w:type="dxa"/>
            <w:shd w:val="clear" w:color="auto" w:fill="0079C1" w:themeFill="text2"/>
            <w:tcMar>
              <w:top w:w="0" w:type="dxa"/>
              <w:left w:w="108" w:type="dxa"/>
              <w:bottom w:w="0" w:type="dxa"/>
              <w:right w:w="108" w:type="dxa"/>
            </w:tcMar>
            <w:vAlign w:val="center"/>
            <w:hideMark/>
          </w:tcPr>
          <w:p w14:paraId="34277EFF" w14:textId="77777777" w:rsidR="00C471B3" w:rsidRPr="00400687" w:rsidRDefault="00C471B3" w:rsidP="000B434D">
            <w:pPr>
              <w:pStyle w:val="TableHeading1Centred"/>
              <w:rPr>
                <w:sz w:val="20"/>
              </w:rPr>
            </w:pPr>
            <w:r w:rsidRPr="00400687">
              <w:rPr>
                <w:sz w:val="20"/>
              </w:rPr>
              <w:t>%</w:t>
            </w:r>
          </w:p>
        </w:tc>
        <w:tc>
          <w:tcPr>
            <w:tcW w:w="567" w:type="dxa"/>
            <w:shd w:val="clear" w:color="auto" w:fill="0079C1" w:themeFill="text2"/>
            <w:tcMar>
              <w:top w:w="0" w:type="dxa"/>
              <w:left w:w="108" w:type="dxa"/>
              <w:bottom w:w="0" w:type="dxa"/>
              <w:right w:w="108" w:type="dxa"/>
            </w:tcMar>
            <w:vAlign w:val="center"/>
            <w:hideMark/>
          </w:tcPr>
          <w:p w14:paraId="6A3FD19A" w14:textId="77777777" w:rsidR="00C471B3" w:rsidRPr="00400687" w:rsidRDefault="00C471B3" w:rsidP="000B434D">
            <w:pPr>
              <w:pStyle w:val="TableHeading1Centred"/>
              <w:rPr>
                <w:sz w:val="20"/>
              </w:rPr>
            </w:pPr>
            <w:r w:rsidRPr="00400687">
              <w:rPr>
                <w:sz w:val="20"/>
              </w:rPr>
              <w:t>N</w:t>
            </w:r>
          </w:p>
        </w:tc>
        <w:tc>
          <w:tcPr>
            <w:tcW w:w="907" w:type="dxa"/>
            <w:shd w:val="clear" w:color="auto" w:fill="0079C1" w:themeFill="text2"/>
            <w:tcMar>
              <w:top w:w="0" w:type="dxa"/>
              <w:left w:w="108" w:type="dxa"/>
              <w:bottom w:w="0" w:type="dxa"/>
              <w:right w:w="108" w:type="dxa"/>
            </w:tcMar>
            <w:vAlign w:val="center"/>
            <w:hideMark/>
          </w:tcPr>
          <w:p w14:paraId="2D590066" w14:textId="77777777" w:rsidR="00C471B3" w:rsidRPr="00400687" w:rsidRDefault="00C471B3" w:rsidP="000B434D">
            <w:pPr>
              <w:pStyle w:val="TableHeading1Centred"/>
              <w:rPr>
                <w:sz w:val="20"/>
              </w:rPr>
            </w:pPr>
            <w:r w:rsidRPr="00400687">
              <w:rPr>
                <w:sz w:val="20"/>
              </w:rPr>
              <w:t>%</w:t>
            </w:r>
          </w:p>
        </w:tc>
        <w:tc>
          <w:tcPr>
            <w:tcW w:w="567" w:type="dxa"/>
            <w:shd w:val="clear" w:color="auto" w:fill="0079C1" w:themeFill="text2"/>
            <w:tcMar>
              <w:top w:w="0" w:type="dxa"/>
              <w:left w:w="108" w:type="dxa"/>
              <w:bottom w:w="0" w:type="dxa"/>
              <w:right w:w="108" w:type="dxa"/>
            </w:tcMar>
            <w:vAlign w:val="center"/>
            <w:hideMark/>
          </w:tcPr>
          <w:p w14:paraId="4A7121C5" w14:textId="77777777" w:rsidR="00C471B3" w:rsidRPr="00400687" w:rsidRDefault="00C471B3" w:rsidP="000B434D">
            <w:pPr>
              <w:pStyle w:val="TableHeading1Centred"/>
              <w:rPr>
                <w:sz w:val="20"/>
              </w:rPr>
            </w:pPr>
            <w:r w:rsidRPr="00400687">
              <w:rPr>
                <w:sz w:val="20"/>
              </w:rPr>
              <w:t>n</w:t>
            </w:r>
          </w:p>
        </w:tc>
        <w:tc>
          <w:tcPr>
            <w:tcW w:w="907" w:type="dxa"/>
            <w:shd w:val="clear" w:color="auto" w:fill="0079C1" w:themeFill="text2"/>
            <w:tcMar>
              <w:top w:w="0" w:type="dxa"/>
              <w:left w:w="108" w:type="dxa"/>
              <w:bottom w:w="0" w:type="dxa"/>
              <w:right w:w="108" w:type="dxa"/>
            </w:tcMar>
            <w:vAlign w:val="center"/>
            <w:hideMark/>
          </w:tcPr>
          <w:p w14:paraId="71295ECD" w14:textId="77777777" w:rsidR="00C471B3" w:rsidRPr="00400687" w:rsidRDefault="00C471B3" w:rsidP="000B434D">
            <w:pPr>
              <w:pStyle w:val="TableHeading1Centred"/>
              <w:rPr>
                <w:sz w:val="20"/>
              </w:rPr>
            </w:pPr>
            <w:r w:rsidRPr="00400687">
              <w:rPr>
                <w:sz w:val="20"/>
              </w:rPr>
              <w:t>%</w:t>
            </w:r>
          </w:p>
        </w:tc>
        <w:tc>
          <w:tcPr>
            <w:tcW w:w="567" w:type="dxa"/>
            <w:shd w:val="clear" w:color="auto" w:fill="0079C1" w:themeFill="text2"/>
            <w:tcMar>
              <w:top w:w="0" w:type="dxa"/>
              <w:left w:w="108" w:type="dxa"/>
              <w:bottom w:w="0" w:type="dxa"/>
              <w:right w:w="108" w:type="dxa"/>
            </w:tcMar>
            <w:vAlign w:val="center"/>
            <w:hideMark/>
          </w:tcPr>
          <w:p w14:paraId="5B26CF50" w14:textId="77777777" w:rsidR="00C471B3" w:rsidRPr="00400687" w:rsidRDefault="00C471B3" w:rsidP="000B434D">
            <w:pPr>
              <w:pStyle w:val="TableHeading1Centred"/>
              <w:rPr>
                <w:sz w:val="20"/>
              </w:rPr>
            </w:pPr>
            <w:r w:rsidRPr="00400687">
              <w:rPr>
                <w:sz w:val="20"/>
              </w:rPr>
              <w:t>n</w:t>
            </w:r>
          </w:p>
        </w:tc>
        <w:tc>
          <w:tcPr>
            <w:tcW w:w="907" w:type="dxa"/>
            <w:shd w:val="clear" w:color="auto" w:fill="0079C1" w:themeFill="text2"/>
            <w:tcMar>
              <w:top w:w="0" w:type="dxa"/>
              <w:left w:w="108" w:type="dxa"/>
              <w:bottom w:w="0" w:type="dxa"/>
              <w:right w:w="108" w:type="dxa"/>
            </w:tcMar>
            <w:vAlign w:val="center"/>
            <w:hideMark/>
          </w:tcPr>
          <w:p w14:paraId="7AEC1F2E" w14:textId="77777777" w:rsidR="00C471B3" w:rsidRPr="00400687" w:rsidRDefault="00C471B3" w:rsidP="000B434D">
            <w:pPr>
              <w:pStyle w:val="TableHeading1Centred"/>
              <w:rPr>
                <w:sz w:val="20"/>
              </w:rPr>
            </w:pPr>
            <w:r w:rsidRPr="00400687">
              <w:rPr>
                <w:sz w:val="20"/>
              </w:rPr>
              <w:t>%</w:t>
            </w:r>
          </w:p>
        </w:tc>
      </w:tr>
      <w:tr w:rsidR="00FC6DAA" w:rsidRPr="00400687" w14:paraId="36D92282" w14:textId="77777777" w:rsidTr="00400687">
        <w:tc>
          <w:tcPr>
            <w:tcW w:w="1701" w:type="dxa"/>
            <w:tcBorders>
              <w:right w:val="single" w:sz="4" w:space="0" w:color="0079C1"/>
            </w:tcBorders>
            <w:shd w:val="clear" w:color="auto" w:fill="auto"/>
            <w:tcMar>
              <w:top w:w="0" w:type="dxa"/>
              <w:left w:w="108" w:type="dxa"/>
              <w:bottom w:w="0" w:type="dxa"/>
              <w:right w:w="108" w:type="dxa"/>
            </w:tcMar>
            <w:vAlign w:val="center"/>
            <w:hideMark/>
          </w:tcPr>
          <w:p w14:paraId="58EE5758" w14:textId="77777777" w:rsidR="00C471B3" w:rsidRPr="00400687" w:rsidRDefault="00C471B3" w:rsidP="000B434D">
            <w:pPr>
              <w:pStyle w:val="TableText"/>
              <w:rPr>
                <w:sz w:val="20"/>
                <w:szCs w:val="20"/>
              </w:rPr>
            </w:pPr>
            <w:r w:rsidRPr="00400687">
              <w:rPr>
                <w:sz w:val="20"/>
                <w:szCs w:val="20"/>
              </w:rPr>
              <w:t>Yes</w:t>
            </w:r>
          </w:p>
        </w:tc>
        <w:tc>
          <w:tcPr>
            <w:tcW w:w="567" w:type="dxa"/>
            <w:tcBorders>
              <w:left w:val="single" w:sz="4" w:space="0" w:color="0079C1"/>
            </w:tcBorders>
            <w:shd w:val="clear" w:color="auto" w:fill="auto"/>
            <w:tcMar>
              <w:top w:w="0" w:type="dxa"/>
              <w:left w:w="108" w:type="dxa"/>
              <w:bottom w:w="0" w:type="dxa"/>
              <w:right w:w="108" w:type="dxa"/>
            </w:tcMar>
            <w:vAlign w:val="center"/>
          </w:tcPr>
          <w:p w14:paraId="4A999E70" w14:textId="77777777" w:rsidR="00C471B3" w:rsidRPr="00400687" w:rsidRDefault="00C471B3" w:rsidP="000B434D">
            <w:pPr>
              <w:pStyle w:val="TableTextCentred"/>
              <w:rPr>
                <w:sz w:val="20"/>
                <w:szCs w:val="20"/>
              </w:rPr>
            </w:pPr>
            <w:r w:rsidRPr="00400687">
              <w:rPr>
                <w:sz w:val="20"/>
                <w:szCs w:val="20"/>
              </w:rPr>
              <w:t>19</w:t>
            </w:r>
          </w:p>
        </w:tc>
        <w:tc>
          <w:tcPr>
            <w:tcW w:w="907" w:type="dxa"/>
            <w:tcBorders>
              <w:right w:val="single" w:sz="4" w:space="0" w:color="0079C1"/>
            </w:tcBorders>
            <w:shd w:val="clear" w:color="auto" w:fill="auto"/>
            <w:tcMar>
              <w:top w:w="0" w:type="dxa"/>
              <w:left w:w="108" w:type="dxa"/>
              <w:bottom w:w="0" w:type="dxa"/>
              <w:right w:w="108" w:type="dxa"/>
            </w:tcMar>
            <w:vAlign w:val="center"/>
          </w:tcPr>
          <w:p w14:paraId="026015DE" w14:textId="77777777" w:rsidR="00C471B3" w:rsidRPr="00400687" w:rsidRDefault="00C471B3" w:rsidP="000B434D">
            <w:pPr>
              <w:pStyle w:val="TableTextCentred"/>
              <w:rPr>
                <w:sz w:val="20"/>
                <w:szCs w:val="20"/>
              </w:rPr>
            </w:pPr>
            <w:r w:rsidRPr="00400687">
              <w:rPr>
                <w:sz w:val="20"/>
                <w:szCs w:val="20"/>
              </w:rPr>
              <w:t>17.6%</w:t>
            </w:r>
          </w:p>
        </w:tc>
        <w:tc>
          <w:tcPr>
            <w:tcW w:w="567" w:type="dxa"/>
            <w:tcBorders>
              <w:left w:val="single" w:sz="4" w:space="0" w:color="0079C1"/>
            </w:tcBorders>
            <w:shd w:val="clear" w:color="auto" w:fill="auto"/>
            <w:tcMar>
              <w:top w:w="0" w:type="dxa"/>
              <w:left w:w="108" w:type="dxa"/>
              <w:bottom w:w="0" w:type="dxa"/>
              <w:right w:w="108" w:type="dxa"/>
            </w:tcMar>
            <w:vAlign w:val="center"/>
          </w:tcPr>
          <w:p w14:paraId="3B339DB2" w14:textId="018D1B3B" w:rsidR="00C471B3" w:rsidRPr="00400687" w:rsidRDefault="0081080E" w:rsidP="000B434D">
            <w:pPr>
              <w:pStyle w:val="TableTextCentred"/>
              <w:rPr>
                <w:sz w:val="20"/>
                <w:szCs w:val="20"/>
              </w:rPr>
            </w:pPr>
            <w:r w:rsidRPr="00400687">
              <w:rPr>
                <w:sz w:val="20"/>
                <w:szCs w:val="20"/>
              </w:rPr>
              <w:t>-</w:t>
            </w:r>
          </w:p>
        </w:tc>
        <w:tc>
          <w:tcPr>
            <w:tcW w:w="907" w:type="dxa"/>
            <w:tcBorders>
              <w:right w:val="single" w:sz="4" w:space="0" w:color="0079C1"/>
            </w:tcBorders>
            <w:shd w:val="clear" w:color="auto" w:fill="auto"/>
            <w:tcMar>
              <w:top w:w="0" w:type="dxa"/>
              <w:left w:w="108" w:type="dxa"/>
              <w:bottom w:w="0" w:type="dxa"/>
              <w:right w:w="108" w:type="dxa"/>
            </w:tcMar>
            <w:vAlign w:val="center"/>
          </w:tcPr>
          <w:p w14:paraId="46358A69" w14:textId="1D5A527E" w:rsidR="00C471B3" w:rsidRPr="00400687" w:rsidRDefault="0081080E" w:rsidP="000B434D">
            <w:pPr>
              <w:pStyle w:val="TableTextCentred"/>
              <w:rPr>
                <w:sz w:val="20"/>
                <w:szCs w:val="20"/>
              </w:rPr>
            </w:pPr>
            <w:r w:rsidRPr="00400687">
              <w:rPr>
                <w:sz w:val="20"/>
                <w:szCs w:val="20"/>
              </w:rPr>
              <w:t>-</w:t>
            </w:r>
          </w:p>
        </w:tc>
        <w:tc>
          <w:tcPr>
            <w:tcW w:w="567" w:type="dxa"/>
            <w:tcBorders>
              <w:left w:val="single" w:sz="4" w:space="0" w:color="0079C1"/>
            </w:tcBorders>
            <w:shd w:val="clear" w:color="auto" w:fill="auto"/>
            <w:tcMar>
              <w:top w:w="0" w:type="dxa"/>
              <w:left w:w="108" w:type="dxa"/>
              <w:bottom w:w="0" w:type="dxa"/>
              <w:right w:w="108" w:type="dxa"/>
            </w:tcMar>
            <w:vAlign w:val="center"/>
          </w:tcPr>
          <w:p w14:paraId="0F0BB956" w14:textId="77777777" w:rsidR="00C471B3" w:rsidRPr="00400687" w:rsidRDefault="00C471B3" w:rsidP="000B434D">
            <w:pPr>
              <w:pStyle w:val="TableTextCentred"/>
              <w:rPr>
                <w:sz w:val="20"/>
                <w:szCs w:val="20"/>
              </w:rPr>
            </w:pPr>
            <w:r w:rsidRPr="00400687">
              <w:rPr>
                <w:sz w:val="20"/>
                <w:szCs w:val="20"/>
              </w:rPr>
              <w:t>1</w:t>
            </w:r>
          </w:p>
        </w:tc>
        <w:tc>
          <w:tcPr>
            <w:tcW w:w="907" w:type="dxa"/>
            <w:tcBorders>
              <w:right w:val="single" w:sz="4" w:space="0" w:color="0079C1"/>
            </w:tcBorders>
            <w:shd w:val="clear" w:color="auto" w:fill="auto"/>
            <w:tcMar>
              <w:top w:w="0" w:type="dxa"/>
              <w:left w:w="108" w:type="dxa"/>
              <w:bottom w:w="0" w:type="dxa"/>
              <w:right w:w="108" w:type="dxa"/>
            </w:tcMar>
            <w:vAlign w:val="center"/>
          </w:tcPr>
          <w:p w14:paraId="4FD1CDE4" w14:textId="77777777" w:rsidR="00C471B3" w:rsidRPr="00400687" w:rsidRDefault="00C471B3" w:rsidP="000B434D">
            <w:pPr>
              <w:pStyle w:val="TableTextCentred"/>
              <w:rPr>
                <w:sz w:val="20"/>
                <w:szCs w:val="20"/>
              </w:rPr>
            </w:pPr>
            <w:r w:rsidRPr="00400687">
              <w:rPr>
                <w:sz w:val="20"/>
                <w:szCs w:val="20"/>
              </w:rPr>
              <w:t>1.4%</w:t>
            </w:r>
          </w:p>
        </w:tc>
        <w:tc>
          <w:tcPr>
            <w:tcW w:w="567" w:type="dxa"/>
            <w:tcBorders>
              <w:left w:val="single" w:sz="4" w:space="0" w:color="0079C1"/>
            </w:tcBorders>
            <w:shd w:val="clear" w:color="auto" w:fill="auto"/>
            <w:tcMar>
              <w:top w:w="0" w:type="dxa"/>
              <w:left w:w="108" w:type="dxa"/>
              <w:bottom w:w="0" w:type="dxa"/>
              <w:right w:w="108" w:type="dxa"/>
            </w:tcMar>
            <w:vAlign w:val="center"/>
          </w:tcPr>
          <w:p w14:paraId="3ED47FC4" w14:textId="2D1B7E1F" w:rsidR="00C471B3" w:rsidRPr="00400687" w:rsidRDefault="0081080E" w:rsidP="000B434D">
            <w:pPr>
              <w:pStyle w:val="TableTextCentred"/>
              <w:rPr>
                <w:sz w:val="20"/>
                <w:szCs w:val="20"/>
              </w:rPr>
            </w:pPr>
            <w:r w:rsidRPr="00400687">
              <w:rPr>
                <w:sz w:val="20"/>
                <w:szCs w:val="20"/>
              </w:rPr>
              <w:t>-</w:t>
            </w:r>
          </w:p>
        </w:tc>
        <w:tc>
          <w:tcPr>
            <w:tcW w:w="907" w:type="dxa"/>
            <w:tcBorders>
              <w:right w:val="single" w:sz="4" w:space="0" w:color="0079C1"/>
            </w:tcBorders>
            <w:shd w:val="clear" w:color="auto" w:fill="auto"/>
            <w:tcMar>
              <w:top w:w="0" w:type="dxa"/>
              <w:left w:w="108" w:type="dxa"/>
              <w:bottom w:w="0" w:type="dxa"/>
              <w:right w:w="108" w:type="dxa"/>
            </w:tcMar>
            <w:vAlign w:val="center"/>
          </w:tcPr>
          <w:p w14:paraId="7936572B" w14:textId="41703D3A" w:rsidR="00C471B3" w:rsidRPr="00400687" w:rsidRDefault="0081080E" w:rsidP="000B434D">
            <w:pPr>
              <w:pStyle w:val="TableTextCentred"/>
              <w:rPr>
                <w:sz w:val="20"/>
                <w:szCs w:val="20"/>
              </w:rPr>
            </w:pPr>
            <w:r w:rsidRPr="00400687">
              <w:rPr>
                <w:sz w:val="20"/>
                <w:szCs w:val="20"/>
              </w:rPr>
              <w:t>-</w:t>
            </w:r>
          </w:p>
        </w:tc>
        <w:tc>
          <w:tcPr>
            <w:tcW w:w="567" w:type="dxa"/>
            <w:tcBorders>
              <w:left w:val="single" w:sz="4" w:space="0" w:color="0079C1"/>
            </w:tcBorders>
            <w:shd w:val="clear" w:color="auto" w:fill="auto"/>
            <w:tcMar>
              <w:top w:w="0" w:type="dxa"/>
              <w:left w:w="108" w:type="dxa"/>
              <w:bottom w:w="0" w:type="dxa"/>
              <w:right w:w="108" w:type="dxa"/>
            </w:tcMar>
            <w:vAlign w:val="center"/>
          </w:tcPr>
          <w:p w14:paraId="34BB0C13" w14:textId="77777777" w:rsidR="00C471B3" w:rsidRPr="00400687" w:rsidRDefault="00C471B3" w:rsidP="000B434D">
            <w:pPr>
              <w:pStyle w:val="TableTextCentred"/>
              <w:rPr>
                <w:rStyle w:val="Bold"/>
                <w:sz w:val="20"/>
                <w:szCs w:val="20"/>
              </w:rPr>
            </w:pPr>
            <w:r w:rsidRPr="00400687">
              <w:rPr>
                <w:rStyle w:val="Bold"/>
                <w:sz w:val="20"/>
                <w:szCs w:val="20"/>
              </w:rPr>
              <w:t>20</w:t>
            </w:r>
          </w:p>
        </w:tc>
        <w:tc>
          <w:tcPr>
            <w:tcW w:w="907" w:type="dxa"/>
            <w:shd w:val="clear" w:color="auto" w:fill="auto"/>
            <w:tcMar>
              <w:top w:w="0" w:type="dxa"/>
              <w:left w:w="108" w:type="dxa"/>
              <w:bottom w:w="0" w:type="dxa"/>
              <w:right w:w="108" w:type="dxa"/>
            </w:tcMar>
            <w:vAlign w:val="center"/>
          </w:tcPr>
          <w:p w14:paraId="06CB0DB2" w14:textId="77777777" w:rsidR="00C471B3" w:rsidRPr="00400687" w:rsidRDefault="00C471B3" w:rsidP="000B434D">
            <w:pPr>
              <w:pStyle w:val="TableTextCentred"/>
              <w:rPr>
                <w:rStyle w:val="Bold"/>
                <w:sz w:val="20"/>
                <w:szCs w:val="20"/>
              </w:rPr>
            </w:pPr>
            <w:r w:rsidRPr="00400687">
              <w:rPr>
                <w:rStyle w:val="Bold"/>
                <w:sz w:val="20"/>
                <w:szCs w:val="20"/>
              </w:rPr>
              <w:t>9.1%</w:t>
            </w:r>
          </w:p>
        </w:tc>
      </w:tr>
      <w:tr w:rsidR="00FC6DAA" w:rsidRPr="00400687" w14:paraId="20A9A31E" w14:textId="77777777" w:rsidTr="00400687">
        <w:tc>
          <w:tcPr>
            <w:tcW w:w="1701" w:type="dxa"/>
            <w:tcBorders>
              <w:right w:val="single" w:sz="4" w:space="0" w:color="0079C1"/>
            </w:tcBorders>
            <w:tcMar>
              <w:top w:w="0" w:type="dxa"/>
              <w:left w:w="108" w:type="dxa"/>
              <w:bottom w:w="0" w:type="dxa"/>
              <w:right w:w="108" w:type="dxa"/>
            </w:tcMar>
            <w:vAlign w:val="center"/>
            <w:hideMark/>
          </w:tcPr>
          <w:p w14:paraId="430D9B96" w14:textId="77777777" w:rsidR="00C471B3" w:rsidRPr="00400687" w:rsidRDefault="00C471B3" w:rsidP="000B434D">
            <w:pPr>
              <w:pStyle w:val="TableText"/>
              <w:rPr>
                <w:sz w:val="20"/>
                <w:szCs w:val="20"/>
              </w:rPr>
            </w:pPr>
            <w:r w:rsidRPr="00400687">
              <w:rPr>
                <w:sz w:val="20"/>
                <w:szCs w:val="20"/>
              </w:rPr>
              <w:t>No</w:t>
            </w:r>
          </w:p>
        </w:tc>
        <w:tc>
          <w:tcPr>
            <w:tcW w:w="567" w:type="dxa"/>
            <w:tcBorders>
              <w:left w:val="single" w:sz="4" w:space="0" w:color="0079C1"/>
            </w:tcBorders>
            <w:tcMar>
              <w:top w:w="0" w:type="dxa"/>
              <w:left w:w="108" w:type="dxa"/>
              <w:bottom w:w="0" w:type="dxa"/>
              <w:right w:w="108" w:type="dxa"/>
            </w:tcMar>
            <w:vAlign w:val="center"/>
          </w:tcPr>
          <w:p w14:paraId="7C169278" w14:textId="77777777" w:rsidR="00C471B3" w:rsidRPr="00400687" w:rsidRDefault="00C471B3" w:rsidP="000B434D">
            <w:pPr>
              <w:pStyle w:val="TableTextCentred"/>
              <w:rPr>
                <w:sz w:val="20"/>
                <w:szCs w:val="20"/>
              </w:rPr>
            </w:pPr>
            <w:r w:rsidRPr="00400687">
              <w:rPr>
                <w:sz w:val="20"/>
                <w:szCs w:val="20"/>
              </w:rPr>
              <w:t>11</w:t>
            </w:r>
          </w:p>
        </w:tc>
        <w:tc>
          <w:tcPr>
            <w:tcW w:w="907" w:type="dxa"/>
            <w:tcBorders>
              <w:right w:val="single" w:sz="4" w:space="0" w:color="0079C1"/>
            </w:tcBorders>
            <w:tcMar>
              <w:top w:w="0" w:type="dxa"/>
              <w:left w:w="108" w:type="dxa"/>
              <w:bottom w:w="0" w:type="dxa"/>
              <w:right w:w="108" w:type="dxa"/>
            </w:tcMar>
            <w:vAlign w:val="center"/>
          </w:tcPr>
          <w:p w14:paraId="08FE02A7" w14:textId="77777777" w:rsidR="00C471B3" w:rsidRPr="00400687" w:rsidRDefault="00C471B3" w:rsidP="000B434D">
            <w:pPr>
              <w:pStyle w:val="TableTextCentred"/>
              <w:rPr>
                <w:sz w:val="20"/>
                <w:szCs w:val="20"/>
              </w:rPr>
            </w:pPr>
            <w:r w:rsidRPr="00400687">
              <w:rPr>
                <w:sz w:val="20"/>
                <w:szCs w:val="20"/>
              </w:rPr>
              <w:t>10.2%</w:t>
            </w:r>
          </w:p>
        </w:tc>
        <w:tc>
          <w:tcPr>
            <w:tcW w:w="567" w:type="dxa"/>
            <w:tcBorders>
              <w:left w:val="single" w:sz="4" w:space="0" w:color="0079C1"/>
            </w:tcBorders>
            <w:tcMar>
              <w:top w:w="0" w:type="dxa"/>
              <w:left w:w="108" w:type="dxa"/>
              <w:bottom w:w="0" w:type="dxa"/>
              <w:right w:w="108" w:type="dxa"/>
            </w:tcMar>
            <w:vAlign w:val="center"/>
          </w:tcPr>
          <w:p w14:paraId="13B87A4A" w14:textId="77777777" w:rsidR="00C471B3" w:rsidRPr="00400687" w:rsidRDefault="00C471B3" w:rsidP="000B434D">
            <w:pPr>
              <w:pStyle w:val="TableTextCentred"/>
              <w:rPr>
                <w:sz w:val="20"/>
                <w:szCs w:val="20"/>
              </w:rPr>
            </w:pPr>
            <w:r w:rsidRPr="00400687">
              <w:rPr>
                <w:sz w:val="20"/>
                <w:szCs w:val="20"/>
              </w:rPr>
              <w:t>2</w:t>
            </w:r>
          </w:p>
        </w:tc>
        <w:tc>
          <w:tcPr>
            <w:tcW w:w="907" w:type="dxa"/>
            <w:tcBorders>
              <w:right w:val="single" w:sz="4" w:space="0" w:color="0079C1"/>
            </w:tcBorders>
            <w:tcMar>
              <w:top w:w="0" w:type="dxa"/>
              <w:left w:w="108" w:type="dxa"/>
              <w:bottom w:w="0" w:type="dxa"/>
              <w:right w:w="108" w:type="dxa"/>
            </w:tcMar>
            <w:vAlign w:val="center"/>
          </w:tcPr>
          <w:p w14:paraId="27383683" w14:textId="77777777" w:rsidR="00C471B3" w:rsidRPr="00400687" w:rsidRDefault="00C471B3" w:rsidP="000B434D">
            <w:pPr>
              <w:pStyle w:val="TableTextCentred"/>
              <w:rPr>
                <w:sz w:val="20"/>
                <w:szCs w:val="20"/>
              </w:rPr>
            </w:pPr>
            <w:r w:rsidRPr="00400687">
              <w:rPr>
                <w:sz w:val="20"/>
                <w:szCs w:val="20"/>
              </w:rPr>
              <w:t>10.5%</w:t>
            </w:r>
          </w:p>
        </w:tc>
        <w:tc>
          <w:tcPr>
            <w:tcW w:w="567" w:type="dxa"/>
            <w:tcBorders>
              <w:left w:val="single" w:sz="4" w:space="0" w:color="0079C1"/>
            </w:tcBorders>
            <w:tcMar>
              <w:top w:w="0" w:type="dxa"/>
              <w:left w:w="108" w:type="dxa"/>
              <w:bottom w:w="0" w:type="dxa"/>
              <w:right w:w="108" w:type="dxa"/>
            </w:tcMar>
            <w:vAlign w:val="center"/>
          </w:tcPr>
          <w:p w14:paraId="328FF9F6" w14:textId="77777777" w:rsidR="00C471B3" w:rsidRPr="00400687" w:rsidRDefault="00C471B3" w:rsidP="000B434D">
            <w:pPr>
              <w:pStyle w:val="TableTextCentred"/>
              <w:rPr>
                <w:sz w:val="20"/>
                <w:szCs w:val="20"/>
              </w:rPr>
            </w:pPr>
            <w:r w:rsidRPr="00400687">
              <w:rPr>
                <w:sz w:val="20"/>
                <w:szCs w:val="20"/>
              </w:rPr>
              <w:t>7</w:t>
            </w:r>
          </w:p>
        </w:tc>
        <w:tc>
          <w:tcPr>
            <w:tcW w:w="907" w:type="dxa"/>
            <w:tcBorders>
              <w:right w:val="single" w:sz="4" w:space="0" w:color="0079C1"/>
            </w:tcBorders>
            <w:tcMar>
              <w:top w:w="0" w:type="dxa"/>
              <w:left w:w="108" w:type="dxa"/>
              <w:bottom w:w="0" w:type="dxa"/>
              <w:right w:w="108" w:type="dxa"/>
            </w:tcMar>
            <w:vAlign w:val="center"/>
          </w:tcPr>
          <w:p w14:paraId="587518F3" w14:textId="77777777" w:rsidR="00C471B3" w:rsidRPr="00400687" w:rsidRDefault="00C471B3" w:rsidP="000B434D">
            <w:pPr>
              <w:pStyle w:val="TableTextCentred"/>
              <w:rPr>
                <w:sz w:val="20"/>
                <w:szCs w:val="20"/>
              </w:rPr>
            </w:pPr>
            <w:r w:rsidRPr="00400687">
              <w:rPr>
                <w:sz w:val="20"/>
                <w:szCs w:val="20"/>
              </w:rPr>
              <w:t>9.6%</w:t>
            </w:r>
          </w:p>
        </w:tc>
        <w:tc>
          <w:tcPr>
            <w:tcW w:w="567" w:type="dxa"/>
            <w:tcBorders>
              <w:left w:val="single" w:sz="4" w:space="0" w:color="0079C1"/>
            </w:tcBorders>
            <w:tcMar>
              <w:top w:w="0" w:type="dxa"/>
              <w:left w:w="108" w:type="dxa"/>
              <w:bottom w:w="0" w:type="dxa"/>
              <w:right w:w="108" w:type="dxa"/>
            </w:tcMar>
            <w:vAlign w:val="center"/>
          </w:tcPr>
          <w:p w14:paraId="1F4B002A" w14:textId="77777777" w:rsidR="00C471B3" w:rsidRPr="00400687" w:rsidRDefault="00C471B3" w:rsidP="000B434D">
            <w:pPr>
              <w:pStyle w:val="TableTextCentred"/>
              <w:rPr>
                <w:sz w:val="20"/>
                <w:szCs w:val="20"/>
              </w:rPr>
            </w:pPr>
            <w:r w:rsidRPr="00400687">
              <w:rPr>
                <w:sz w:val="20"/>
                <w:szCs w:val="20"/>
              </w:rPr>
              <w:t>3</w:t>
            </w:r>
          </w:p>
        </w:tc>
        <w:tc>
          <w:tcPr>
            <w:tcW w:w="907" w:type="dxa"/>
            <w:tcBorders>
              <w:right w:val="single" w:sz="4" w:space="0" w:color="0079C1"/>
            </w:tcBorders>
            <w:tcMar>
              <w:top w:w="0" w:type="dxa"/>
              <w:left w:w="108" w:type="dxa"/>
              <w:bottom w:w="0" w:type="dxa"/>
              <w:right w:w="108" w:type="dxa"/>
            </w:tcMar>
            <w:vAlign w:val="center"/>
          </w:tcPr>
          <w:p w14:paraId="1B521597" w14:textId="77777777" w:rsidR="00C471B3" w:rsidRPr="00400687" w:rsidRDefault="00C471B3" w:rsidP="000B434D">
            <w:pPr>
              <w:pStyle w:val="TableTextCentred"/>
              <w:rPr>
                <w:sz w:val="20"/>
                <w:szCs w:val="20"/>
              </w:rPr>
            </w:pPr>
            <w:r w:rsidRPr="00400687">
              <w:rPr>
                <w:sz w:val="20"/>
                <w:szCs w:val="20"/>
              </w:rPr>
              <w:t>15.0%</w:t>
            </w:r>
          </w:p>
        </w:tc>
        <w:tc>
          <w:tcPr>
            <w:tcW w:w="567" w:type="dxa"/>
            <w:tcBorders>
              <w:left w:val="single" w:sz="4" w:space="0" w:color="0079C1"/>
            </w:tcBorders>
            <w:tcMar>
              <w:top w:w="0" w:type="dxa"/>
              <w:left w:w="108" w:type="dxa"/>
              <w:bottom w:w="0" w:type="dxa"/>
              <w:right w:w="108" w:type="dxa"/>
            </w:tcMar>
            <w:vAlign w:val="center"/>
          </w:tcPr>
          <w:p w14:paraId="3712FC86" w14:textId="77777777" w:rsidR="00C471B3" w:rsidRPr="00400687" w:rsidRDefault="00C471B3" w:rsidP="000B434D">
            <w:pPr>
              <w:pStyle w:val="TableTextCentred"/>
              <w:rPr>
                <w:rStyle w:val="Bold"/>
                <w:sz w:val="20"/>
                <w:szCs w:val="20"/>
              </w:rPr>
            </w:pPr>
            <w:r w:rsidRPr="00400687">
              <w:rPr>
                <w:rStyle w:val="Bold"/>
                <w:sz w:val="20"/>
                <w:szCs w:val="20"/>
              </w:rPr>
              <w:t>23</w:t>
            </w:r>
          </w:p>
        </w:tc>
        <w:tc>
          <w:tcPr>
            <w:tcW w:w="907" w:type="dxa"/>
            <w:tcMar>
              <w:top w:w="0" w:type="dxa"/>
              <w:left w:w="108" w:type="dxa"/>
              <w:bottom w:w="0" w:type="dxa"/>
              <w:right w:w="108" w:type="dxa"/>
            </w:tcMar>
            <w:vAlign w:val="center"/>
          </w:tcPr>
          <w:p w14:paraId="6E6E8322" w14:textId="77777777" w:rsidR="00C471B3" w:rsidRPr="00400687" w:rsidRDefault="00C471B3" w:rsidP="000B434D">
            <w:pPr>
              <w:pStyle w:val="TableTextCentred"/>
              <w:rPr>
                <w:rStyle w:val="Bold"/>
                <w:sz w:val="20"/>
                <w:szCs w:val="20"/>
              </w:rPr>
            </w:pPr>
            <w:r w:rsidRPr="00400687">
              <w:rPr>
                <w:rStyle w:val="Bold"/>
                <w:sz w:val="20"/>
                <w:szCs w:val="20"/>
              </w:rPr>
              <w:t>10.5%</w:t>
            </w:r>
          </w:p>
        </w:tc>
      </w:tr>
      <w:tr w:rsidR="00FC6DAA" w:rsidRPr="00400687" w14:paraId="0EECCB6F" w14:textId="77777777" w:rsidTr="00400687">
        <w:tc>
          <w:tcPr>
            <w:tcW w:w="1701" w:type="dxa"/>
            <w:tcBorders>
              <w:bottom w:val="single" w:sz="4" w:space="0" w:color="0079C1"/>
              <w:right w:val="single" w:sz="4" w:space="0" w:color="0079C1"/>
            </w:tcBorders>
            <w:tcMar>
              <w:top w:w="0" w:type="dxa"/>
              <w:left w:w="108" w:type="dxa"/>
              <w:bottom w:w="0" w:type="dxa"/>
              <w:right w:w="108" w:type="dxa"/>
            </w:tcMar>
            <w:vAlign w:val="center"/>
            <w:hideMark/>
          </w:tcPr>
          <w:p w14:paraId="26E381CD" w14:textId="4FAE6FE9" w:rsidR="00C471B3" w:rsidRPr="00400687" w:rsidRDefault="00C471B3" w:rsidP="000B434D">
            <w:pPr>
              <w:pStyle w:val="TableText"/>
              <w:rPr>
                <w:sz w:val="20"/>
                <w:szCs w:val="20"/>
              </w:rPr>
            </w:pPr>
            <w:r w:rsidRPr="00400687">
              <w:rPr>
                <w:sz w:val="20"/>
                <w:szCs w:val="20"/>
              </w:rPr>
              <w:t>Not stated</w:t>
            </w:r>
            <w:r w:rsidR="005B2F99" w:rsidRPr="00400687">
              <w:rPr>
                <w:sz w:val="20"/>
                <w:szCs w:val="20"/>
              </w:rPr>
              <w:t xml:space="preserve">/not </w:t>
            </w:r>
            <w:r w:rsidR="00AF2A25" w:rsidRPr="00400687">
              <w:rPr>
                <w:sz w:val="20"/>
                <w:szCs w:val="20"/>
              </w:rPr>
              <w:t>applicable</w:t>
            </w:r>
          </w:p>
        </w:tc>
        <w:tc>
          <w:tcPr>
            <w:tcW w:w="567" w:type="dxa"/>
            <w:tcBorders>
              <w:left w:val="single" w:sz="4" w:space="0" w:color="0079C1"/>
              <w:bottom w:val="single" w:sz="4" w:space="0" w:color="0079C1"/>
            </w:tcBorders>
            <w:tcMar>
              <w:top w:w="0" w:type="dxa"/>
              <w:left w:w="108" w:type="dxa"/>
              <w:bottom w:w="0" w:type="dxa"/>
              <w:right w:w="108" w:type="dxa"/>
            </w:tcMar>
            <w:vAlign w:val="center"/>
          </w:tcPr>
          <w:p w14:paraId="00F76F64" w14:textId="77777777" w:rsidR="00C471B3" w:rsidRPr="00400687" w:rsidRDefault="00C471B3" w:rsidP="000B434D">
            <w:pPr>
              <w:pStyle w:val="TableTextCentred"/>
              <w:rPr>
                <w:sz w:val="20"/>
                <w:szCs w:val="20"/>
              </w:rPr>
            </w:pPr>
            <w:r w:rsidRPr="00400687">
              <w:rPr>
                <w:sz w:val="20"/>
                <w:szCs w:val="20"/>
              </w:rPr>
              <w:t>78</w:t>
            </w:r>
          </w:p>
        </w:tc>
        <w:tc>
          <w:tcPr>
            <w:tcW w:w="907" w:type="dxa"/>
            <w:tcBorders>
              <w:bottom w:val="single" w:sz="4" w:space="0" w:color="0079C1"/>
              <w:right w:val="single" w:sz="4" w:space="0" w:color="0079C1"/>
            </w:tcBorders>
            <w:tcMar>
              <w:top w:w="0" w:type="dxa"/>
              <w:left w:w="108" w:type="dxa"/>
              <w:bottom w:w="0" w:type="dxa"/>
              <w:right w:w="108" w:type="dxa"/>
            </w:tcMar>
            <w:vAlign w:val="center"/>
          </w:tcPr>
          <w:p w14:paraId="2F79019B" w14:textId="77777777" w:rsidR="00C471B3" w:rsidRPr="00400687" w:rsidRDefault="00C471B3" w:rsidP="000B434D">
            <w:pPr>
              <w:pStyle w:val="TableTextCentred"/>
              <w:rPr>
                <w:sz w:val="20"/>
                <w:szCs w:val="20"/>
              </w:rPr>
            </w:pPr>
            <w:r w:rsidRPr="00400687">
              <w:rPr>
                <w:sz w:val="20"/>
                <w:szCs w:val="20"/>
              </w:rPr>
              <w:t>72.2%</w:t>
            </w:r>
          </w:p>
        </w:tc>
        <w:tc>
          <w:tcPr>
            <w:tcW w:w="567" w:type="dxa"/>
            <w:tcBorders>
              <w:left w:val="single" w:sz="4" w:space="0" w:color="0079C1"/>
              <w:bottom w:val="single" w:sz="4" w:space="0" w:color="0079C1"/>
            </w:tcBorders>
            <w:tcMar>
              <w:top w:w="0" w:type="dxa"/>
              <w:left w:w="108" w:type="dxa"/>
              <w:bottom w:w="0" w:type="dxa"/>
              <w:right w:w="108" w:type="dxa"/>
            </w:tcMar>
            <w:vAlign w:val="center"/>
          </w:tcPr>
          <w:p w14:paraId="503F6C94" w14:textId="77777777" w:rsidR="00C471B3" w:rsidRPr="00400687" w:rsidRDefault="00C471B3" w:rsidP="000B434D">
            <w:pPr>
              <w:pStyle w:val="TableTextCentred"/>
              <w:rPr>
                <w:sz w:val="20"/>
                <w:szCs w:val="20"/>
              </w:rPr>
            </w:pPr>
            <w:r w:rsidRPr="00400687">
              <w:rPr>
                <w:sz w:val="20"/>
                <w:szCs w:val="20"/>
              </w:rPr>
              <w:t>17</w:t>
            </w:r>
          </w:p>
        </w:tc>
        <w:tc>
          <w:tcPr>
            <w:tcW w:w="907" w:type="dxa"/>
            <w:tcBorders>
              <w:bottom w:val="single" w:sz="4" w:space="0" w:color="0079C1"/>
              <w:right w:val="single" w:sz="4" w:space="0" w:color="0079C1"/>
            </w:tcBorders>
            <w:tcMar>
              <w:top w:w="0" w:type="dxa"/>
              <w:left w:w="108" w:type="dxa"/>
              <w:bottom w:w="0" w:type="dxa"/>
              <w:right w:w="108" w:type="dxa"/>
            </w:tcMar>
            <w:vAlign w:val="center"/>
          </w:tcPr>
          <w:p w14:paraId="2C3543DE" w14:textId="77777777" w:rsidR="00C471B3" w:rsidRPr="00400687" w:rsidRDefault="00C471B3" w:rsidP="000B434D">
            <w:pPr>
              <w:pStyle w:val="TableTextCentred"/>
              <w:rPr>
                <w:sz w:val="20"/>
                <w:szCs w:val="20"/>
              </w:rPr>
            </w:pPr>
            <w:r w:rsidRPr="00400687">
              <w:rPr>
                <w:sz w:val="20"/>
                <w:szCs w:val="20"/>
              </w:rPr>
              <w:t>89.5%</w:t>
            </w:r>
          </w:p>
        </w:tc>
        <w:tc>
          <w:tcPr>
            <w:tcW w:w="567" w:type="dxa"/>
            <w:tcBorders>
              <w:left w:val="single" w:sz="4" w:space="0" w:color="0079C1"/>
              <w:bottom w:val="single" w:sz="4" w:space="0" w:color="0079C1"/>
            </w:tcBorders>
            <w:tcMar>
              <w:top w:w="0" w:type="dxa"/>
              <w:left w:w="108" w:type="dxa"/>
              <w:bottom w:w="0" w:type="dxa"/>
              <w:right w:w="108" w:type="dxa"/>
            </w:tcMar>
            <w:vAlign w:val="center"/>
          </w:tcPr>
          <w:p w14:paraId="12797292" w14:textId="77777777" w:rsidR="00C471B3" w:rsidRPr="00400687" w:rsidRDefault="00C471B3" w:rsidP="000B434D">
            <w:pPr>
              <w:pStyle w:val="TableTextCentred"/>
              <w:rPr>
                <w:sz w:val="20"/>
                <w:szCs w:val="20"/>
              </w:rPr>
            </w:pPr>
            <w:r w:rsidRPr="00400687">
              <w:rPr>
                <w:sz w:val="20"/>
                <w:szCs w:val="20"/>
              </w:rPr>
              <w:t>65</w:t>
            </w:r>
          </w:p>
        </w:tc>
        <w:tc>
          <w:tcPr>
            <w:tcW w:w="907" w:type="dxa"/>
            <w:tcBorders>
              <w:bottom w:val="single" w:sz="4" w:space="0" w:color="0079C1"/>
              <w:right w:val="single" w:sz="4" w:space="0" w:color="0079C1"/>
            </w:tcBorders>
            <w:tcMar>
              <w:top w:w="0" w:type="dxa"/>
              <w:left w:w="108" w:type="dxa"/>
              <w:bottom w:w="0" w:type="dxa"/>
              <w:right w:w="108" w:type="dxa"/>
            </w:tcMar>
            <w:vAlign w:val="center"/>
          </w:tcPr>
          <w:p w14:paraId="582CF320" w14:textId="77777777" w:rsidR="00C471B3" w:rsidRPr="00400687" w:rsidRDefault="00C471B3" w:rsidP="000B434D">
            <w:pPr>
              <w:pStyle w:val="TableTextCentred"/>
              <w:rPr>
                <w:sz w:val="20"/>
                <w:szCs w:val="20"/>
              </w:rPr>
            </w:pPr>
            <w:r w:rsidRPr="00400687">
              <w:rPr>
                <w:sz w:val="20"/>
                <w:szCs w:val="20"/>
              </w:rPr>
              <w:t>89.0%</w:t>
            </w:r>
          </w:p>
        </w:tc>
        <w:tc>
          <w:tcPr>
            <w:tcW w:w="567" w:type="dxa"/>
            <w:tcBorders>
              <w:left w:val="single" w:sz="4" w:space="0" w:color="0079C1"/>
              <w:bottom w:val="single" w:sz="4" w:space="0" w:color="0079C1"/>
            </w:tcBorders>
            <w:tcMar>
              <w:top w:w="0" w:type="dxa"/>
              <w:left w:w="108" w:type="dxa"/>
              <w:bottom w:w="0" w:type="dxa"/>
              <w:right w:w="108" w:type="dxa"/>
            </w:tcMar>
            <w:vAlign w:val="center"/>
          </w:tcPr>
          <w:p w14:paraId="4F77F348" w14:textId="77777777" w:rsidR="00C471B3" w:rsidRPr="00400687" w:rsidRDefault="00C471B3" w:rsidP="000B434D">
            <w:pPr>
              <w:pStyle w:val="TableTextCentred"/>
              <w:rPr>
                <w:sz w:val="20"/>
                <w:szCs w:val="20"/>
              </w:rPr>
            </w:pPr>
            <w:r w:rsidRPr="00400687">
              <w:rPr>
                <w:sz w:val="20"/>
                <w:szCs w:val="20"/>
              </w:rPr>
              <w:t>17</w:t>
            </w:r>
          </w:p>
        </w:tc>
        <w:tc>
          <w:tcPr>
            <w:tcW w:w="907" w:type="dxa"/>
            <w:tcBorders>
              <w:bottom w:val="single" w:sz="4" w:space="0" w:color="0079C1"/>
              <w:right w:val="single" w:sz="4" w:space="0" w:color="0079C1"/>
            </w:tcBorders>
            <w:tcMar>
              <w:top w:w="0" w:type="dxa"/>
              <w:left w:w="108" w:type="dxa"/>
              <w:bottom w:w="0" w:type="dxa"/>
              <w:right w:w="108" w:type="dxa"/>
            </w:tcMar>
            <w:vAlign w:val="center"/>
          </w:tcPr>
          <w:p w14:paraId="47BCF722" w14:textId="77777777" w:rsidR="00C471B3" w:rsidRPr="00400687" w:rsidRDefault="00C471B3" w:rsidP="000B434D">
            <w:pPr>
              <w:pStyle w:val="TableTextCentred"/>
              <w:rPr>
                <w:sz w:val="20"/>
                <w:szCs w:val="20"/>
              </w:rPr>
            </w:pPr>
            <w:r w:rsidRPr="00400687">
              <w:rPr>
                <w:sz w:val="20"/>
                <w:szCs w:val="20"/>
              </w:rPr>
              <w:t>85.0%</w:t>
            </w:r>
          </w:p>
        </w:tc>
        <w:tc>
          <w:tcPr>
            <w:tcW w:w="567" w:type="dxa"/>
            <w:tcBorders>
              <w:left w:val="single" w:sz="4" w:space="0" w:color="0079C1"/>
              <w:bottom w:val="single" w:sz="4" w:space="0" w:color="0079C1"/>
            </w:tcBorders>
            <w:tcMar>
              <w:top w:w="0" w:type="dxa"/>
              <w:left w:w="108" w:type="dxa"/>
              <w:bottom w:w="0" w:type="dxa"/>
              <w:right w:w="108" w:type="dxa"/>
            </w:tcMar>
            <w:vAlign w:val="center"/>
          </w:tcPr>
          <w:p w14:paraId="3761B55C" w14:textId="77777777" w:rsidR="00C471B3" w:rsidRPr="00400687" w:rsidRDefault="00C471B3" w:rsidP="000B434D">
            <w:pPr>
              <w:pStyle w:val="TableTextCentred"/>
              <w:rPr>
                <w:rStyle w:val="Bold"/>
                <w:sz w:val="20"/>
                <w:szCs w:val="20"/>
              </w:rPr>
            </w:pPr>
            <w:r w:rsidRPr="00400687">
              <w:rPr>
                <w:rStyle w:val="Bold"/>
                <w:sz w:val="20"/>
                <w:szCs w:val="20"/>
              </w:rPr>
              <w:t>177</w:t>
            </w:r>
          </w:p>
        </w:tc>
        <w:tc>
          <w:tcPr>
            <w:tcW w:w="907" w:type="dxa"/>
            <w:tcBorders>
              <w:bottom w:val="single" w:sz="4" w:space="0" w:color="0079C1"/>
            </w:tcBorders>
            <w:tcMar>
              <w:top w:w="0" w:type="dxa"/>
              <w:left w:w="108" w:type="dxa"/>
              <w:bottom w:w="0" w:type="dxa"/>
              <w:right w:w="108" w:type="dxa"/>
            </w:tcMar>
            <w:vAlign w:val="center"/>
          </w:tcPr>
          <w:p w14:paraId="3A775460" w14:textId="77777777" w:rsidR="00C471B3" w:rsidRPr="00400687" w:rsidRDefault="00C471B3" w:rsidP="000B434D">
            <w:pPr>
              <w:pStyle w:val="TableTextCentred"/>
              <w:rPr>
                <w:rStyle w:val="Bold"/>
                <w:sz w:val="20"/>
                <w:szCs w:val="20"/>
              </w:rPr>
            </w:pPr>
            <w:r w:rsidRPr="00400687">
              <w:rPr>
                <w:rStyle w:val="Bold"/>
                <w:sz w:val="20"/>
                <w:szCs w:val="20"/>
              </w:rPr>
              <w:t>80.5%</w:t>
            </w:r>
          </w:p>
        </w:tc>
      </w:tr>
      <w:tr w:rsidR="00FC6DAA" w:rsidRPr="00400687" w14:paraId="3CA7FB46" w14:textId="77777777" w:rsidTr="00400687">
        <w:tc>
          <w:tcPr>
            <w:tcW w:w="1701" w:type="dxa"/>
            <w:tcBorders>
              <w:top w:val="single" w:sz="4" w:space="0" w:color="0079C1"/>
              <w:right w:val="single" w:sz="4" w:space="0" w:color="0079C1"/>
            </w:tcBorders>
            <w:shd w:val="clear" w:color="auto" w:fill="E2F4FF" w:themeFill="accent1" w:themeFillTint="33"/>
            <w:tcMar>
              <w:top w:w="0" w:type="dxa"/>
              <w:left w:w="108" w:type="dxa"/>
              <w:bottom w:w="0" w:type="dxa"/>
              <w:right w:w="108" w:type="dxa"/>
            </w:tcMar>
            <w:vAlign w:val="center"/>
            <w:hideMark/>
          </w:tcPr>
          <w:p w14:paraId="2D450BA9" w14:textId="30587DC1" w:rsidR="00C471B3" w:rsidRPr="00400687" w:rsidRDefault="00C471B3" w:rsidP="000B434D">
            <w:pPr>
              <w:pStyle w:val="TableText"/>
              <w:rPr>
                <w:b/>
                <w:sz w:val="20"/>
              </w:rPr>
            </w:pPr>
            <w:r w:rsidRPr="00400687">
              <w:rPr>
                <w:b/>
                <w:sz w:val="20"/>
              </w:rPr>
              <w:t>Total</w:t>
            </w:r>
          </w:p>
        </w:tc>
        <w:tc>
          <w:tcPr>
            <w:tcW w:w="567" w:type="dxa"/>
            <w:tcBorders>
              <w:top w:val="single" w:sz="4" w:space="0" w:color="0079C1"/>
              <w:left w:val="single" w:sz="4" w:space="0" w:color="0079C1"/>
            </w:tcBorders>
            <w:shd w:val="clear" w:color="auto" w:fill="E2F4FF" w:themeFill="accent1" w:themeFillTint="33"/>
            <w:tcMar>
              <w:top w:w="0" w:type="dxa"/>
              <w:left w:w="108" w:type="dxa"/>
              <w:bottom w:w="0" w:type="dxa"/>
              <w:right w:w="108" w:type="dxa"/>
            </w:tcMar>
            <w:vAlign w:val="center"/>
            <w:hideMark/>
          </w:tcPr>
          <w:p w14:paraId="4CDD1DEC" w14:textId="77777777" w:rsidR="00C471B3" w:rsidRPr="00400687" w:rsidRDefault="00C471B3" w:rsidP="000B434D">
            <w:pPr>
              <w:pStyle w:val="TableTextCentred"/>
              <w:rPr>
                <w:b/>
                <w:sz w:val="20"/>
              </w:rPr>
            </w:pPr>
            <w:r w:rsidRPr="00400687">
              <w:rPr>
                <w:b/>
                <w:sz w:val="20"/>
              </w:rPr>
              <w:t>108</w:t>
            </w:r>
          </w:p>
        </w:tc>
        <w:tc>
          <w:tcPr>
            <w:tcW w:w="907" w:type="dxa"/>
            <w:tcBorders>
              <w:top w:val="single" w:sz="4" w:space="0" w:color="0079C1"/>
              <w:right w:val="single" w:sz="4" w:space="0" w:color="0079C1"/>
            </w:tcBorders>
            <w:shd w:val="clear" w:color="auto" w:fill="E2F4FF" w:themeFill="accent1" w:themeFillTint="33"/>
            <w:tcMar>
              <w:top w:w="0" w:type="dxa"/>
              <w:left w:w="108" w:type="dxa"/>
              <w:bottom w:w="0" w:type="dxa"/>
              <w:right w:w="108" w:type="dxa"/>
            </w:tcMar>
            <w:vAlign w:val="center"/>
            <w:hideMark/>
          </w:tcPr>
          <w:p w14:paraId="59D1C42B" w14:textId="77777777" w:rsidR="00C471B3" w:rsidRPr="00400687" w:rsidRDefault="00C471B3" w:rsidP="000B434D">
            <w:pPr>
              <w:pStyle w:val="TableTextCentred"/>
              <w:rPr>
                <w:b/>
                <w:sz w:val="20"/>
              </w:rPr>
            </w:pPr>
            <w:r w:rsidRPr="00400687">
              <w:rPr>
                <w:b/>
                <w:sz w:val="20"/>
              </w:rPr>
              <w:t>100.0%</w:t>
            </w:r>
          </w:p>
        </w:tc>
        <w:tc>
          <w:tcPr>
            <w:tcW w:w="567" w:type="dxa"/>
            <w:tcBorders>
              <w:top w:val="single" w:sz="4" w:space="0" w:color="0079C1"/>
              <w:left w:val="single" w:sz="4" w:space="0" w:color="0079C1"/>
            </w:tcBorders>
            <w:shd w:val="clear" w:color="auto" w:fill="E2F4FF" w:themeFill="accent1" w:themeFillTint="33"/>
            <w:tcMar>
              <w:top w:w="0" w:type="dxa"/>
              <w:left w:w="108" w:type="dxa"/>
              <w:bottom w:w="0" w:type="dxa"/>
              <w:right w:w="108" w:type="dxa"/>
            </w:tcMar>
            <w:vAlign w:val="center"/>
          </w:tcPr>
          <w:p w14:paraId="5F5F92DD" w14:textId="77777777" w:rsidR="00C471B3" w:rsidRPr="00400687" w:rsidRDefault="00C471B3" w:rsidP="000B434D">
            <w:pPr>
              <w:pStyle w:val="TableTextCentred"/>
              <w:rPr>
                <w:b/>
                <w:sz w:val="20"/>
              </w:rPr>
            </w:pPr>
            <w:r w:rsidRPr="00400687">
              <w:rPr>
                <w:b/>
                <w:sz w:val="20"/>
              </w:rPr>
              <w:t>19</w:t>
            </w:r>
          </w:p>
        </w:tc>
        <w:tc>
          <w:tcPr>
            <w:tcW w:w="907" w:type="dxa"/>
            <w:tcBorders>
              <w:top w:val="single" w:sz="4" w:space="0" w:color="0079C1"/>
              <w:right w:val="single" w:sz="4" w:space="0" w:color="0079C1"/>
            </w:tcBorders>
            <w:shd w:val="clear" w:color="auto" w:fill="E2F4FF" w:themeFill="accent1" w:themeFillTint="33"/>
            <w:tcMar>
              <w:top w:w="0" w:type="dxa"/>
              <w:left w:w="108" w:type="dxa"/>
              <w:bottom w:w="0" w:type="dxa"/>
              <w:right w:w="108" w:type="dxa"/>
            </w:tcMar>
            <w:vAlign w:val="center"/>
          </w:tcPr>
          <w:p w14:paraId="7092220A" w14:textId="77777777" w:rsidR="00C471B3" w:rsidRPr="00400687" w:rsidRDefault="00C471B3" w:rsidP="000B434D">
            <w:pPr>
              <w:pStyle w:val="TableTextCentred"/>
              <w:rPr>
                <w:b/>
                <w:sz w:val="20"/>
              </w:rPr>
            </w:pPr>
            <w:r w:rsidRPr="00400687">
              <w:rPr>
                <w:b/>
                <w:sz w:val="20"/>
              </w:rPr>
              <w:t>100.0%</w:t>
            </w:r>
          </w:p>
        </w:tc>
        <w:tc>
          <w:tcPr>
            <w:tcW w:w="567" w:type="dxa"/>
            <w:tcBorders>
              <w:top w:val="single" w:sz="4" w:space="0" w:color="0079C1"/>
              <w:left w:val="single" w:sz="4" w:space="0" w:color="0079C1"/>
            </w:tcBorders>
            <w:shd w:val="clear" w:color="auto" w:fill="E2F4FF" w:themeFill="accent1" w:themeFillTint="33"/>
            <w:tcMar>
              <w:top w:w="0" w:type="dxa"/>
              <w:left w:w="108" w:type="dxa"/>
              <w:bottom w:w="0" w:type="dxa"/>
              <w:right w:w="108" w:type="dxa"/>
            </w:tcMar>
            <w:vAlign w:val="center"/>
          </w:tcPr>
          <w:p w14:paraId="3130E035" w14:textId="77777777" w:rsidR="00C471B3" w:rsidRPr="00400687" w:rsidRDefault="00C471B3" w:rsidP="000B434D">
            <w:pPr>
              <w:pStyle w:val="TableTextCentred"/>
              <w:rPr>
                <w:b/>
                <w:sz w:val="20"/>
              </w:rPr>
            </w:pPr>
            <w:r w:rsidRPr="00400687">
              <w:rPr>
                <w:b/>
                <w:sz w:val="20"/>
              </w:rPr>
              <w:t>73</w:t>
            </w:r>
          </w:p>
        </w:tc>
        <w:tc>
          <w:tcPr>
            <w:tcW w:w="907" w:type="dxa"/>
            <w:tcBorders>
              <w:top w:val="single" w:sz="4" w:space="0" w:color="0079C1"/>
              <w:right w:val="single" w:sz="4" w:space="0" w:color="0079C1"/>
            </w:tcBorders>
            <w:shd w:val="clear" w:color="auto" w:fill="E2F4FF" w:themeFill="accent1" w:themeFillTint="33"/>
            <w:tcMar>
              <w:top w:w="0" w:type="dxa"/>
              <w:left w:w="108" w:type="dxa"/>
              <w:bottom w:w="0" w:type="dxa"/>
              <w:right w:w="108" w:type="dxa"/>
            </w:tcMar>
            <w:vAlign w:val="center"/>
          </w:tcPr>
          <w:p w14:paraId="3B160D6C" w14:textId="77777777" w:rsidR="00C471B3" w:rsidRPr="00400687" w:rsidRDefault="00C471B3" w:rsidP="000B434D">
            <w:pPr>
              <w:pStyle w:val="TableTextCentred"/>
              <w:rPr>
                <w:b/>
                <w:sz w:val="20"/>
              </w:rPr>
            </w:pPr>
            <w:r w:rsidRPr="00400687">
              <w:rPr>
                <w:b/>
                <w:sz w:val="20"/>
              </w:rPr>
              <w:t>100.0%</w:t>
            </w:r>
          </w:p>
        </w:tc>
        <w:tc>
          <w:tcPr>
            <w:tcW w:w="567" w:type="dxa"/>
            <w:tcBorders>
              <w:top w:val="single" w:sz="4" w:space="0" w:color="0079C1"/>
              <w:left w:val="single" w:sz="4" w:space="0" w:color="0079C1"/>
            </w:tcBorders>
            <w:shd w:val="clear" w:color="auto" w:fill="E2F4FF" w:themeFill="accent1" w:themeFillTint="33"/>
            <w:tcMar>
              <w:top w:w="0" w:type="dxa"/>
              <w:left w:w="108" w:type="dxa"/>
              <w:bottom w:w="0" w:type="dxa"/>
              <w:right w:w="108" w:type="dxa"/>
            </w:tcMar>
            <w:vAlign w:val="center"/>
            <w:hideMark/>
          </w:tcPr>
          <w:p w14:paraId="580DBC9A" w14:textId="77777777" w:rsidR="00C471B3" w:rsidRPr="00400687" w:rsidRDefault="00C471B3" w:rsidP="000B434D">
            <w:pPr>
              <w:pStyle w:val="TableTextCentred"/>
              <w:rPr>
                <w:b/>
                <w:sz w:val="20"/>
              </w:rPr>
            </w:pPr>
            <w:r w:rsidRPr="00400687">
              <w:rPr>
                <w:b/>
                <w:sz w:val="20"/>
              </w:rPr>
              <w:t>20</w:t>
            </w:r>
          </w:p>
        </w:tc>
        <w:tc>
          <w:tcPr>
            <w:tcW w:w="907" w:type="dxa"/>
            <w:tcBorders>
              <w:top w:val="single" w:sz="4" w:space="0" w:color="0079C1"/>
              <w:right w:val="single" w:sz="4" w:space="0" w:color="0079C1"/>
            </w:tcBorders>
            <w:shd w:val="clear" w:color="auto" w:fill="E2F4FF" w:themeFill="accent1" w:themeFillTint="33"/>
            <w:tcMar>
              <w:top w:w="0" w:type="dxa"/>
              <w:left w:w="108" w:type="dxa"/>
              <w:bottom w:w="0" w:type="dxa"/>
              <w:right w:w="108" w:type="dxa"/>
            </w:tcMar>
            <w:vAlign w:val="center"/>
            <w:hideMark/>
          </w:tcPr>
          <w:p w14:paraId="22094E04" w14:textId="77777777" w:rsidR="00C471B3" w:rsidRPr="00400687" w:rsidRDefault="00C471B3" w:rsidP="000B434D">
            <w:pPr>
              <w:pStyle w:val="TableTextCentred"/>
              <w:rPr>
                <w:b/>
                <w:sz w:val="20"/>
              </w:rPr>
            </w:pPr>
            <w:r w:rsidRPr="00400687">
              <w:rPr>
                <w:b/>
                <w:sz w:val="20"/>
              </w:rPr>
              <w:t>100.0%</w:t>
            </w:r>
          </w:p>
        </w:tc>
        <w:tc>
          <w:tcPr>
            <w:tcW w:w="567" w:type="dxa"/>
            <w:tcBorders>
              <w:top w:val="single" w:sz="4" w:space="0" w:color="0079C1"/>
              <w:left w:val="single" w:sz="4" w:space="0" w:color="0079C1"/>
            </w:tcBorders>
            <w:shd w:val="clear" w:color="auto" w:fill="E2F4FF" w:themeFill="accent1" w:themeFillTint="33"/>
            <w:tcMar>
              <w:top w:w="0" w:type="dxa"/>
              <w:left w:w="108" w:type="dxa"/>
              <w:bottom w:w="0" w:type="dxa"/>
              <w:right w:w="108" w:type="dxa"/>
            </w:tcMar>
            <w:vAlign w:val="center"/>
            <w:hideMark/>
          </w:tcPr>
          <w:p w14:paraId="5A02C2C6" w14:textId="77777777" w:rsidR="00C471B3" w:rsidRPr="00400687" w:rsidRDefault="00C471B3" w:rsidP="000B434D">
            <w:pPr>
              <w:pStyle w:val="TableTextCentred"/>
              <w:rPr>
                <w:b/>
                <w:sz w:val="20"/>
              </w:rPr>
            </w:pPr>
            <w:r w:rsidRPr="00400687">
              <w:rPr>
                <w:b/>
                <w:sz w:val="20"/>
              </w:rPr>
              <w:t>220</w:t>
            </w:r>
          </w:p>
        </w:tc>
        <w:tc>
          <w:tcPr>
            <w:tcW w:w="907" w:type="dxa"/>
            <w:tcBorders>
              <w:top w:val="single" w:sz="4" w:space="0" w:color="0079C1"/>
            </w:tcBorders>
            <w:shd w:val="clear" w:color="auto" w:fill="E2F4FF" w:themeFill="accent1" w:themeFillTint="33"/>
            <w:tcMar>
              <w:top w:w="0" w:type="dxa"/>
              <w:left w:w="108" w:type="dxa"/>
              <w:bottom w:w="0" w:type="dxa"/>
              <w:right w:w="108" w:type="dxa"/>
            </w:tcMar>
            <w:vAlign w:val="center"/>
            <w:hideMark/>
          </w:tcPr>
          <w:p w14:paraId="36F6FF2C" w14:textId="77777777" w:rsidR="00C471B3" w:rsidRPr="00400687" w:rsidRDefault="00C471B3" w:rsidP="000B434D">
            <w:pPr>
              <w:pStyle w:val="TableTextCentred"/>
              <w:rPr>
                <w:b/>
                <w:sz w:val="20"/>
              </w:rPr>
            </w:pPr>
            <w:r w:rsidRPr="00400687">
              <w:rPr>
                <w:b/>
                <w:sz w:val="20"/>
              </w:rPr>
              <w:t>100.0%</w:t>
            </w:r>
          </w:p>
        </w:tc>
      </w:tr>
    </w:tbl>
    <w:p w14:paraId="233B5034" w14:textId="0E1DCABC" w:rsidR="005379F6" w:rsidRDefault="005379F6" w:rsidP="005379F6">
      <w:pPr>
        <w:pStyle w:val="Caption"/>
      </w:pPr>
      <w:bookmarkStart w:id="164" w:name="_Ref463005986"/>
      <w:bookmarkStart w:id="165" w:name="_Toc490481671"/>
      <w:r w:rsidRPr="00B43607">
        <w:t xml:space="preserve">Table </w:t>
      </w:r>
      <w:r w:rsidR="00644B63">
        <w:fldChar w:fldCharType="begin"/>
      </w:r>
      <w:r w:rsidR="00644B63">
        <w:instrText xml:space="preserve"> STYLEREF 1 \s </w:instrText>
      </w:r>
      <w:r w:rsidR="00644B63">
        <w:fldChar w:fldCharType="separate"/>
      </w:r>
      <w:r w:rsidR="00487073">
        <w:rPr>
          <w:noProof/>
        </w:rPr>
        <w:t>6</w:t>
      </w:r>
      <w:r w:rsidR="00644B63">
        <w:fldChar w:fldCharType="end"/>
      </w:r>
      <w:r w:rsidR="00644B63">
        <w:noBreakHyphen/>
      </w:r>
      <w:r w:rsidR="00644B63">
        <w:fldChar w:fldCharType="begin"/>
      </w:r>
      <w:r w:rsidR="00644B63">
        <w:instrText xml:space="preserve"> SEQ Table \* ARABIC \s 1 </w:instrText>
      </w:r>
      <w:r w:rsidR="00644B63">
        <w:fldChar w:fldCharType="separate"/>
      </w:r>
      <w:r w:rsidR="00487073">
        <w:rPr>
          <w:noProof/>
        </w:rPr>
        <w:t>6</w:t>
      </w:r>
      <w:r w:rsidR="00644B63">
        <w:fldChar w:fldCharType="end"/>
      </w:r>
      <w:bookmarkEnd w:id="164"/>
      <w:r w:rsidR="00E07D8E">
        <w:t>:</w:t>
      </w:r>
      <w:r w:rsidR="00E07D8E">
        <w:tab/>
      </w:r>
      <w:r w:rsidR="0081080E" w:rsidRPr="0081080E">
        <w:t>Referr</w:t>
      </w:r>
      <w:r w:rsidR="00EA0E41">
        <w:t>al</w:t>
      </w:r>
      <w:r w:rsidR="0081080E" w:rsidRPr="0081080E">
        <w:t xml:space="preserve"> </w:t>
      </w:r>
      <w:r w:rsidR="0081080E">
        <w:t xml:space="preserve">of respondents </w:t>
      </w:r>
      <w:r w:rsidR="0081080E" w:rsidRPr="0081080E">
        <w:t>to other services by IAA</w:t>
      </w:r>
      <w:bookmarkEnd w:id="165"/>
    </w:p>
    <w:tbl>
      <w:tblPr>
        <w:tblW w:w="9071" w:type="dxa"/>
        <w:tblInd w:w="108"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CellMar>
          <w:left w:w="0" w:type="dxa"/>
          <w:right w:w="0" w:type="dxa"/>
        </w:tblCellMar>
        <w:tblLook w:val="04A0" w:firstRow="1" w:lastRow="0" w:firstColumn="1" w:lastColumn="0" w:noHBand="0" w:noVBand="1"/>
      </w:tblPr>
      <w:tblGrid>
        <w:gridCol w:w="1701"/>
        <w:gridCol w:w="567"/>
        <w:gridCol w:w="907"/>
        <w:gridCol w:w="567"/>
        <w:gridCol w:w="907"/>
        <w:gridCol w:w="567"/>
        <w:gridCol w:w="907"/>
        <w:gridCol w:w="567"/>
        <w:gridCol w:w="907"/>
        <w:gridCol w:w="567"/>
        <w:gridCol w:w="907"/>
      </w:tblGrid>
      <w:tr w:rsidR="00A16825" w:rsidRPr="00400687" w14:paraId="5356D854" w14:textId="77777777" w:rsidTr="00C8090B">
        <w:trPr>
          <w:tblHeader/>
        </w:trPr>
        <w:tc>
          <w:tcPr>
            <w:tcW w:w="1701" w:type="dxa"/>
            <w:vMerge w:val="restart"/>
            <w:shd w:val="clear" w:color="auto" w:fill="0079C1" w:themeFill="text2"/>
            <w:tcMar>
              <w:top w:w="0" w:type="dxa"/>
              <w:left w:w="108" w:type="dxa"/>
              <w:bottom w:w="0" w:type="dxa"/>
              <w:right w:w="108" w:type="dxa"/>
            </w:tcMar>
            <w:vAlign w:val="center"/>
            <w:hideMark/>
          </w:tcPr>
          <w:p w14:paraId="38CC6859" w14:textId="66413BBF" w:rsidR="00A16825" w:rsidRPr="00400687" w:rsidRDefault="00A16825" w:rsidP="0081080E">
            <w:pPr>
              <w:pStyle w:val="TableHeading1"/>
              <w:rPr>
                <w:sz w:val="20"/>
              </w:rPr>
            </w:pPr>
            <w:r w:rsidRPr="00400687">
              <w:rPr>
                <w:sz w:val="20"/>
              </w:rPr>
              <w:t xml:space="preserve">Referred to </w:t>
            </w:r>
            <w:r w:rsidR="0081080E" w:rsidRPr="00400687">
              <w:rPr>
                <w:sz w:val="20"/>
              </w:rPr>
              <w:t>other services b</w:t>
            </w:r>
            <w:r w:rsidRPr="00400687">
              <w:rPr>
                <w:sz w:val="20"/>
              </w:rPr>
              <w:t>y IAA</w:t>
            </w:r>
          </w:p>
        </w:tc>
        <w:tc>
          <w:tcPr>
            <w:tcW w:w="2948" w:type="dxa"/>
            <w:gridSpan w:val="4"/>
            <w:shd w:val="clear" w:color="auto" w:fill="0079C1" w:themeFill="text2"/>
            <w:tcMar>
              <w:top w:w="0" w:type="dxa"/>
              <w:left w:w="108" w:type="dxa"/>
              <w:bottom w:w="0" w:type="dxa"/>
              <w:right w:w="108" w:type="dxa"/>
            </w:tcMar>
            <w:vAlign w:val="center"/>
            <w:hideMark/>
          </w:tcPr>
          <w:p w14:paraId="14CBF7F3" w14:textId="77777777" w:rsidR="00A16825" w:rsidRPr="00400687" w:rsidRDefault="00A16825" w:rsidP="00C8090B">
            <w:pPr>
              <w:pStyle w:val="TableHeading1Centred"/>
              <w:rPr>
                <w:sz w:val="20"/>
              </w:rPr>
            </w:pPr>
            <w:r w:rsidRPr="00400687">
              <w:rPr>
                <w:sz w:val="20"/>
              </w:rPr>
              <w:t>Wanting to adopt</w:t>
            </w:r>
          </w:p>
        </w:tc>
        <w:tc>
          <w:tcPr>
            <w:tcW w:w="1474" w:type="dxa"/>
            <w:gridSpan w:val="2"/>
            <w:vMerge w:val="restart"/>
            <w:shd w:val="clear" w:color="auto" w:fill="0079C1" w:themeFill="text2"/>
            <w:tcMar>
              <w:top w:w="0" w:type="dxa"/>
              <w:left w:w="108" w:type="dxa"/>
              <w:bottom w:w="0" w:type="dxa"/>
              <w:right w:w="108" w:type="dxa"/>
            </w:tcMar>
            <w:vAlign w:val="center"/>
            <w:hideMark/>
          </w:tcPr>
          <w:p w14:paraId="6FF3E20B" w14:textId="77777777" w:rsidR="00A16825" w:rsidRPr="00400687" w:rsidRDefault="00A16825" w:rsidP="00C8090B">
            <w:pPr>
              <w:pStyle w:val="TableHeading1Centred"/>
              <w:rPr>
                <w:sz w:val="20"/>
              </w:rPr>
            </w:pPr>
            <w:r w:rsidRPr="00400687">
              <w:rPr>
                <w:sz w:val="20"/>
              </w:rPr>
              <w:t>Post adoption</w:t>
            </w:r>
          </w:p>
        </w:tc>
        <w:tc>
          <w:tcPr>
            <w:tcW w:w="1474" w:type="dxa"/>
            <w:gridSpan w:val="2"/>
            <w:vMerge w:val="restart"/>
            <w:shd w:val="clear" w:color="auto" w:fill="0079C1" w:themeFill="text2"/>
            <w:tcMar>
              <w:top w:w="0" w:type="dxa"/>
              <w:left w:w="108" w:type="dxa"/>
              <w:bottom w:w="0" w:type="dxa"/>
              <w:right w:w="108" w:type="dxa"/>
            </w:tcMar>
            <w:vAlign w:val="center"/>
            <w:hideMark/>
          </w:tcPr>
          <w:p w14:paraId="7A33A5BF" w14:textId="77777777" w:rsidR="00A16825" w:rsidRPr="00400687" w:rsidRDefault="00A16825" w:rsidP="00C8090B">
            <w:pPr>
              <w:pStyle w:val="TableHeading1Centred"/>
              <w:rPr>
                <w:sz w:val="20"/>
              </w:rPr>
            </w:pPr>
            <w:r w:rsidRPr="00400687">
              <w:rPr>
                <w:sz w:val="20"/>
              </w:rPr>
              <w:t>Did not continue</w:t>
            </w:r>
          </w:p>
        </w:tc>
        <w:tc>
          <w:tcPr>
            <w:tcW w:w="1474" w:type="dxa"/>
            <w:gridSpan w:val="2"/>
            <w:vMerge w:val="restart"/>
            <w:shd w:val="clear" w:color="auto" w:fill="0079C1" w:themeFill="text2"/>
            <w:tcMar>
              <w:top w:w="0" w:type="dxa"/>
              <w:left w:w="108" w:type="dxa"/>
              <w:bottom w:w="0" w:type="dxa"/>
              <w:right w:w="108" w:type="dxa"/>
            </w:tcMar>
            <w:vAlign w:val="center"/>
            <w:hideMark/>
          </w:tcPr>
          <w:p w14:paraId="2A6A8401" w14:textId="77777777" w:rsidR="00A16825" w:rsidRPr="00400687" w:rsidRDefault="00A16825" w:rsidP="00C8090B">
            <w:pPr>
              <w:pStyle w:val="TableHeading1Centred"/>
              <w:rPr>
                <w:sz w:val="20"/>
              </w:rPr>
            </w:pPr>
            <w:r w:rsidRPr="00400687">
              <w:rPr>
                <w:sz w:val="20"/>
              </w:rPr>
              <w:t>Total</w:t>
            </w:r>
          </w:p>
        </w:tc>
      </w:tr>
      <w:tr w:rsidR="00A16825" w:rsidRPr="00400687" w14:paraId="60A6FA46" w14:textId="77777777" w:rsidTr="00C8090B">
        <w:trPr>
          <w:tblHeader/>
        </w:trPr>
        <w:tc>
          <w:tcPr>
            <w:tcW w:w="1701" w:type="dxa"/>
            <w:vMerge/>
            <w:shd w:val="clear" w:color="auto" w:fill="0079C1" w:themeFill="text2"/>
            <w:vAlign w:val="center"/>
            <w:hideMark/>
          </w:tcPr>
          <w:p w14:paraId="45B5F0AC" w14:textId="77777777" w:rsidR="00A16825" w:rsidRPr="00400687" w:rsidRDefault="00A16825" w:rsidP="00C8090B">
            <w:pPr>
              <w:pStyle w:val="TableHeading1Centred"/>
              <w:rPr>
                <w:sz w:val="20"/>
              </w:rPr>
            </w:pPr>
          </w:p>
        </w:tc>
        <w:tc>
          <w:tcPr>
            <w:tcW w:w="1474" w:type="dxa"/>
            <w:gridSpan w:val="2"/>
            <w:shd w:val="clear" w:color="auto" w:fill="0079C1" w:themeFill="text2"/>
            <w:tcMar>
              <w:top w:w="0" w:type="dxa"/>
              <w:left w:w="108" w:type="dxa"/>
              <w:bottom w:w="0" w:type="dxa"/>
              <w:right w:w="108" w:type="dxa"/>
            </w:tcMar>
            <w:vAlign w:val="center"/>
            <w:hideMark/>
          </w:tcPr>
          <w:p w14:paraId="6FDECE5F" w14:textId="77777777" w:rsidR="00A16825" w:rsidRPr="00400687" w:rsidRDefault="00A16825" w:rsidP="00C8090B">
            <w:pPr>
              <w:pStyle w:val="TableHeading1Centred"/>
              <w:rPr>
                <w:sz w:val="20"/>
              </w:rPr>
            </w:pPr>
            <w:r w:rsidRPr="00400687">
              <w:rPr>
                <w:sz w:val="20"/>
              </w:rPr>
              <w:t>First time</w:t>
            </w:r>
          </w:p>
        </w:tc>
        <w:tc>
          <w:tcPr>
            <w:tcW w:w="1474" w:type="dxa"/>
            <w:gridSpan w:val="2"/>
            <w:shd w:val="clear" w:color="auto" w:fill="0079C1" w:themeFill="text2"/>
            <w:tcMar>
              <w:top w:w="0" w:type="dxa"/>
              <w:left w:w="108" w:type="dxa"/>
              <w:bottom w:w="0" w:type="dxa"/>
              <w:right w:w="108" w:type="dxa"/>
            </w:tcMar>
            <w:vAlign w:val="center"/>
            <w:hideMark/>
          </w:tcPr>
          <w:p w14:paraId="51A01530" w14:textId="77777777" w:rsidR="00A16825" w:rsidRPr="00400687" w:rsidRDefault="00A16825" w:rsidP="00C8090B">
            <w:pPr>
              <w:pStyle w:val="TableHeading1Centred"/>
              <w:rPr>
                <w:sz w:val="20"/>
              </w:rPr>
            </w:pPr>
            <w:r w:rsidRPr="00400687">
              <w:rPr>
                <w:sz w:val="20"/>
              </w:rPr>
              <w:t>Repeat</w:t>
            </w:r>
          </w:p>
        </w:tc>
        <w:tc>
          <w:tcPr>
            <w:tcW w:w="1474" w:type="dxa"/>
            <w:gridSpan w:val="2"/>
            <w:vMerge/>
            <w:shd w:val="clear" w:color="auto" w:fill="0079C1" w:themeFill="text2"/>
            <w:vAlign w:val="center"/>
            <w:hideMark/>
          </w:tcPr>
          <w:p w14:paraId="0559A3E3" w14:textId="77777777" w:rsidR="00A16825" w:rsidRPr="00400687" w:rsidRDefault="00A16825" w:rsidP="00C8090B">
            <w:pPr>
              <w:pStyle w:val="TableHeading1Centred"/>
              <w:rPr>
                <w:sz w:val="20"/>
              </w:rPr>
            </w:pPr>
          </w:p>
        </w:tc>
        <w:tc>
          <w:tcPr>
            <w:tcW w:w="1474" w:type="dxa"/>
            <w:gridSpan w:val="2"/>
            <w:vMerge/>
            <w:shd w:val="clear" w:color="auto" w:fill="0079C1" w:themeFill="text2"/>
            <w:vAlign w:val="center"/>
            <w:hideMark/>
          </w:tcPr>
          <w:p w14:paraId="5AF0FFF3" w14:textId="77777777" w:rsidR="00A16825" w:rsidRPr="00400687" w:rsidRDefault="00A16825" w:rsidP="00C8090B">
            <w:pPr>
              <w:pStyle w:val="TableHeading1Centred"/>
              <w:rPr>
                <w:sz w:val="20"/>
              </w:rPr>
            </w:pPr>
          </w:p>
        </w:tc>
        <w:tc>
          <w:tcPr>
            <w:tcW w:w="1474" w:type="dxa"/>
            <w:gridSpan w:val="2"/>
            <w:vMerge/>
            <w:shd w:val="clear" w:color="auto" w:fill="0079C1" w:themeFill="text2"/>
            <w:vAlign w:val="center"/>
            <w:hideMark/>
          </w:tcPr>
          <w:p w14:paraId="6A97E7DD" w14:textId="77777777" w:rsidR="00A16825" w:rsidRPr="00400687" w:rsidRDefault="00A16825" w:rsidP="00C8090B">
            <w:pPr>
              <w:pStyle w:val="TableHeading1Centred"/>
              <w:rPr>
                <w:sz w:val="20"/>
              </w:rPr>
            </w:pPr>
          </w:p>
        </w:tc>
      </w:tr>
      <w:tr w:rsidR="00A16825" w:rsidRPr="00400687" w14:paraId="3B890918" w14:textId="77777777" w:rsidTr="00C8090B">
        <w:trPr>
          <w:tblHeader/>
        </w:trPr>
        <w:tc>
          <w:tcPr>
            <w:tcW w:w="1701" w:type="dxa"/>
            <w:vMerge/>
            <w:shd w:val="clear" w:color="auto" w:fill="0079C1" w:themeFill="text2"/>
            <w:vAlign w:val="center"/>
            <w:hideMark/>
          </w:tcPr>
          <w:p w14:paraId="00DC4C57" w14:textId="77777777" w:rsidR="00A16825" w:rsidRPr="00400687" w:rsidRDefault="00A16825" w:rsidP="00C8090B">
            <w:pPr>
              <w:pStyle w:val="TableHeading1Centred"/>
              <w:rPr>
                <w:sz w:val="20"/>
              </w:rPr>
            </w:pPr>
          </w:p>
        </w:tc>
        <w:tc>
          <w:tcPr>
            <w:tcW w:w="567" w:type="dxa"/>
            <w:shd w:val="clear" w:color="auto" w:fill="0079C1" w:themeFill="text2"/>
            <w:tcMar>
              <w:top w:w="0" w:type="dxa"/>
              <w:left w:w="108" w:type="dxa"/>
              <w:bottom w:w="0" w:type="dxa"/>
              <w:right w:w="108" w:type="dxa"/>
            </w:tcMar>
            <w:vAlign w:val="center"/>
            <w:hideMark/>
          </w:tcPr>
          <w:p w14:paraId="1E695137" w14:textId="77777777" w:rsidR="00A16825" w:rsidRPr="00400687" w:rsidRDefault="00A16825" w:rsidP="00C8090B">
            <w:pPr>
              <w:pStyle w:val="TableHeading1Centred"/>
              <w:rPr>
                <w:sz w:val="20"/>
              </w:rPr>
            </w:pPr>
            <w:r w:rsidRPr="00400687">
              <w:rPr>
                <w:sz w:val="20"/>
              </w:rPr>
              <w:t>n</w:t>
            </w:r>
          </w:p>
        </w:tc>
        <w:tc>
          <w:tcPr>
            <w:tcW w:w="907" w:type="dxa"/>
            <w:shd w:val="clear" w:color="auto" w:fill="0079C1" w:themeFill="text2"/>
            <w:tcMar>
              <w:top w:w="0" w:type="dxa"/>
              <w:left w:w="108" w:type="dxa"/>
              <w:bottom w:w="0" w:type="dxa"/>
              <w:right w:w="108" w:type="dxa"/>
            </w:tcMar>
            <w:vAlign w:val="center"/>
            <w:hideMark/>
          </w:tcPr>
          <w:p w14:paraId="495D79E2" w14:textId="77777777" w:rsidR="00A16825" w:rsidRPr="00400687" w:rsidRDefault="00A16825" w:rsidP="00C8090B">
            <w:pPr>
              <w:pStyle w:val="TableHeading1Centred"/>
              <w:rPr>
                <w:sz w:val="20"/>
              </w:rPr>
            </w:pPr>
            <w:r w:rsidRPr="00400687">
              <w:rPr>
                <w:sz w:val="20"/>
              </w:rPr>
              <w:t>%</w:t>
            </w:r>
          </w:p>
        </w:tc>
        <w:tc>
          <w:tcPr>
            <w:tcW w:w="567" w:type="dxa"/>
            <w:shd w:val="clear" w:color="auto" w:fill="0079C1" w:themeFill="text2"/>
            <w:tcMar>
              <w:top w:w="0" w:type="dxa"/>
              <w:left w:w="108" w:type="dxa"/>
              <w:bottom w:w="0" w:type="dxa"/>
              <w:right w:w="108" w:type="dxa"/>
            </w:tcMar>
            <w:vAlign w:val="center"/>
            <w:hideMark/>
          </w:tcPr>
          <w:p w14:paraId="22199C59" w14:textId="77777777" w:rsidR="00A16825" w:rsidRPr="00400687" w:rsidRDefault="00A16825" w:rsidP="00C8090B">
            <w:pPr>
              <w:pStyle w:val="TableHeading1Centred"/>
              <w:rPr>
                <w:sz w:val="20"/>
              </w:rPr>
            </w:pPr>
            <w:r w:rsidRPr="00400687">
              <w:rPr>
                <w:sz w:val="20"/>
              </w:rPr>
              <w:t>n</w:t>
            </w:r>
          </w:p>
        </w:tc>
        <w:tc>
          <w:tcPr>
            <w:tcW w:w="907" w:type="dxa"/>
            <w:shd w:val="clear" w:color="auto" w:fill="0079C1" w:themeFill="text2"/>
            <w:tcMar>
              <w:top w:w="0" w:type="dxa"/>
              <w:left w:w="108" w:type="dxa"/>
              <w:bottom w:w="0" w:type="dxa"/>
              <w:right w:w="108" w:type="dxa"/>
            </w:tcMar>
            <w:vAlign w:val="center"/>
            <w:hideMark/>
          </w:tcPr>
          <w:p w14:paraId="4B8FB7D5" w14:textId="77777777" w:rsidR="00A16825" w:rsidRPr="00400687" w:rsidRDefault="00A16825" w:rsidP="00C8090B">
            <w:pPr>
              <w:pStyle w:val="TableHeading1Centred"/>
              <w:rPr>
                <w:sz w:val="20"/>
              </w:rPr>
            </w:pPr>
            <w:r w:rsidRPr="00400687">
              <w:rPr>
                <w:sz w:val="20"/>
              </w:rPr>
              <w:t>%</w:t>
            </w:r>
          </w:p>
        </w:tc>
        <w:tc>
          <w:tcPr>
            <w:tcW w:w="567" w:type="dxa"/>
            <w:shd w:val="clear" w:color="auto" w:fill="0079C1" w:themeFill="text2"/>
            <w:tcMar>
              <w:top w:w="0" w:type="dxa"/>
              <w:left w:w="108" w:type="dxa"/>
              <w:bottom w:w="0" w:type="dxa"/>
              <w:right w:w="108" w:type="dxa"/>
            </w:tcMar>
            <w:vAlign w:val="center"/>
            <w:hideMark/>
          </w:tcPr>
          <w:p w14:paraId="638C3461" w14:textId="77777777" w:rsidR="00A16825" w:rsidRPr="00400687" w:rsidRDefault="00A16825" w:rsidP="00C8090B">
            <w:pPr>
              <w:pStyle w:val="TableHeading1Centred"/>
              <w:rPr>
                <w:sz w:val="20"/>
              </w:rPr>
            </w:pPr>
            <w:r w:rsidRPr="00400687">
              <w:rPr>
                <w:sz w:val="20"/>
              </w:rPr>
              <w:t>N</w:t>
            </w:r>
          </w:p>
        </w:tc>
        <w:tc>
          <w:tcPr>
            <w:tcW w:w="907" w:type="dxa"/>
            <w:shd w:val="clear" w:color="auto" w:fill="0079C1" w:themeFill="text2"/>
            <w:tcMar>
              <w:top w:w="0" w:type="dxa"/>
              <w:left w:w="108" w:type="dxa"/>
              <w:bottom w:w="0" w:type="dxa"/>
              <w:right w:w="108" w:type="dxa"/>
            </w:tcMar>
            <w:vAlign w:val="center"/>
            <w:hideMark/>
          </w:tcPr>
          <w:p w14:paraId="14C24A74" w14:textId="77777777" w:rsidR="00A16825" w:rsidRPr="00400687" w:rsidRDefault="00A16825" w:rsidP="00C8090B">
            <w:pPr>
              <w:pStyle w:val="TableHeading1Centred"/>
              <w:rPr>
                <w:sz w:val="20"/>
              </w:rPr>
            </w:pPr>
            <w:r w:rsidRPr="00400687">
              <w:rPr>
                <w:sz w:val="20"/>
              </w:rPr>
              <w:t>%</w:t>
            </w:r>
          </w:p>
        </w:tc>
        <w:tc>
          <w:tcPr>
            <w:tcW w:w="567" w:type="dxa"/>
            <w:shd w:val="clear" w:color="auto" w:fill="0079C1" w:themeFill="text2"/>
            <w:tcMar>
              <w:top w:w="0" w:type="dxa"/>
              <w:left w:w="108" w:type="dxa"/>
              <w:bottom w:w="0" w:type="dxa"/>
              <w:right w:w="108" w:type="dxa"/>
            </w:tcMar>
            <w:vAlign w:val="center"/>
            <w:hideMark/>
          </w:tcPr>
          <w:p w14:paraId="7CAEF61D" w14:textId="77777777" w:rsidR="00A16825" w:rsidRPr="00400687" w:rsidRDefault="00A16825" w:rsidP="00C8090B">
            <w:pPr>
              <w:pStyle w:val="TableHeading1Centred"/>
              <w:rPr>
                <w:sz w:val="20"/>
              </w:rPr>
            </w:pPr>
            <w:r w:rsidRPr="00400687">
              <w:rPr>
                <w:sz w:val="20"/>
              </w:rPr>
              <w:t>n</w:t>
            </w:r>
          </w:p>
        </w:tc>
        <w:tc>
          <w:tcPr>
            <w:tcW w:w="907" w:type="dxa"/>
            <w:shd w:val="clear" w:color="auto" w:fill="0079C1" w:themeFill="text2"/>
            <w:tcMar>
              <w:top w:w="0" w:type="dxa"/>
              <w:left w:w="108" w:type="dxa"/>
              <w:bottom w:w="0" w:type="dxa"/>
              <w:right w:w="108" w:type="dxa"/>
            </w:tcMar>
            <w:vAlign w:val="center"/>
            <w:hideMark/>
          </w:tcPr>
          <w:p w14:paraId="5F24BCA8" w14:textId="77777777" w:rsidR="00A16825" w:rsidRPr="00400687" w:rsidRDefault="00A16825" w:rsidP="00C8090B">
            <w:pPr>
              <w:pStyle w:val="TableHeading1Centred"/>
              <w:rPr>
                <w:sz w:val="20"/>
              </w:rPr>
            </w:pPr>
            <w:r w:rsidRPr="00400687">
              <w:rPr>
                <w:sz w:val="20"/>
              </w:rPr>
              <w:t>%</w:t>
            </w:r>
          </w:p>
        </w:tc>
        <w:tc>
          <w:tcPr>
            <w:tcW w:w="567" w:type="dxa"/>
            <w:shd w:val="clear" w:color="auto" w:fill="0079C1" w:themeFill="text2"/>
            <w:tcMar>
              <w:top w:w="0" w:type="dxa"/>
              <w:left w:w="108" w:type="dxa"/>
              <w:bottom w:w="0" w:type="dxa"/>
              <w:right w:w="108" w:type="dxa"/>
            </w:tcMar>
            <w:vAlign w:val="center"/>
            <w:hideMark/>
          </w:tcPr>
          <w:p w14:paraId="1F665844" w14:textId="77777777" w:rsidR="00A16825" w:rsidRPr="00400687" w:rsidRDefault="00A16825" w:rsidP="00C8090B">
            <w:pPr>
              <w:pStyle w:val="TableHeading1Centred"/>
              <w:rPr>
                <w:sz w:val="20"/>
              </w:rPr>
            </w:pPr>
            <w:r w:rsidRPr="00400687">
              <w:rPr>
                <w:sz w:val="20"/>
              </w:rPr>
              <w:t>n</w:t>
            </w:r>
          </w:p>
        </w:tc>
        <w:tc>
          <w:tcPr>
            <w:tcW w:w="907" w:type="dxa"/>
            <w:shd w:val="clear" w:color="auto" w:fill="0079C1" w:themeFill="text2"/>
            <w:tcMar>
              <w:top w:w="0" w:type="dxa"/>
              <w:left w:w="108" w:type="dxa"/>
              <w:bottom w:w="0" w:type="dxa"/>
              <w:right w:w="108" w:type="dxa"/>
            </w:tcMar>
            <w:vAlign w:val="center"/>
            <w:hideMark/>
          </w:tcPr>
          <w:p w14:paraId="3454FD60" w14:textId="77777777" w:rsidR="00A16825" w:rsidRPr="00400687" w:rsidRDefault="00A16825" w:rsidP="00C8090B">
            <w:pPr>
              <w:pStyle w:val="TableHeading1Centred"/>
              <w:rPr>
                <w:sz w:val="20"/>
              </w:rPr>
            </w:pPr>
            <w:r w:rsidRPr="00400687">
              <w:rPr>
                <w:sz w:val="20"/>
              </w:rPr>
              <w:t>%</w:t>
            </w:r>
          </w:p>
        </w:tc>
      </w:tr>
      <w:tr w:rsidR="00A16825" w:rsidRPr="00400687" w14:paraId="3FD48F37" w14:textId="77777777" w:rsidTr="00400687">
        <w:tc>
          <w:tcPr>
            <w:tcW w:w="1701" w:type="dxa"/>
            <w:tcBorders>
              <w:right w:val="single" w:sz="4" w:space="0" w:color="0079C1"/>
            </w:tcBorders>
            <w:shd w:val="clear" w:color="auto" w:fill="auto"/>
            <w:tcMar>
              <w:top w:w="0" w:type="dxa"/>
              <w:left w:w="108" w:type="dxa"/>
              <w:bottom w:w="0" w:type="dxa"/>
              <w:right w:w="108" w:type="dxa"/>
            </w:tcMar>
            <w:vAlign w:val="center"/>
            <w:hideMark/>
          </w:tcPr>
          <w:p w14:paraId="132EA08F" w14:textId="77777777" w:rsidR="00A16825" w:rsidRPr="00400687" w:rsidRDefault="00A16825" w:rsidP="00C8090B">
            <w:pPr>
              <w:pStyle w:val="TableText"/>
              <w:rPr>
                <w:sz w:val="20"/>
                <w:szCs w:val="20"/>
              </w:rPr>
            </w:pPr>
            <w:r w:rsidRPr="00400687">
              <w:rPr>
                <w:sz w:val="20"/>
                <w:szCs w:val="20"/>
              </w:rPr>
              <w:t>Yes</w:t>
            </w:r>
          </w:p>
        </w:tc>
        <w:tc>
          <w:tcPr>
            <w:tcW w:w="567" w:type="dxa"/>
            <w:tcBorders>
              <w:left w:val="single" w:sz="4" w:space="0" w:color="0079C1"/>
            </w:tcBorders>
            <w:shd w:val="clear" w:color="auto" w:fill="auto"/>
            <w:tcMar>
              <w:top w:w="0" w:type="dxa"/>
              <w:left w:w="108" w:type="dxa"/>
              <w:bottom w:w="0" w:type="dxa"/>
              <w:right w:w="108" w:type="dxa"/>
            </w:tcMar>
          </w:tcPr>
          <w:p w14:paraId="7ED24252" w14:textId="5DAD11EF" w:rsidR="00A16825" w:rsidRPr="00400687" w:rsidRDefault="00A16825" w:rsidP="00C8090B">
            <w:pPr>
              <w:pStyle w:val="TableTextCentred"/>
              <w:rPr>
                <w:sz w:val="20"/>
                <w:szCs w:val="20"/>
              </w:rPr>
            </w:pPr>
            <w:r w:rsidRPr="00400687">
              <w:rPr>
                <w:sz w:val="20"/>
                <w:szCs w:val="20"/>
              </w:rPr>
              <w:t>8</w:t>
            </w:r>
          </w:p>
        </w:tc>
        <w:tc>
          <w:tcPr>
            <w:tcW w:w="907" w:type="dxa"/>
            <w:tcBorders>
              <w:right w:val="single" w:sz="4" w:space="0" w:color="0079C1"/>
            </w:tcBorders>
            <w:shd w:val="clear" w:color="auto" w:fill="auto"/>
            <w:tcMar>
              <w:top w:w="0" w:type="dxa"/>
              <w:left w:w="108" w:type="dxa"/>
              <w:bottom w:w="0" w:type="dxa"/>
              <w:right w:w="108" w:type="dxa"/>
            </w:tcMar>
          </w:tcPr>
          <w:p w14:paraId="634742B7" w14:textId="5395DF28" w:rsidR="00A16825" w:rsidRPr="00400687" w:rsidRDefault="00A16825" w:rsidP="00C8090B">
            <w:pPr>
              <w:pStyle w:val="TableTextCentred"/>
              <w:rPr>
                <w:sz w:val="20"/>
                <w:szCs w:val="20"/>
              </w:rPr>
            </w:pPr>
            <w:r w:rsidRPr="00400687">
              <w:rPr>
                <w:sz w:val="20"/>
                <w:szCs w:val="20"/>
              </w:rPr>
              <w:t>7.4%</w:t>
            </w:r>
          </w:p>
        </w:tc>
        <w:tc>
          <w:tcPr>
            <w:tcW w:w="567" w:type="dxa"/>
            <w:tcBorders>
              <w:left w:val="single" w:sz="4" w:space="0" w:color="0079C1"/>
            </w:tcBorders>
            <w:shd w:val="clear" w:color="auto" w:fill="auto"/>
            <w:tcMar>
              <w:top w:w="0" w:type="dxa"/>
              <w:left w:w="108" w:type="dxa"/>
              <w:bottom w:w="0" w:type="dxa"/>
              <w:right w:w="108" w:type="dxa"/>
            </w:tcMar>
          </w:tcPr>
          <w:p w14:paraId="3FD75B4B" w14:textId="379ED97F" w:rsidR="00A16825" w:rsidRPr="00400687" w:rsidRDefault="00A16825" w:rsidP="00C8090B">
            <w:pPr>
              <w:pStyle w:val="TableTextCentred"/>
              <w:rPr>
                <w:sz w:val="20"/>
                <w:szCs w:val="20"/>
              </w:rPr>
            </w:pPr>
            <w:r w:rsidRPr="00400687">
              <w:rPr>
                <w:sz w:val="20"/>
                <w:szCs w:val="20"/>
              </w:rPr>
              <w:t>1</w:t>
            </w:r>
          </w:p>
        </w:tc>
        <w:tc>
          <w:tcPr>
            <w:tcW w:w="907" w:type="dxa"/>
            <w:tcBorders>
              <w:right w:val="single" w:sz="4" w:space="0" w:color="0079C1"/>
            </w:tcBorders>
            <w:shd w:val="clear" w:color="auto" w:fill="auto"/>
            <w:tcMar>
              <w:top w:w="0" w:type="dxa"/>
              <w:left w:w="108" w:type="dxa"/>
              <w:bottom w:w="0" w:type="dxa"/>
              <w:right w:w="108" w:type="dxa"/>
            </w:tcMar>
          </w:tcPr>
          <w:p w14:paraId="43D62CE7" w14:textId="640AC06A" w:rsidR="00A16825" w:rsidRPr="00400687" w:rsidRDefault="00A16825" w:rsidP="00C8090B">
            <w:pPr>
              <w:pStyle w:val="TableTextCentred"/>
              <w:rPr>
                <w:sz w:val="20"/>
                <w:szCs w:val="20"/>
              </w:rPr>
            </w:pPr>
            <w:r w:rsidRPr="00400687">
              <w:rPr>
                <w:sz w:val="20"/>
                <w:szCs w:val="20"/>
              </w:rPr>
              <w:t>5.3%</w:t>
            </w:r>
          </w:p>
        </w:tc>
        <w:tc>
          <w:tcPr>
            <w:tcW w:w="567" w:type="dxa"/>
            <w:tcBorders>
              <w:left w:val="single" w:sz="4" w:space="0" w:color="0079C1"/>
            </w:tcBorders>
            <w:shd w:val="clear" w:color="auto" w:fill="auto"/>
            <w:tcMar>
              <w:top w:w="0" w:type="dxa"/>
              <w:left w:w="108" w:type="dxa"/>
              <w:bottom w:w="0" w:type="dxa"/>
              <w:right w:w="108" w:type="dxa"/>
            </w:tcMar>
          </w:tcPr>
          <w:p w14:paraId="0A857FE6" w14:textId="2A486A7C" w:rsidR="00A16825" w:rsidRPr="00400687" w:rsidRDefault="00B443D8" w:rsidP="00C8090B">
            <w:pPr>
              <w:pStyle w:val="TableTextCentred"/>
              <w:rPr>
                <w:sz w:val="20"/>
                <w:szCs w:val="20"/>
              </w:rPr>
            </w:pPr>
            <w:r w:rsidRPr="00400687">
              <w:rPr>
                <w:sz w:val="20"/>
                <w:szCs w:val="20"/>
              </w:rPr>
              <w:t>-</w:t>
            </w:r>
          </w:p>
        </w:tc>
        <w:tc>
          <w:tcPr>
            <w:tcW w:w="907" w:type="dxa"/>
            <w:tcBorders>
              <w:right w:val="single" w:sz="4" w:space="0" w:color="0079C1"/>
            </w:tcBorders>
            <w:shd w:val="clear" w:color="auto" w:fill="auto"/>
            <w:tcMar>
              <w:top w:w="0" w:type="dxa"/>
              <w:left w:w="108" w:type="dxa"/>
              <w:bottom w:w="0" w:type="dxa"/>
              <w:right w:w="108" w:type="dxa"/>
            </w:tcMar>
          </w:tcPr>
          <w:p w14:paraId="3E885633" w14:textId="47EE71BA" w:rsidR="00A16825" w:rsidRPr="00400687" w:rsidRDefault="00B443D8" w:rsidP="00C8090B">
            <w:pPr>
              <w:pStyle w:val="TableTextCentred"/>
              <w:rPr>
                <w:sz w:val="20"/>
                <w:szCs w:val="20"/>
              </w:rPr>
            </w:pPr>
            <w:r w:rsidRPr="00400687">
              <w:rPr>
                <w:sz w:val="20"/>
                <w:szCs w:val="20"/>
              </w:rPr>
              <w:t>-</w:t>
            </w:r>
          </w:p>
        </w:tc>
        <w:tc>
          <w:tcPr>
            <w:tcW w:w="567" w:type="dxa"/>
            <w:tcBorders>
              <w:left w:val="single" w:sz="4" w:space="0" w:color="0079C1"/>
            </w:tcBorders>
            <w:shd w:val="clear" w:color="auto" w:fill="auto"/>
            <w:tcMar>
              <w:top w:w="0" w:type="dxa"/>
              <w:left w:w="108" w:type="dxa"/>
              <w:bottom w:w="0" w:type="dxa"/>
              <w:right w:w="108" w:type="dxa"/>
            </w:tcMar>
          </w:tcPr>
          <w:p w14:paraId="0F5FAC7C" w14:textId="6066170E" w:rsidR="00A16825" w:rsidRPr="00400687" w:rsidRDefault="00B443D8" w:rsidP="00C8090B">
            <w:pPr>
              <w:pStyle w:val="TableTextCentred"/>
              <w:rPr>
                <w:sz w:val="20"/>
                <w:szCs w:val="20"/>
              </w:rPr>
            </w:pPr>
            <w:r w:rsidRPr="00400687">
              <w:rPr>
                <w:sz w:val="20"/>
                <w:szCs w:val="20"/>
              </w:rPr>
              <w:t>-</w:t>
            </w:r>
          </w:p>
        </w:tc>
        <w:tc>
          <w:tcPr>
            <w:tcW w:w="907" w:type="dxa"/>
            <w:tcBorders>
              <w:right w:val="single" w:sz="4" w:space="0" w:color="0079C1"/>
            </w:tcBorders>
            <w:shd w:val="clear" w:color="auto" w:fill="auto"/>
            <w:tcMar>
              <w:top w:w="0" w:type="dxa"/>
              <w:left w:w="108" w:type="dxa"/>
              <w:bottom w:w="0" w:type="dxa"/>
              <w:right w:w="108" w:type="dxa"/>
            </w:tcMar>
          </w:tcPr>
          <w:p w14:paraId="6468CF3C" w14:textId="1183B0ED" w:rsidR="00A16825" w:rsidRPr="00400687" w:rsidRDefault="00B443D8" w:rsidP="00C8090B">
            <w:pPr>
              <w:pStyle w:val="TableTextCentred"/>
              <w:rPr>
                <w:sz w:val="20"/>
                <w:szCs w:val="20"/>
              </w:rPr>
            </w:pPr>
            <w:r w:rsidRPr="00400687">
              <w:rPr>
                <w:sz w:val="20"/>
                <w:szCs w:val="20"/>
              </w:rPr>
              <w:t>-</w:t>
            </w:r>
          </w:p>
        </w:tc>
        <w:tc>
          <w:tcPr>
            <w:tcW w:w="567" w:type="dxa"/>
            <w:tcBorders>
              <w:left w:val="single" w:sz="4" w:space="0" w:color="0079C1"/>
            </w:tcBorders>
            <w:shd w:val="clear" w:color="auto" w:fill="auto"/>
            <w:tcMar>
              <w:top w:w="0" w:type="dxa"/>
              <w:left w:w="108" w:type="dxa"/>
              <w:bottom w:w="0" w:type="dxa"/>
              <w:right w:w="108" w:type="dxa"/>
            </w:tcMar>
          </w:tcPr>
          <w:p w14:paraId="23E327DC" w14:textId="0B849633" w:rsidR="00A16825" w:rsidRPr="00400687" w:rsidRDefault="00A16825" w:rsidP="00C8090B">
            <w:pPr>
              <w:pStyle w:val="TableTextCentred"/>
              <w:rPr>
                <w:rStyle w:val="Bold"/>
                <w:sz w:val="20"/>
                <w:szCs w:val="20"/>
              </w:rPr>
            </w:pPr>
            <w:r w:rsidRPr="00400687">
              <w:rPr>
                <w:rStyle w:val="Bold"/>
                <w:sz w:val="20"/>
                <w:szCs w:val="20"/>
              </w:rPr>
              <w:t>9</w:t>
            </w:r>
          </w:p>
        </w:tc>
        <w:tc>
          <w:tcPr>
            <w:tcW w:w="907" w:type="dxa"/>
            <w:shd w:val="clear" w:color="auto" w:fill="auto"/>
            <w:tcMar>
              <w:top w:w="0" w:type="dxa"/>
              <w:left w:w="108" w:type="dxa"/>
              <w:bottom w:w="0" w:type="dxa"/>
              <w:right w:w="108" w:type="dxa"/>
            </w:tcMar>
          </w:tcPr>
          <w:p w14:paraId="5C7CEE73" w14:textId="7882E762" w:rsidR="00A16825" w:rsidRPr="00400687" w:rsidRDefault="00A16825" w:rsidP="00C8090B">
            <w:pPr>
              <w:pStyle w:val="TableTextCentred"/>
              <w:rPr>
                <w:rStyle w:val="Bold"/>
                <w:sz w:val="20"/>
                <w:szCs w:val="20"/>
              </w:rPr>
            </w:pPr>
            <w:r w:rsidRPr="00400687">
              <w:rPr>
                <w:rStyle w:val="Bold"/>
                <w:sz w:val="20"/>
                <w:szCs w:val="20"/>
              </w:rPr>
              <w:t>4.1%</w:t>
            </w:r>
          </w:p>
        </w:tc>
      </w:tr>
      <w:tr w:rsidR="00A16825" w:rsidRPr="00400687" w14:paraId="4B2B3C6F" w14:textId="77777777" w:rsidTr="00400687">
        <w:tc>
          <w:tcPr>
            <w:tcW w:w="1701" w:type="dxa"/>
            <w:tcBorders>
              <w:right w:val="single" w:sz="4" w:space="0" w:color="0079C1"/>
            </w:tcBorders>
            <w:tcMar>
              <w:top w:w="0" w:type="dxa"/>
              <w:left w:w="108" w:type="dxa"/>
              <w:bottom w:w="0" w:type="dxa"/>
              <w:right w:w="108" w:type="dxa"/>
            </w:tcMar>
            <w:vAlign w:val="center"/>
            <w:hideMark/>
          </w:tcPr>
          <w:p w14:paraId="5886F7DD" w14:textId="77777777" w:rsidR="00A16825" w:rsidRPr="00400687" w:rsidRDefault="00A16825" w:rsidP="00C8090B">
            <w:pPr>
              <w:pStyle w:val="TableText"/>
              <w:rPr>
                <w:sz w:val="20"/>
                <w:szCs w:val="20"/>
              </w:rPr>
            </w:pPr>
            <w:r w:rsidRPr="00400687">
              <w:rPr>
                <w:sz w:val="20"/>
                <w:szCs w:val="20"/>
              </w:rPr>
              <w:t>No</w:t>
            </w:r>
          </w:p>
        </w:tc>
        <w:tc>
          <w:tcPr>
            <w:tcW w:w="567" w:type="dxa"/>
            <w:tcBorders>
              <w:left w:val="single" w:sz="4" w:space="0" w:color="0079C1"/>
            </w:tcBorders>
            <w:tcMar>
              <w:top w:w="0" w:type="dxa"/>
              <w:left w:w="108" w:type="dxa"/>
              <w:bottom w:w="0" w:type="dxa"/>
              <w:right w:w="108" w:type="dxa"/>
            </w:tcMar>
          </w:tcPr>
          <w:p w14:paraId="4CDFACAE" w14:textId="50F39808" w:rsidR="00A16825" w:rsidRPr="00400687" w:rsidRDefault="00A16825" w:rsidP="00C8090B">
            <w:pPr>
              <w:pStyle w:val="TableTextCentred"/>
              <w:rPr>
                <w:sz w:val="20"/>
                <w:szCs w:val="20"/>
              </w:rPr>
            </w:pPr>
            <w:r w:rsidRPr="00400687">
              <w:rPr>
                <w:sz w:val="20"/>
                <w:szCs w:val="20"/>
              </w:rPr>
              <w:t>22</w:t>
            </w:r>
          </w:p>
        </w:tc>
        <w:tc>
          <w:tcPr>
            <w:tcW w:w="907" w:type="dxa"/>
            <w:tcBorders>
              <w:right w:val="single" w:sz="4" w:space="0" w:color="0079C1"/>
            </w:tcBorders>
            <w:tcMar>
              <w:top w:w="0" w:type="dxa"/>
              <w:left w:w="108" w:type="dxa"/>
              <w:bottom w:w="0" w:type="dxa"/>
              <w:right w:w="108" w:type="dxa"/>
            </w:tcMar>
          </w:tcPr>
          <w:p w14:paraId="3BF06F6B" w14:textId="2C1C4772" w:rsidR="00A16825" w:rsidRPr="00400687" w:rsidRDefault="00A16825" w:rsidP="00C8090B">
            <w:pPr>
              <w:pStyle w:val="TableTextCentred"/>
              <w:rPr>
                <w:sz w:val="20"/>
                <w:szCs w:val="20"/>
              </w:rPr>
            </w:pPr>
            <w:r w:rsidRPr="00400687">
              <w:rPr>
                <w:sz w:val="20"/>
                <w:szCs w:val="20"/>
              </w:rPr>
              <w:t>20.4%</w:t>
            </w:r>
          </w:p>
        </w:tc>
        <w:tc>
          <w:tcPr>
            <w:tcW w:w="567" w:type="dxa"/>
            <w:tcBorders>
              <w:left w:val="single" w:sz="4" w:space="0" w:color="0079C1"/>
            </w:tcBorders>
            <w:tcMar>
              <w:top w:w="0" w:type="dxa"/>
              <w:left w:w="108" w:type="dxa"/>
              <w:bottom w:w="0" w:type="dxa"/>
              <w:right w:w="108" w:type="dxa"/>
            </w:tcMar>
          </w:tcPr>
          <w:p w14:paraId="11EF3E68" w14:textId="53EDA067" w:rsidR="00A16825" w:rsidRPr="00400687" w:rsidRDefault="00A16825" w:rsidP="00C8090B">
            <w:pPr>
              <w:pStyle w:val="TableTextCentred"/>
              <w:rPr>
                <w:sz w:val="20"/>
                <w:szCs w:val="20"/>
              </w:rPr>
            </w:pPr>
            <w:r w:rsidRPr="00400687">
              <w:rPr>
                <w:sz w:val="20"/>
                <w:szCs w:val="20"/>
              </w:rPr>
              <w:t>1</w:t>
            </w:r>
          </w:p>
        </w:tc>
        <w:tc>
          <w:tcPr>
            <w:tcW w:w="907" w:type="dxa"/>
            <w:tcBorders>
              <w:right w:val="single" w:sz="4" w:space="0" w:color="0079C1"/>
            </w:tcBorders>
            <w:tcMar>
              <w:top w:w="0" w:type="dxa"/>
              <w:left w:w="108" w:type="dxa"/>
              <w:bottom w:w="0" w:type="dxa"/>
              <w:right w:w="108" w:type="dxa"/>
            </w:tcMar>
          </w:tcPr>
          <w:p w14:paraId="2239C9CA" w14:textId="5E2F6DE7" w:rsidR="00A16825" w:rsidRPr="00400687" w:rsidRDefault="00A16825" w:rsidP="00C8090B">
            <w:pPr>
              <w:pStyle w:val="TableTextCentred"/>
              <w:rPr>
                <w:sz w:val="20"/>
                <w:szCs w:val="20"/>
              </w:rPr>
            </w:pPr>
            <w:r w:rsidRPr="00400687">
              <w:rPr>
                <w:sz w:val="20"/>
                <w:szCs w:val="20"/>
              </w:rPr>
              <w:t>5.3%</w:t>
            </w:r>
          </w:p>
        </w:tc>
        <w:tc>
          <w:tcPr>
            <w:tcW w:w="567" w:type="dxa"/>
            <w:tcBorders>
              <w:left w:val="single" w:sz="4" w:space="0" w:color="0079C1"/>
            </w:tcBorders>
            <w:tcMar>
              <w:top w:w="0" w:type="dxa"/>
              <w:left w:w="108" w:type="dxa"/>
              <w:bottom w:w="0" w:type="dxa"/>
              <w:right w:w="108" w:type="dxa"/>
            </w:tcMar>
          </w:tcPr>
          <w:p w14:paraId="1DFF1217" w14:textId="5C9812A1" w:rsidR="00A16825" w:rsidRPr="00400687" w:rsidRDefault="00A16825" w:rsidP="00C8090B">
            <w:pPr>
              <w:pStyle w:val="TableTextCentred"/>
              <w:rPr>
                <w:sz w:val="20"/>
                <w:szCs w:val="20"/>
              </w:rPr>
            </w:pPr>
            <w:r w:rsidRPr="00400687">
              <w:rPr>
                <w:sz w:val="20"/>
                <w:szCs w:val="20"/>
              </w:rPr>
              <w:t>7</w:t>
            </w:r>
          </w:p>
        </w:tc>
        <w:tc>
          <w:tcPr>
            <w:tcW w:w="907" w:type="dxa"/>
            <w:tcBorders>
              <w:right w:val="single" w:sz="4" w:space="0" w:color="0079C1"/>
            </w:tcBorders>
            <w:tcMar>
              <w:top w:w="0" w:type="dxa"/>
              <w:left w:w="108" w:type="dxa"/>
              <w:bottom w:w="0" w:type="dxa"/>
              <w:right w:w="108" w:type="dxa"/>
            </w:tcMar>
          </w:tcPr>
          <w:p w14:paraId="5D65CFAD" w14:textId="510F90EA" w:rsidR="00A16825" w:rsidRPr="00400687" w:rsidRDefault="00A16825" w:rsidP="00C8090B">
            <w:pPr>
              <w:pStyle w:val="TableTextCentred"/>
              <w:rPr>
                <w:sz w:val="20"/>
                <w:szCs w:val="20"/>
              </w:rPr>
            </w:pPr>
            <w:r w:rsidRPr="00400687">
              <w:rPr>
                <w:sz w:val="20"/>
                <w:szCs w:val="20"/>
              </w:rPr>
              <w:t>9.6%</w:t>
            </w:r>
          </w:p>
        </w:tc>
        <w:tc>
          <w:tcPr>
            <w:tcW w:w="567" w:type="dxa"/>
            <w:tcBorders>
              <w:left w:val="single" w:sz="4" w:space="0" w:color="0079C1"/>
            </w:tcBorders>
            <w:tcMar>
              <w:top w:w="0" w:type="dxa"/>
              <w:left w:w="108" w:type="dxa"/>
              <w:bottom w:w="0" w:type="dxa"/>
              <w:right w:w="108" w:type="dxa"/>
            </w:tcMar>
          </w:tcPr>
          <w:p w14:paraId="25DCF917" w14:textId="5D374676" w:rsidR="00A16825" w:rsidRPr="00400687" w:rsidRDefault="00A16825" w:rsidP="00C8090B">
            <w:pPr>
              <w:pStyle w:val="TableTextCentred"/>
              <w:rPr>
                <w:sz w:val="20"/>
                <w:szCs w:val="20"/>
              </w:rPr>
            </w:pPr>
            <w:r w:rsidRPr="00400687">
              <w:rPr>
                <w:sz w:val="20"/>
                <w:szCs w:val="20"/>
              </w:rPr>
              <w:t>3</w:t>
            </w:r>
          </w:p>
        </w:tc>
        <w:tc>
          <w:tcPr>
            <w:tcW w:w="907" w:type="dxa"/>
            <w:tcBorders>
              <w:right w:val="single" w:sz="4" w:space="0" w:color="0079C1"/>
            </w:tcBorders>
            <w:tcMar>
              <w:top w:w="0" w:type="dxa"/>
              <w:left w:w="108" w:type="dxa"/>
              <w:bottom w:w="0" w:type="dxa"/>
              <w:right w:w="108" w:type="dxa"/>
            </w:tcMar>
          </w:tcPr>
          <w:p w14:paraId="294CA7A5" w14:textId="2C96F476" w:rsidR="00A16825" w:rsidRPr="00400687" w:rsidRDefault="00A16825" w:rsidP="00C8090B">
            <w:pPr>
              <w:pStyle w:val="TableTextCentred"/>
              <w:rPr>
                <w:sz w:val="20"/>
                <w:szCs w:val="20"/>
              </w:rPr>
            </w:pPr>
            <w:r w:rsidRPr="00400687">
              <w:rPr>
                <w:sz w:val="20"/>
                <w:szCs w:val="20"/>
              </w:rPr>
              <w:t>15%</w:t>
            </w:r>
          </w:p>
        </w:tc>
        <w:tc>
          <w:tcPr>
            <w:tcW w:w="567" w:type="dxa"/>
            <w:tcBorders>
              <w:left w:val="single" w:sz="4" w:space="0" w:color="0079C1"/>
            </w:tcBorders>
            <w:tcMar>
              <w:top w:w="0" w:type="dxa"/>
              <w:left w:w="108" w:type="dxa"/>
              <w:bottom w:w="0" w:type="dxa"/>
              <w:right w:w="108" w:type="dxa"/>
            </w:tcMar>
          </w:tcPr>
          <w:p w14:paraId="7CC838EF" w14:textId="362D134E" w:rsidR="00A16825" w:rsidRPr="00400687" w:rsidRDefault="00A16825" w:rsidP="00C8090B">
            <w:pPr>
              <w:pStyle w:val="TableTextCentred"/>
              <w:rPr>
                <w:rStyle w:val="Bold"/>
                <w:sz w:val="20"/>
                <w:szCs w:val="20"/>
              </w:rPr>
            </w:pPr>
            <w:r w:rsidRPr="00400687">
              <w:rPr>
                <w:rStyle w:val="Bold"/>
                <w:sz w:val="20"/>
                <w:szCs w:val="20"/>
              </w:rPr>
              <w:t>33</w:t>
            </w:r>
          </w:p>
        </w:tc>
        <w:tc>
          <w:tcPr>
            <w:tcW w:w="907" w:type="dxa"/>
            <w:tcMar>
              <w:top w:w="0" w:type="dxa"/>
              <w:left w:w="108" w:type="dxa"/>
              <w:bottom w:w="0" w:type="dxa"/>
              <w:right w:w="108" w:type="dxa"/>
            </w:tcMar>
          </w:tcPr>
          <w:p w14:paraId="283D1A6B" w14:textId="7A4A7944" w:rsidR="00A16825" w:rsidRPr="00400687" w:rsidRDefault="00A16825" w:rsidP="00C8090B">
            <w:pPr>
              <w:pStyle w:val="TableTextCentred"/>
              <w:rPr>
                <w:rStyle w:val="Bold"/>
                <w:sz w:val="20"/>
                <w:szCs w:val="20"/>
              </w:rPr>
            </w:pPr>
            <w:r w:rsidRPr="00400687">
              <w:rPr>
                <w:rStyle w:val="Bold"/>
                <w:sz w:val="20"/>
                <w:szCs w:val="20"/>
              </w:rPr>
              <w:t>15.0%</w:t>
            </w:r>
          </w:p>
        </w:tc>
      </w:tr>
      <w:tr w:rsidR="00A16825" w:rsidRPr="00400687" w14:paraId="2CEB1E3A" w14:textId="77777777" w:rsidTr="00400687">
        <w:tc>
          <w:tcPr>
            <w:tcW w:w="1701" w:type="dxa"/>
            <w:tcBorders>
              <w:bottom w:val="single" w:sz="4" w:space="0" w:color="0079C1" w:themeColor="text2"/>
              <w:right w:val="single" w:sz="4" w:space="0" w:color="0079C1"/>
            </w:tcBorders>
            <w:tcMar>
              <w:top w:w="0" w:type="dxa"/>
              <w:left w:w="108" w:type="dxa"/>
              <w:bottom w:w="0" w:type="dxa"/>
              <w:right w:w="108" w:type="dxa"/>
            </w:tcMar>
            <w:vAlign w:val="center"/>
            <w:hideMark/>
          </w:tcPr>
          <w:p w14:paraId="54BA45B1" w14:textId="57C8EB8B" w:rsidR="00A16825" w:rsidRPr="00400687" w:rsidRDefault="00A16825" w:rsidP="00C8090B">
            <w:pPr>
              <w:pStyle w:val="TableText"/>
              <w:rPr>
                <w:sz w:val="20"/>
                <w:szCs w:val="20"/>
              </w:rPr>
            </w:pPr>
            <w:r w:rsidRPr="00400687">
              <w:rPr>
                <w:sz w:val="20"/>
                <w:szCs w:val="20"/>
              </w:rPr>
              <w:t>Not stated</w:t>
            </w:r>
            <w:r w:rsidR="005B2F99" w:rsidRPr="00400687">
              <w:rPr>
                <w:sz w:val="20"/>
                <w:szCs w:val="20"/>
              </w:rPr>
              <w:t xml:space="preserve">/not </w:t>
            </w:r>
            <w:r w:rsidR="00B85A72" w:rsidRPr="00400687">
              <w:rPr>
                <w:sz w:val="20"/>
                <w:szCs w:val="20"/>
              </w:rPr>
              <w:t>applicable</w:t>
            </w:r>
          </w:p>
        </w:tc>
        <w:tc>
          <w:tcPr>
            <w:tcW w:w="567" w:type="dxa"/>
            <w:tcBorders>
              <w:left w:val="single" w:sz="4" w:space="0" w:color="0079C1"/>
              <w:bottom w:val="single" w:sz="4" w:space="0" w:color="0079C1" w:themeColor="text2"/>
            </w:tcBorders>
            <w:tcMar>
              <w:top w:w="0" w:type="dxa"/>
              <w:left w:w="108" w:type="dxa"/>
              <w:bottom w:w="0" w:type="dxa"/>
              <w:right w:w="108" w:type="dxa"/>
            </w:tcMar>
          </w:tcPr>
          <w:p w14:paraId="09106933" w14:textId="161B0F0E" w:rsidR="00A16825" w:rsidRPr="00400687" w:rsidRDefault="00A16825" w:rsidP="00C8090B">
            <w:pPr>
              <w:pStyle w:val="TableTextCentred"/>
              <w:rPr>
                <w:sz w:val="20"/>
                <w:szCs w:val="20"/>
              </w:rPr>
            </w:pPr>
            <w:r w:rsidRPr="00400687">
              <w:rPr>
                <w:sz w:val="20"/>
                <w:szCs w:val="20"/>
              </w:rPr>
              <w:t>78</w:t>
            </w:r>
          </w:p>
        </w:tc>
        <w:tc>
          <w:tcPr>
            <w:tcW w:w="907" w:type="dxa"/>
            <w:tcBorders>
              <w:bottom w:val="single" w:sz="4" w:space="0" w:color="0079C1" w:themeColor="text2"/>
              <w:right w:val="single" w:sz="4" w:space="0" w:color="0079C1"/>
            </w:tcBorders>
            <w:tcMar>
              <w:top w:w="0" w:type="dxa"/>
              <w:left w:w="108" w:type="dxa"/>
              <w:bottom w:w="0" w:type="dxa"/>
              <w:right w:w="108" w:type="dxa"/>
            </w:tcMar>
          </w:tcPr>
          <w:p w14:paraId="55A09175" w14:textId="271D4E8D" w:rsidR="00A16825" w:rsidRPr="00400687" w:rsidRDefault="00A16825" w:rsidP="00C8090B">
            <w:pPr>
              <w:pStyle w:val="TableTextCentred"/>
              <w:rPr>
                <w:sz w:val="20"/>
                <w:szCs w:val="20"/>
              </w:rPr>
            </w:pPr>
            <w:r w:rsidRPr="00400687">
              <w:rPr>
                <w:sz w:val="20"/>
                <w:szCs w:val="20"/>
              </w:rPr>
              <w:t>72.2%</w:t>
            </w:r>
          </w:p>
        </w:tc>
        <w:tc>
          <w:tcPr>
            <w:tcW w:w="567" w:type="dxa"/>
            <w:tcBorders>
              <w:left w:val="single" w:sz="4" w:space="0" w:color="0079C1"/>
              <w:bottom w:val="single" w:sz="4" w:space="0" w:color="0079C1" w:themeColor="text2"/>
            </w:tcBorders>
            <w:tcMar>
              <w:top w:w="0" w:type="dxa"/>
              <w:left w:w="108" w:type="dxa"/>
              <w:bottom w:w="0" w:type="dxa"/>
              <w:right w:w="108" w:type="dxa"/>
            </w:tcMar>
          </w:tcPr>
          <w:p w14:paraId="0BF91DBC" w14:textId="2A5B2F1F" w:rsidR="00A16825" w:rsidRPr="00400687" w:rsidRDefault="00A16825" w:rsidP="00C8090B">
            <w:pPr>
              <w:pStyle w:val="TableTextCentred"/>
              <w:rPr>
                <w:sz w:val="20"/>
                <w:szCs w:val="20"/>
              </w:rPr>
            </w:pPr>
            <w:r w:rsidRPr="00400687">
              <w:rPr>
                <w:sz w:val="20"/>
                <w:szCs w:val="20"/>
              </w:rPr>
              <w:t>17</w:t>
            </w:r>
          </w:p>
        </w:tc>
        <w:tc>
          <w:tcPr>
            <w:tcW w:w="907" w:type="dxa"/>
            <w:tcBorders>
              <w:bottom w:val="single" w:sz="4" w:space="0" w:color="0079C1" w:themeColor="text2"/>
              <w:right w:val="single" w:sz="4" w:space="0" w:color="0079C1"/>
            </w:tcBorders>
            <w:tcMar>
              <w:top w:w="0" w:type="dxa"/>
              <w:left w:w="108" w:type="dxa"/>
              <w:bottom w:w="0" w:type="dxa"/>
              <w:right w:w="108" w:type="dxa"/>
            </w:tcMar>
          </w:tcPr>
          <w:p w14:paraId="6EF65BCF" w14:textId="072B7F13" w:rsidR="00A16825" w:rsidRPr="00400687" w:rsidRDefault="00A16825" w:rsidP="00C8090B">
            <w:pPr>
              <w:pStyle w:val="TableTextCentred"/>
              <w:rPr>
                <w:sz w:val="20"/>
                <w:szCs w:val="20"/>
              </w:rPr>
            </w:pPr>
            <w:r w:rsidRPr="00400687">
              <w:rPr>
                <w:sz w:val="20"/>
                <w:szCs w:val="20"/>
              </w:rPr>
              <w:t>89.5%</w:t>
            </w:r>
          </w:p>
        </w:tc>
        <w:tc>
          <w:tcPr>
            <w:tcW w:w="567" w:type="dxa"/>
            <w:tcBorders>
              <w:left w:val="single" w:sz="4" w:space="0" w:color="0079C1"/>
              <w:bottom w:val="single" w:sz="4" w:space="0" w:color="0079C1" w:themeColor="text2"/>
            </w:tcBorders>
            <w:tcMar>
              <w:top w:w="0" w:type="dxa"/>
              <w:left w:w="108" w:type="dxa"/>
              <w:bottom w:w="0" w:type="dxa"/>
              <w:right w:w="108" w:type="dxa"/>
            </w:tcMar>
          </w:tcPr>
          <w:p w14:paraId="7C2CFBF9" w14:textId="2AB6A1F8" w:rsidR="00A16825" w:rsidRPr="00400687" w:rsidRDefault="00A16825" w:rsidP="00C8090B">
            <w:pPr>
              <w:pStyle w:val="TableTextCentred"/>
              <w:rPr>
                <w:sz w:val="20"/>
                <w:szCs w:val="20"/>
              </w:rPr>
            </w:pPr>
            <w:r w:rsidRPr="00400687">
              <w:rPr>
                <w:sz w:val="20"/>
                <w:szCs w:val="20"/>
              </w:rPr>
              <w:t>66</w:t>
            </w:r>
          </w:p>
        </w:tc>
        <w:tc>
          <w:tcPr>
            <w:tcW w:w="907" w:type="dxa"/>
            <w:tcBorders>
              <w:bottom w:val="single" w:sz="4" w:space="0" w:color="0079C1" w:themeColor="text2"/>
              <w:right w:val="single" w:sz="4" w:space="0" w:color="0079C1"/>
            </w:tcBorders>
            <w:tcMar>
              <w:top w:w="0" w:type="dxa"/>
              <w:left w:w="108" w:type="dxa"/>
              <w:bottom w:w="0" w:type="dxa"/>
              <w:right w:w="108" w:type="dxa"/>
            </w:tcMar>
          </w:tcPr>
          <w:p w14:paraId="64CB6F53" w14:textId="3B70650F" w:rsidR="00A16825" w:rsidRPr="00400687" w:rsidRDefault="00A16825" w:rsidP="00C8090B">
            <w:pPr>
              <w:pStyle w:val="TableTextCentred"/>
              <w:rPr>
                <w:sz w:val="20"/>
                <w:szCs w:val="20"/>
              </w:rPr>
            </w:pPr>
            <w:r w:rsidRPr="00400687">
              <w:rPr>
                <w:sz w:val="20"/>
                <w:szCs w:val="20"/>
              </w:rPr>
              <w:t>90.4%</w:t>
            </w:r>
          </w:p>
        </w:tc>
        <w:tc>
          <w:tcPr>
            <w:tcW w:w="567" w:type="dxa"/>
            <w:tcBorders>
              <w:left w:val="single" w:sz="4" w:space="0" w:color="0079C1"/>
              <w:bottom w:val="single" w:sz="4" w:space="0" w:color="0079C1" w:themeColor="text2"/>
            </w:tcBorders>
            <w:tcMar>
              <w:top w:w="0" w:type="dxa"/>
              <w:left w:w="108" w:type="dxa"/>
              <w:bottom w:w="0" w:type="dxa"/>
              <w:right w:w="108" w:type="dxa"/>
            </w:tcMar>
          </w:tcPr>
          <w:p w14:paraId="6B7AA455" w14:textId="61E1D29B" w:rsidR="00A16825" w:rsidRPr="00400687" w:rsidRDefault="00A16825" w:rsidP="00C8090B">
            <w:pPr>
              <w:pStyle w:val="TableTextCentred"/>
              <w:rPr>
                <w:sz w:val="20"/>
                <w:szCs w:val="20"/>
              </w:rPr>
            </w:pPr>
            <w:r w:rsidRPr="00400687">
              <w:rPr>
                <w:sz w:val="20"/>
                <w:szCs w:val="20"/>
              </w:rPr>
              <w:t>17</w:t>
            </w:r>
          </w:p>
        </w:tc>
        <w:tc>
          <w:tcPr>
            <w:tcW w:w="907" w:type="dxa"/>
            <w:tcBorders>
              <w:bottom w:val="single" w:sz="4" w:space="0" w:color="0079C1" w:themeColor="text2"/>
              <w:right w:val="single" w:sz="4" w:space="0" w:color="0079C1"/>
            </w:tcBorders>
            <w:tcMar>
              <w:top w:w="0" w:type="dxa"/>
              <w:left w:w="108" w:type="dxa"/>
              <w:bottom w:w="0" w:type="dxa"/>
              <w:right w:w="108" w:type="dxa"/>
            </w:tcMar>
          </w:tcPr>
          <w:p w14:paraId="5AFF4145" w14:textId="2F595C33" w:rsidR="00A16825" w:rsidRPr="00400687" w:rsidRDefault="00A16825" w:rsidP="00C8090B">
            <w:pPr>
              <w:pStyle w:val="TableTextCentred"/>
              <w:rPr>
                <w:sz w:val="20"/>
                <w:szCs w:val="20"/>
              </w:rPr>
            </w:pPr>
            <w:r w:rsidRPr="00400687">
              <w:rPr>
                <w:sz w:val="20"/>
                <w:szCs w:val="20"/>
              </w:rPr>
              <w:t>85%</w:t>
            </w:r>
          </w:p>
        </w:tc>
        <w:tc>
          <w:tcPr>
            <w:tcW w:w="567" w:type="dxa"/>
            <w:tcBorders>
              <w:left w:val="single" w:sz="4" w:space="0" w:color="0079C1"/>
              <w:bottom w:val="single" w:sz="4" w:space="0" w:color="0079C1" w:themeColor="text2"/>
            </w:tcBorders>
            <w:tcMar>
              <w:top w:w="0" w:type="dxa"/>
              <w:left w:w="108" w:type="dxa"/>
              <w:bottom w:w="0" w:type="dxa"/>
              <w:right w:w="108" w:type="dxa"/>
            </w:tcMar>
          </w:tcPr>
          <w:p w14:paraId="0D77DF98" w14:textId="1232ECD8" w:rsidR="00A16825" w:rsidRPr="00400687" w:rsidRDefault="00A16825" w:rsidP="00C8090B">
            <w:pPr>
              <w:pStyle w:val="TableTextCentred"/>
              <w:rPr>
                <w:rStyle w:val="Bold"/>
                <w:sz w:val="20"/>
                <w:szCs w:val="20"/>
              </w:rPr>
            </w:pPr>
            <w:r w:rsidRPr="00400687">
              <w:rPr>
                <w:rStyle w:val="Bold"/>
                <w:sz w:val="20"/>
                <w:szCs w:val="20"/>
              </w:rPr>
              <w:t>178</w:t>
            </w:r>
          </w:p>
        </w:tc>
        <w:tc>
          <w:tcPr>
            <w:tcW w:w="907" w:type="dxa"/>
            <w:tcBorders>
              <w:bottom w:val="single" w:sz="4" w:space="0" w:color="0079C1" w:themeColor="text2"/>
            </w:tcBorders>
            <w:tcMar>
              <w:top w:w="0" w:type="dxa"/>
              <w:left w:w="108" w:type="dxa"/>
              <w:bottom w:w="0" w:type="dxa"/>
              <w:right w:w="108" w:type="dxa"/>
            </w:tcMar>
          </w:tcPr>
          <w:p w14:paraId="4AC9706F" w14:textId="46B4C58D" w:rsidR="00A16825" w:rsidRPr="00400687" w:rsidRDefault="00A16825" w:rsidP="00C8090B">
            <w:pPr>
              <w:pStyle w:val="TableTextCentred"/>
              <w:rPr>
                <w:rStyle w:val="Bold"/>
                <w:sz w:val="20"/>
                <w:szCs w:val="20"/>
              </w:rPr>
            </w:pPr>
            <w:r w:rsidRPr="00400687">
              <w:rPr>
                <w:rStyle w:val="Bold"/>
                <w:sz w:val="20"/>
                <w:szCs w:val="20"/>
              </w:rPr>
              <w:t>80.9%</w:t>
            </w:r>
          </w:p>
        </w:tc>
      </w:tr>
      <w:tr w:rsidR="00A16825" w:rsidRPr="00400687" w14:paraId="0BDC7159" w14:textId="77777777" w:rsidTr="00400687">
        <w:tc>
          <w:tcPr>
            <w:tcW w:w="1701" w:type="dxa"/>
            <w:tcBorders>
              <w:top w:val="single" w:sz="4" w:space="0" w:color="0079C1" w:themeColor="text2"/>
              <w:bottom w:val="single" w:sz="4" w:space="0" w:color="0079C1" w:themeColor="text2"/>
              <w:right w:val="single" w:sz="4" w:space="0" w:color="0079C1"/>
            </w:tcBorders>
            <w:shd w:val="clear" w:color="auto" w:fill="E2F4FF" w:themeFill="accent1" w:themeFillTint="33"/>
            <w:tcMar>
              <w:top w:w="0" w:type="dxa"/>
              <w:left w:w="108" w:type="dxa"/>
              <w:bottom w:w="0" w:type="dxa"/>
              <w:right w:w="108" w:type="dxa"/>
            </w:tcMar>
            <w:vAlign w:val="center"/>
            <w:hideMark/>
          </w:tcPr>
          <w:p w14:paraId="52F370FC" w14:textId="77777777" w:rsidR="00A16825" w:rsidRPr="00400687" w:rsidRDefault="00A16825" w:rsidP="00C8090B">
            <w:pPr>
              <w:pStyle w:val="TableText"/>
              <w:rPr>
                <w:rStyle w:val="Bold"/>
                <w:sz w:val="20"/>
                <w:szCs w:val="20"/>
              </w:rPr>
            </w:pPr>
            <w:r w:rsidRPr="00400687">
              <w:rPr>
                <w:rStyle w:val="Bold"/>
                <w:sz w:val="20"/>
                <w:szCs w:val="20"/>
              </w:rPr>
              <w:t>Total</w:t>
            </w:r>
          </w:p>
        </w:tc>
        <w:tc>
          <w:tcPr>
            <w:tcW w:w="567" w:type="dxa"/>
            <w:tcBorders>
              <w:top w:val="single" w:sz="4" w:space="0" w:color="0079C1" w:themeColor="text2"/>
              <w:left w:val="single" w:sz="4" w:space="0" w:color="0079C1"/>
              <w:bottom w:val="single" w:sz="4" w:space="0" w:color="0079C1" w:themeColor="text2"/>
            </w:tcBorders>
            <w:shd w:val="clear" w:color="auto" w:fill="E2F4FF" w:themeFill="accent1" w:themeFillTint="33"/>
            <w:tcMar>
              <w:top w:w="0" w:type="dxa"/>
              <w:left w:w="108" w:type="dxa"/>
              <w:bottom w:w="0" w:type="dxa"/>
              <w:right w:w="108" w:type="dxa"/>
            </w:tcMar>
          </w:tcPr>
          <w:p w14:paraId="60424C2F" w14:textId="200B9D13" w:rsidR="00A16825" w:rsidRPr="00400687" w:rsidRDefault="00A16825" w:rsidP="00C8090B">
            <w:pPr>
              <w:pStyle w:val="TableTextCentred"/>
              <w:rPr>
                <w:rStyle w:val="Bold"/>
                <w:sz w:val="20"/>
                <w:szCs w:val="20"/>
              </w:rPr>
            </w:pPr>
            <w:r w:rsidRPr="00400687">
              <w:rPr>
                <w:rStyle w:val="Bold"/>
                <w:sz w:val="20"/>
                <w:szCs w:val="20"/>
              </w:rPr>
              <w:t>108</w:t>
            </w:r>
          </w:p>
        </w:tc>
        <w:tc>
          <w:tcPr>
            <w:tcW w:w="907" w:type="dxa"/>
            <w:tcBorders>
              <w:top w:val="single" w:sz="4" w:space="0" w:color="0079C1" w:themeColor="text2"/>
              <w:bottom w:val="single" w:sz="4" w:space="0" w:color="0079C1" w:themeColor="text2"/>
              <w:right w:val="single" w:sz="4" w:space="0" w:color="0079C1"/>
            </w:tcBorders>
            <w:shd w:val="clear" w:color="auto" w:fill="E2F4FF" w:themeFill="accent1" w:themeFillTint="33"/>
            <w:tcMar>
              <w:top w:w="0" w:type="dxa"/>
              <w:left w:w="108" w:type="dxa"/>
              <w:bottom w:w="0" w:type="dxa"/>
              <w:right w:w="108" w:type="dxa"/>
            </w:tcMar>
          </w:tcPr>
          <w:p w14:paraId="6A71A2B4" w14:textId="78959620" w:rsidR="00A16825" w:rsidRPr="00400687" w:rsidRDefault="00A16825" w:rsidP="00C8090B">
            <w:pPr>
              <w:pStyle w:val="TableTextCentred"/>
              <w:rPr>
                <w:rStyle w:val="Bold"/>
                <w:sz w:val="20"/>
                <w:szCs w:val="20"/>
              </w:rPr>
            </w:pPr>
            <w:r w:rsidRPr="00400687">
              <w:rPr>
                <w:rStyle w:val="Bold"/>
                <w:sz w:val="20"/>
                <w:szCs w:val="20"/>
              </w:rPr>
              <w:t>100.0%</w:t>
            </w:r>
          </w:p>
        </w:tc>
        <w:tc>
          <w:tcPr>
            <w:tcW w:w="567" w:type="dxa"/>
            <w:tcBorders>
              <w:top w:val="single" w:sz="4" w:space="0" w:color="0079C1" w:themeColor="text2"/>
              <w:left w:val="single" w:sz="4" w:space="0" w:color="0079C1"/>
              <w:bottom w:val="single" w:sz="4" w:space="0" w:color="0079C1" w:themeColor="text2"/>
            </w:tcBorders>
            <w:shd w:val="clear" w:color="auto" w:fill="E2F4FF" w:themeFill="accent1" w:themeFillTint="33"/>
            <w:tcMar>
              <w:top w:w="0" w:type="dxa"/>
              <w:left w:w="108" w:type="dxa"/>
              <w:bottom w:w="0" w:type="dxa"/>
              <w:right w:w="108" w:type="dxa"/>
            </w:tcMar>
          </w:tcPr>
          <w:p w14:paraId="247BC85B" w14:textId="1DAD3A9F" w:rsidR="00A16825" w:rsidRPr="00400687" w:rsidRDefault="00A16825" w:rsidP="00C8090B">
            <w:pPr>
              <w:pStyle w:val="TableTextCentred"/>
              <w:rPr>
                <w:rStyle w:val="Bold"/>
                <w:sz w:val="20"/>
                <w:szCs w:val="20"/>
              </w:rPr>
            </w:pPr>
            <w:r w:rsidRPr="00400687">
              <w:rPr>
                <w:rStyle w:val="Bold"/>
                <w:sz w:val="20"/>
                <w:szCs w:val="20"/>
              </w:rPr>
              <w:t>19</w:t>
            </w:r>
          </w:p>
        </w:tc>
        <w:tc>
          <w:tcPr>
            <w:tcW w:w="907" w:type="dxa"/>
            <w:tcBorders>
              <w:top w:val="single" w:sz="4" w:space="0" w:color="0079C1" w:themeColor="text2"/>
              <w:bottom w:val="single" w:sz="4" w:space="0" w:color="0079C1" w:themeColor="text2"/>
              <w:right w:val="single" w:sz="4" w:space="0" w:color="0079C1"/>
            </w:tcBorders>
            <w:shd w:val="clear" w:color="auto" w:fill="E2F4FF" w:themeFill="accent1" w:themeFillTint="33"/>
            <w:tcMar>
              <w:top w:w="0" w:type="dxa"/>
              <w:left w:w="108" w:type="dxa"/>
              <w:bottom w:w="0" w:type="dxa"/>
              <w:right w:w="108" w:type="dxa"/>
            </w:tcMar>
          </w:tcPr>
          <w:p w14:paraId="3BC2134A" w14:textId="19AE95F1" w:rsidR="00A16825" w:rsidRPr="00400687" w:rsidRDefault="00A16825" w:rsidP="00C8090B">
            <w:pPr>
              <w:pStyle w:val="TableTextCentred"/>
              <w:rPr>
                <w:rStyle w:val="Bold"/>
                <w:sz w:val="20"/>
                <w:szCs w:val="20"/>
              </w:rPr>
            </w:pPr>
            <w:r w:rsidRPr="00400687">
              <w:rPr>
                <w:rStyle w:val="Bold"/>
                <w:sz w:val="20"/>
                <w:szCs w:val="20"/>
              </w:rPr>
              <w:t>100.0%</w:t>
            </w:r>
          </w:p>
        </w:tc>
        <w:tc>
          <w:tcPr>
            <w:tcW w:w="567" w:type="dxa"/>
            <w:tcBorders>
              <w:top w:val="single" w:sz="4" w:space="0" w:color="0079C1" w:themeColor="text2"/>
              <w:left w:val="single" w:sz="4" w:space="0" w:color="0079C1"/>
              <w:bottom w:val="single" w:sz="4" w:space="0" w:color="0079C1" w:themeColor="text2"/>
            </w:tcBorders>
            <w:shd w:val="clear" w:color="auto" w:fill="E2F4FF" w:themeFill="accent1" w:themeFillTint="33"/>
            <w:tcMar>
              <w:top w:w="0" w:type="dxa"/>
              <w:left w:w="108" w:type="dxa"/>
              <w:bottom w:w="0" w:type="dxa"/>
              <w:right w:w="108" w:type="dxa"/>
            </w:tcMar>
          </w:tcPr>
          <w:p w14:paraId="1F6ADB9F" w14:textId="59BB1085" w:rsidR="00A16825" w:rsidRPr="00400687" w:rsidRDefault="00A16825" w:rsidP="00C8090B">
            <w:pPr>
              <w:pStyle w:val="TableTextCentred"/>
              <w:rPr>
                <w:rStyle w:val="Bold"/>
                <w:sz w:val="20"/>
                <w:szCs w:val="20"/>
              </w:rPr>
            </w:pPr>
            <w:r w:rsidRPr="00400687">
              <w:rPr>
                <w:rStyle w:val="Bold"/>
                <w:sz w:val="20"/>
                <w:szCs w:val="20"/>
              </w:rPr>
              <w:t>73</w:t>
            </w:r>
          </w:p>
        </w:tc>
        <w:tc>
          <w:tcPr>
            <w:tcW w:w="907" w:type="dxa"/>
            <w:tcBorders>
              <w:top w:val="single" w:sz="4" w:space="0" w:color="0079C1" w:themeColor="text2"/>
              <w:bottom w:val="single" w:sz="4" w:space="0" w:color="0079C1" w:themeColor="text2"/>
              <w:right w:val="single" w:sz="4" w:space="0" w:color="0079C1"/>
            </w:tcBorders>
            <w:shd w:val="clear" w:color="auto" w:fill="E2F4FF" w:themeFill="accent1" w:themeFillTint="33"/>
            <w:tcMar>
              <w:top w:w="0" w:type="dxa"/>
              <w:left w:w="108" w:type="dxa"/>
              <w:bottom w:w="0" w:type="dxa"/>
              <w:right w:w="108" w:type="dxa"/>
            </w:tcMar>
          </w:tcPr>
          <w:p w14:paraId="61781F27" w14:textId="7875B393" w:rsidR="00A16825" w:rsidRPr="00400687" w:rsidRDefault="00A16825" w:rsidP="00C8090B">
            <w:pPr>
              <w:pStyle w:val="TableTextCentred"/>
              <w:rPr>
                <w:rStyle w:val="Bold"/>
                <w:sz w:val="20"/>
                <w:szCs w:val="20"/>
              </w:rPr>
            </w:pPr>
            <w:r w:rsidRPr="00400687">
              <w:rPr>
                <w:rStyle w:val="Bold"/>
                <w:sz w:val="20"/>
                <w:szCs w:val="20"/>
              </w:rPr>
              <w:t>100.0%</w:t>
            </w:r>
          </w:p>
        </w:tc>
        <w:tc>
          <w:tcPr>
            <w:tcW w:w="567" w:type="dxa"/>
            <w:tcBorders>
              <w:top w:val="single" w:sz="4" w:space="0" w:color="0079C1" w:themeColor="text2"/>
              <w:left w:val="single" w:sz="4" w:space="0" w:color="0079C1"/>
              <w:bottom w:val="single" w:sz="4" w:space="0" w:color="0079C1" w:themeColor="text2"/>
            </w:tcBorders>
            <w:shd w:val="clear" w:color="auto" w:fill="E2F4FF" w:themeFill="accent1" w:themeFillTint="33"/>
            <w:tcMar>
              <w:top w:w="0" w:type="dxa"/>
              <w:left w:w="108" w:type="dxa"/>
              <w:bottom w:w="0" w:type="dxa"/>
              <w:right w:w="108" w:type="dxa"/>
            </w:tcMar>
          </w:tcPr>
          <w:p w14:paraId="58500471" w14:textId="567718DE" w:rsidR="00A16825" w:rsidRPr="00400687" w:rsidRDefault="00A16825" w:rsidP="00C8090B">
            <w:pPr>
              <w:pStyle w:val="TableTextCentred"/>
              <w:rPr>
                <w:rStyle w:val="Bold"/>
                <w:sz w:val="20"/>
                <w:szCs w:val="20"/>
              </w:rPr>
            </w:pPr>
            <w:r w:rsidRPr="00400687">
              <w:rPr>
                <w:rStyle w:val="Bold"/>
                <w:sz w:val="20"/>
                <w:szCs w:val="20"/>
              </w:rPr>
              <w:t>20</w:t>
            </w:r>
          </w:p>
        </w:tc>
        <w:tc>
          <w:tcPr>
            <w:tcW w:w="907" w:type="dxa"/>
            <w:tcBorders>
              <w:top w:val="single" w:sz="4" w:space="0" w:color="0079C1" w:themeColor="text2"/>
              <w:bottom w:val="single" w:sz="4" w:space="0" w:color="0079C1" w:themeColor="text2"/>
              <w:right w:val="single" w:sz="4" w:space="0" w:color="0079C1"/>
            </w:tcBorders>
            <w:shd w:val="clear" w:color="auto" w:fill="E2F4FF" w:themeFill="accent1" w:themeFillTint="33"/>
            <w:tcMar>
              <w:top w:w="0" w:type="dxa"/>
              <w:left w:w="108" w:type="dxa"/>
              <w:bottom w:w="0" w:type="dxa"/>
              <w:right w:w="108" w:type="dxa"/>
            </w:tcMar>
          </w:tcPr>
          <w:p w14:paraId="10C744C3" w14:textId="3201F044" w:rsidR="00A16825" w:rsidRPr="00400687" w:rsidRDefault="00A16825" w:rsidP="00C8090B">
            <w:pPr>
              <w:pStyle w:val="TableTextCentred"/>
              <w:rPr>
                <w:rStyle w:val="Bold"/>
                <w:sz w:val="20"/>
                <w:szCs w:val="20"/>
              </w:rPr>
            </w:pPr>
            <w:r w:rsidRPr="00400687">
              <w:rPr>
                <w:rStyle w:val="Bold"/>
                <w:sz w:val="20"/>
                <w:szCs w:val="20"/>
              </w:rPr>
              <w:t>100.0%</w:t>
            </w:r>
          </w:p>
        </w:tc>
        <w:tc>
          <w:tcPr>
            <w:tcW w:w="567" w:type="dxa"/>
            <w:tcBorders>
              <w:top w:val="single" w:sz="4" w:space="0" w:color="0079C1" w:themeColor="text2"/>
              <w:left w:val="single" w:sz="4" w:space="0" w:color="0079C1"/>
              <w:bottom w:val="single" w:sz="4" w:space="0" w:color="0079C1" w:themeColor="text2"/>
            </w:tcBorders>
            <w:shd w:val="clear" w:color="auto" w:fill="E2F4FF" w:themeFill="accent1" w:themeFillTint="33"/>
            <w:tcMar>
              <w:top w:w="0" w:type="dxa"/>
              <w:left w:w="108" w:type="dxa"/>
              <w:bottom w:w="0" w:type="dxa"/>
              <w:right w:w="108" w:type="dxa"/>
            </w:tcMar>
          </w:tcPr>
          <w:p w14:paraId="47A59AEC" w14:textId="0F6B1E99" w:rsidR="00A16825" w:rsidRPr="00400687" w:rsidRDefault="00A16825" w:rsidP="00C8090B">
            <w:pPr>
              <w:pStyle w:val="TableTextCentred"/>
              <w:rPr>
                <w:rStyle w:val="Bold"/>
                <w:sz w:val="20"/>
                <w:szCs w:val="20"/>
              </w:rPr>
            </w:pPr>
            <w:r w:rsidRPr="00400687">
              <w:rPr>
                <w:rStyle w:val="Bold"/>
                <w:sz w:val="20"/>
                <w:szCs w:val="20"/>
              </w:rPr>
              <w:t>220</w:t>
            </w:r>
          </w:p>
        </w:tc>
        <w:tc>
          <w:tcPr>
            <w:tcW w:w="907" w:type="dxa"/>
            <w:tcBorders>
              <w:top w:val="single" w:sz="4" w:space="0" w:color="0079C1" w:themeColor="text2"/>
              <w:bottom w:val="single" w:sz="4" w:space="0" w:color="0079C1" w:themeColor="text2"/>
            </w:tcBorders>
            <w:shd w:val="clear" w:color="auto" w:fill="E2F4FF" w:themeFill="accent1" w:themeFillTint="33"/>
            <w:tcMar>
              <w:top w:w="0" w:type="dxa"/>
              <w:left w:w="108" w:type="dxa"/>
              <w:bottom w:w="0" w:type="dxa"/>
              <w:right w:w="108" w:type="dxa"/>
            </w:tcMar>
          </w:tcPr>
          <w:p w14:paraId="37351E69" w14:textId="1B818869" w:rsidR="00A16825" w:rsidRPr="00400687" w:rsidRDefault="00A16825" w:rsidP="00C8090B">
            <w:pPr>
              <w:pStyle w:val="TableTextCentred"/>
              <w:rPr>
                <w:rStyle w:val="Bold"/>
                <w:sz w:val="20"/>
                <w:szCs w:val="20"/>
              </w:rPr>
            </w:pPr>
            <w:r w:rsidRPr="00400687">
              <w:rPr>
                <w:rStyle w:val="Bold"/>
                <w:sz w:val="20"/>
                <w:szCs w:val="20"/>
              </w:rPr>
              <w:t>100.0%</w:t>
            </w:r>
          </w:p>
        </w:tc>
      </w:tr>
    </w:tbl>
    <w:p w14:paraId="39B9479A" w14:textId="1C700592" w:rsidR="00C471B3" w:rsidRDefault="005379F6" w:rsidP="005379F6">
      <w:pPr>
        <w:pStyle w:val="Caption"/>
      </w:pPr>
      <w:bookmarkStart w:id="166" w:name="_Ref463006007"/>
      <w:bookmarkStart w:id="167" w:name="_Toc490481672"/>
      <w:r w:rsidRPr="00B43607">
        <w:t xml:space="preserve">Table </w:t>
      </w:r>
      <w:r w:rsidR="00644B63">
        <w:fldChar w:fldCharType="begin"/>
      </w:r>
      <w:r w:rsidR="00644B63">
        <w:instrText xml:space="preserve"> STYLEREF 1 \s </w:instrText>
      </w:r>
      <w:r w:rsidR="00644B63">
        <w:fldChar w:fldCharType="separate"/>
      </w:r>
      <w:r w:rsidR="00487073">
        <w:rPr>
          <w:noProof/>
        </w:rPr>
        <w:t>6</w:t>
      </w:r>
      <w:r w:rsidR="00644B63">
        <w:fldChar w:fldCharType="end"/>
      </w:r>
      <w:r w:rsidR="00644B63">
        <w:noBreakHyphen/>
      </w:r>
      <w:r w:rsidR="00644B63">
        <w:fldChar w:fldCharType="begin"/>
      </w:r>
      <w:r w:rsidR="00644B63">
        <w:instrText xml:space="preserve"> SEQ Table \* ARABIC \s 1 </w:instrText>
      </w:r>
      <w:r w:rsidR="00644B63">
        <w:fldChar w:fldCharType="separate"/>
      </w:r>
      <w:r w:rsidR="00487073">
        <w:rPr>
          <w:noProof/>
        </w:rPr>
        <w:t>7</w:t>
      </w:r>
      <w:r w:rsidR="00644B63">
        <w:fldChar w:fldCharType="end"/>
      </w:r>
      <w:bookmarkEnd w:id="166"/>
      <w:r w:rsidR="00E07D8E">
        <w:t>:</w:t>
      </w:r>
      <w:r w:rsidR="00E07D8E">
        <w:tab/>
      </w:r>
      <w:r w:rsidR="0081080E">
        <w:t>Respondent uptake of referral to STCA</w:t>
      </w:r>
      <w:bookmarkEnd w:id="167"/>
    </w:p>
    <w:tbl>
      <w:tblPr>
        <w:tblW w:w="9071" w:type="dxa"/>
        <w:tblInd w:w="108"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CellMar>
          <w:left w:w="0" w:type="dxa"/>
          <w:right w:w="0" w:type="dxa"/>
        </w:tblCellMar>
        <w:tblLook w:val="04A0" w:firstRow="1" w:lastRow="0" w:firstColumn="1" w:lastColumn="0" w:noHBand="0" w:noVBand="1"/>
      </w:tblPr>
      <w:tblGrid>
        <w:gridCol w:w="1701"/>
        <w:gridCol w:w="567"/>
        <w:gridCol w:w="907"/>
        <w:gridCol w:w="567"/>
        <w:gridCol w:w="907"/>
        <w:gridCol w:w="567"/>
        <w:gridCol w:w="907"/>
        <w:gridCol w:w="567"/>
        <w:gridCol w:w="907"/>
        <w:gridCol w:w="567"/>
        <w:gridCol w:w="907"/>
      </w:tblGrid>
      <w:tr w:rsidR="00A16825" w:rsidRPr="00400687" w14:paraId="38690608" w14:textId="77777777" w:rsidTr="00C8090B">
        <w:trPr>
          <w:tblHeader/>
        </w:trPr>
        <w:tc>
          <w:tcPr>
            <w:tcW w:w="1701" w:type="dxa"/>
            <w:vMerge w:val="restart"/>
            <w:shd w:val="clear" w:color="auto" w:fill="0079C1" w:themeFill="text2"/>
            <w:tcMar>
              <w:top w:w="0" w:type="dxa"/>
              <w:left w:w="108" w:type="dxa"/>
              <w:bottom w:w="0" w:type="dxa"/>
              <w:right w:w="108" w:type="dxa"/>
            </w:tcMar>
            <w:vAlign w:val="center"/>
            <w:hideMark/>
          </w:tcPr>
          <w:p w14:paraId="272F599E" w14:textId="69F99DD3" w:rsidR="00A16825" w:rsidRPr="00400687" w:rsidRDefault="00A16825" w:rsidP="00A16825">
            <w:pPr>
              <w:pStyle w:val="TableHeading1"/>
              <w:rPr>
                <w:sz w:val="20"/>
              </w:rPr>
            </w:pPr>
            <w:r w:rsidRPr="00400687">
              <w:rPr>
                <w:sz w:val="20"/>
              </w:rPr>
              <w:t>Contacted STCA after referral</w:t>
            </w:r>
          </w:p>
        </w:tc>
        <w:tc>
          <w:tcPr>
            <w:tcW w:w="2948" w:type="dxa"/>
            <w:gridSpan w:val="4"/>
            <w:shd w:val="clear" w:color="auto" w:fill="0079C1" w:themeFill="text2"/>
            <w:tcMar>
              <w:top w:w="0" w:type="dxa"/>
              <w:left w:w="108" w:type="dxa"/>
              <w:bottom w:w="0" w:type="dxa"/>
              <w:right w:w="108" w:type="dxa"/>
            </w:tcMar>
            <w:vAlign w:val="center"/>
            <w:hideMark/>
          </w:tcPr>
          <w:p w14:paraId="5E8DC396" w14:textId="77777777" w:rsidR="00A16825" w:rsidRPr="00400687" w:rsidRDefault="00A16825" w:rsidP="00C8090B">
            <w:pPr>
              <w:pStyle w:val="TableHeading1Centred"/>
              <w:rPr>
                <w:sz w:val="20"/>
              </w:rPr>
            </w:pPr>
            <w:r w:rsidRPr="00400687">
              <w:rPr>
                <w:sz w:val="20"/>
              </w:rPr>
              <w:t>Wanting to adopt</w:t>
            </w:r>
          </w:p>
        </w:tc>
        <w:tc>
          <w:tcPr>
            <w:tcW w:w="1474" w:type="dxa"/>
            <w:gridSpan w:val="2"/>
            <w:vMerge w:val="restart"/>
            <w:shd w:val="clear" w:color="auto" w:fill="0079C1" w:themeFill="text2"/>
            <w:tcMar>
              <w:top w:w="0" w:type="dxa"/>
              <w:left w:w="108" w:type="dxa"/>
              <w:bottom w:w="0" w:type="dxa"/>
              <w:right w:w="108" w:type="dxa"/>
            </w:tcMar>
            <w:vAlign w:val="center"/>
            <w:hideMark/>
          </w:tcPr>
          <w:p w14:paraId="7F953AC3" w14:textId="77777777" w:rsidR="00A16825" w:rsidRPr="00400687" w:rsidRDefault="00A16825" w:rsidP="00C8090B">
            <w:pPr>
              <w:pStyle w:val="TableHeading1Centred"/>
              <w:rPr>
                <w:sz w:val="20"/>
              </w:rPr>
            </w:pPr>
            <w:r w:rsidRPr="00400687">
              <w:rPr>
                <w:sz w:val="20"/>
              </w:rPr>
              <w:t>Post adoption</w:t>
            </w:r>
          </w:p>
        </w:tc>
        <w:tc>
          <w:tcPr>
            <w:tcW w:w="1474" w:type="dxa"/>
            <w:gridSpan w:val="2"/>
            <w:vMerge w:val="restart"/>
            <w:shd w:val="clear" w:color="auto" w:fill="0079C1" w:themeFill="text2"/>
            <w:tcMar>
              <w:top w:w="0" w:type="dxa"/>
              <w:left w:w="108" w:type="dxa"/>
              <w:bottom w:w="0" w:type="dxa"/>
              <w:right w:w="108" w:type="dxa"/>
            </w:tcMar>
            <w:vAlign w:val="center"/>
            <w:hideMark/>
          </w:tcPr>
          <w:p w14:paraId="1AFC52EA" w14:textId="77777777" w:rsidR="00A16825" w:rsidRPr="00400687" w:rsidRDefault="00A16825" w:rsidP="00C8090B">
            <w:pPr>
              <w:pStyle w:val="TableHeading1Centred"/>
              <w:rPr>
                <w:sz w:val="20"/>
              </w:rPr>
            </w:pPr>
            <w:r w:rsidRPr="00400687">
              <w:rPr>
                <w:sz w:val="20"/>
              </w:rPr>
              <w:t>Did not continue</w:t>
            </w:r>
          </w:p>
        </w:tc>
        <w:tc>
          <w:tcPr>
            <w:tcW w:w="1474" w:type="dxa"/>
            <w:gridSpan w:val="2"/>
            <w:vMerge w:val="restart"/>
            <w:shd w:val="clear" w:color="auto" w:fill="0079C1" w:themeFill="text2"/>
            <w:tcMar>
              <w:top w:w="0" w:type="dxa"/>
              <w:left w:w="108" w:type="dxa"/>
              <w:bottom w:w="0" w:type="dxa"/>
              <w:right w:w="108" w:type="dxa"/>
            </w:tcMar>
            <w:vAlign w:val="center"/>
            <w:hideMark/>
          </w:tcPr>
          <w:p w14:paraId="5D058916" w14:textId="6B7FB80E" w:rsidR="00A16825" w:rsidRPr="00400687" w:rsidRDefault="00A16825" w:rsidP="00A16825">
            <w:pPr>
              <w:pStyle w:val="TableHeading1Centred"/>
              <w:rPr>
                <w:sz w:val="20"/>
              </w:rPr>
            </w:pPr>
            <w:r w:rsidRPr="00400687">
              <w:rPr>
                <w:sz w:val="20"/>
              </w:rPr>
              <w:t>Total</w:t>
            </w:r>
          </w:p>
        </w:tc>
      </w:tr>
      <w:tr w:rsidR="00A16825" w:rsidRPr="00400687" w14:paraId="51BD5EF7" w14:textId="77777777" w:rsidTr="00C8090B">
        <w:trPr>
          <w:tblHeader/>
        </w:trPr>
        <w:tc>
          <w:tcPr>
            <w:tcW w:w="1701" w:type="dxa"/>
            <w:vMerge/>
            <w:shd w:val="clear" w:color="auto" w:fill="0079C1" w:themeFill="text2"/>
            <w:vAlign w:val="center"/>
            <w:hideMark/>
          </w:tcPr>
          <w:p w14:paraId="3019301B" w14:textId="77777777" w:rsidR="00A16825" w:rsidRPr="00400687" w:rsidRDefault="00A16825" w:rsidP="00C8090B">
            <w:pPr>
              <w:pStyle w:val="TableHeading1Centred"/>
              <w:rPr>
                <w:sz w:val="20"/>
              </w:rPr>
            </w:pPr>
          </w:p>
        </w:tc>
        <w:tc>
          <w:tcPr>
            <w:tcW w:w="1474" w:type="dxa"/>
            <w:gridSpan w:val="2"/>
            <w:shd w:val="clear" w:color="auto" w:fill="0079C1" w:themeFill="text2"/>
            <w:tcMar>
              <w:top w:w="0" w:type="dxa"/>
              <w:left w:w="108" w:type="dxa"/>
              <w:bottom w:w="0" w:type="dxa"/>
              <w:right w:w="108" w:type="dxa"/>
            </w:tcMar>
            <w:vAlign w:val="center"/>
            <w:hideMark/>
          </w:tcPr>
          <w:p w14:paraId="5157556C" w14:textId="77777777" w:rsidR="00A16825" w:rsidRPr="00400687" w:rsidRDefault="00A16825" w:rsidP="00C8090B">
            <w:pPr>
              <w:pStyle w:val="TableHeading1Centred"/>
              <w:rPr>
                <w:sz w:val="20"/>
              </w:rPr>
            </w:pPr>
            <w:r w:rsidRPr="00400687">
              <w:rPr>
                <w:sz w:val="20"/>
              </w:rPr>
              <w:t>First time</w:t>
            </w:r>
          </w:p>
        </w:tc>
        <w:tc>
          <w:tcPr>
            <w:tcW w:w="1474" w:type="dxa"/>
            <w:gridSpan w:val="2"/>
            <w:shd w:val="clear" w:color="auto" w:fill="0079C1" w:themeFill="text2"/>
            <w:tcMar>
              <w:top w:w="0" w:type="dxa"/>
              <w:left w:w="108" w:type="dxa"/>
              <w:bottom w:w="0" w:type="dxa"/>
              <w:right w:w="108" w:type="dxa"/>
            </w:tcMar>
            <w:vAlign w:val="center"/>
            <w:hideMark/>
          </w:tcPr>
          <w:p w14:paraId="1E74F35E" w14:textId="77777777" w:rsidR="00A16825" w:rsidRPr="00400687" w:rsidRDefault="00A16825" w:rsidP="00C8090B">
            <w:pPr>
              <w:pStyle w:val="TableHeading1Centred"/>
              <w:rPr>
                <w:sz w:val="20"/>
              </w:rPr>
            </w:pPr>
            <w:r w:rsidRPr="00400687">
              <w:rPr>
                <w:sz w:val="20"/>
              </w:rPr>
              <w:t>Repeat</w:t>
            </w:r>
          </w:p>
        </w:tc>
        <w:tc>
          <w:tcPr>
            <w:tcW w:w="1474" w:type="dxa"/>
            <w:gridSpan w:val="2"/>
            <w:vMerge/>
            <w:shd w:val="clear" w:color="auto" w:fill="0079C1" w:themeFill="text2"/>
            <w:vAlign w:val="center"/>
            <w:hideMark/>
          </w:tcPr>
          <w:p w14:paraId="07A91C8B" w14:textId="77777777" w:rsidR="00A16825" w:rsidRPr="00400687" w:rsidRDefault="00A16825" w:rsidP="00C8090B">
            <w:pPr>
              <w:pStyle w:val="TableHeading1Centred"/>
              <w:rPr>
                <w:sz w:val="20"/>
              </w:rPr>
            </w:pPr>
          </w:p>
        </w:tc>
        <w:tc>
          <w:tcPr>
            <w:tcW w:w="1474" w:type="dxa"/>
            <w:gridSpan w:val="2"/>
            <w:vMerge/>
            <w:shd w:val="clear" w:color="auto" w:fill="0079C1" w:themeFill="text2"/>
            <w:vAlign w:val="center"/>
            <w:hideMark/>
          </w:tcPr>
          <w:p w14:paraId="7DB8A73B" w14:textId="77777777" w:rsidR="00A16825" w:rsidRPr="00400687" w:rsidRDefault="00A16825" w:rsidP="00C8090B">
            <w:pPr>
              <w:pStyle w:val="TableHeading1Centred"/>
              <w:rPr>
                <w:sz w:val="20"/>
              </w:rPr>
            </w:pPr>
          </w:p>
        </w:tc>
        <w:tc>
          <w:tcPr>
            <w:tcW w:w="1474" w:type="dxa"/>
            <w:gridSpan w:val="2"/>
            <w:vMerge/>
            <w:shd w:val="clear" w:color="auto" w:fill="0079C1" w:themeFill="text2"/>
            <w:vAlign w:val="center"/>
            <w:hideMark/>
          </w:tcPr>
          <w:p w14:paraId="2FF47F1E" w14:textId="77777777" w:rsidR="00A16825" w:rsidRPr="00400687" w:rsidRDefault="00A16825" w:rsidP="00C8090B">
            <w:pPr>
              <w:pStyle w:val="TableHeading1Centred"/>
              <w:rPr>
                <w:sz w:val="20"/>
              </w:rPr>
            </w:pPr>
          </w:p>
        </w:tc>
      </w:tr>
      <w:tr w:rsidR="00A16825" w:rsidRPr="00400687" w14:paraId="65B4EF74" w14:textId="77777777" w:rsidTr="00C8090B">
        <w:trPr>
          <w:tblHeader/>
        </w:trPr>
        <w:tc>
          <w:tcPr>
            <w:tcW w:w="1701" w:type="dxa"/>
            <w:vMerge/>
            <w:shd w:val="clear" w:color="auto" w:fill="0079C1" w:themeFill="text2"/>
            <w:vAlign w:val="center"/>
            <w:hideMark/>
          </w:tcPr>
          <w:p w14:paraId="68F104FE" w14:textId="77777777" w:rsidR="00A16825" w:rsidRPr="00400687" w:rsidRDefault="00A16825" w:rsidP="00C8090B">
            <w:pPr>
              <w:pStyle w:val="TableHeading1Centred"/>
              <w:rPr>
                <w:sz w:val="20"/>
              </w:rPr>
            </w:pPr>
          </w:p>
        </w:tc>
        <w:tc>
          <w:tcPr>
            <w:tcW w:w="567" w:type="dxa"/>
            <w:shd w:val="clear" w:color="auto" w:fill="0079C1" w:themeFill="text2"/>
            <w:tcMar>
              <w:top w:w="0" w:type="dxa"/>
              <w:left w:w="108" w:type="dxa"/>
              <w:bottom w:w="0" w:type="dxa"/>
              <w:right w:w="108" w:type="dxa"/>
            </w:tcMar>
            <w:vAlign w:val="center"/>
            <w:hideMark/>
          </w:tcPr>
          <w:p w14:paraId="01596742" w14:textId="77777777" w:rsidR="00A16825" w:rsidRPr="00400687" w:rsidRDefault="00A16825" w:rsidP="00C8090B">
            <w:pPr>
              <w:pStyle w:val="TableHeading1Centred"/>
              <w:rPr>
                <w:sz w:val="20"/>
              </w:rPr>
            </w:pPr>
            <w:r w:rsidRPr="00400687">
              <w:rPr>
                <w:sz w:val="20"/>
              </w:rPr>
              <w:t>n</w:t>
            </w:r>
          </w:p>
        </w:tc>
        <w:tc>
          <w:tcPr>
            <w:tcW w:w="907" w:type="dxa"/>
            <w:shd w:val="clear" w:color="auto" w:fill="0079C1" w:themeFill="text2"/>
            <w:tcMar>
              <w:top w:w="0" w:type="dxa"/>
              <w:left w:w="108" w:type="dxa"/>
              <w:bottom w:w="0" w:type="dxa"/>
              <w:right w:w="108" w:type="dxa"/>
            </w:tcMar>
            <w:vAlign w:val="center"/>
            <w:hideMark/>
          </w:tcPr>
          <w:p w14:paraId="5DDB006E" w14:textId="77777777" w:rsidR="00A16825" w:rsidRPr="00400687" w:rsidRDefault="00A16825" w:rsidP="00C8090B">
            <w:pPr>
              <w:pStyle w:val="TableHeading1Centred"/>
              <w:rPr>
                <w:sz w:val="20"/>
              </w:rPr>
            </w:pPr>
            <w:r w:rsidRPr="00400687">
              <w:rPr>
                <w:sz w:val="20"/>
              </w:rPr>
              <w:t>%</w:t>
            </w:r>
          </w:p>
        </w:tc>
        <w:tc>
          <w:tcPr>
            <w:tcW w:w="567" w:type="dxa"/>
            <w:shd w:val="clear" w:color="auto" w:fill="0079C1" w:themeFill="text2"/>
            <w:tcMar>
              <w:top w:w="0" w:type="dxa"/>
              <w:left w:w="108" w:type="dxa"/>
              <w:bottom w:w="0" w:type="dxa"/>
              <w:right w:w="108" w:type="dxa"/>
            </w:tcMar>
            <w:vAlign w:val="center"/>
            <w:hideMark/>
          </w:tcPr>
          <w:p w14:paraId="35AC514E" w14:textId="77777777" w:rsidR="00A16825" w:rsidRPr="00400687" w:rsidRDefault="00A16825" w:rsidP="00C8090B">
            <w:pPr>
              <w:pStyle w:val="TableHeading1Centred"/>
              <w:rPr>
                <w:sz w:val="20"/>
              </w:rPr>
            </w:pPr>
            <w:r w:rsidRPr="00400687">
              <w:rPr>
                <w:sz w:val="20"/>
              </w:rPr>
              <w:t>n</w:t>
            </w:r>
          </w:p>
        </w:tc>
        <w:tc>
          <w:tcPr>
            <w:tcW w:w="907" w:type="dxa"/>
            <w:shd w:val="clear" w:color="auto" w:fill="0079C1" w:themeFill="text2"/>
            <w:tcMar>
              <w:top w:w="0" w:type="dxa"/>
              <w:left w:w="108" w:type="dxa"/>
              <w:bottom w:w="0" w:type="dxa"/>
              <w:right w:w="108" w:type="dxa"/>
            </w:tcMar>
            <w:vAlign w:val="center"/>
            <w:hideMark/>
          </w:tcPr>
          <w:p w14:paraId="2EB7FE5F" w14:textId="77777777" w:rsidR="00A16825" w:rsidRPr="00400687" w:rsidRDefault="00A16825" w:rsidP="00C8090B">
            <w:pPr>
              <w:pStyle w:val="TableHeading1Centred"/>
              <w:rPr>
                <w:sz w:val="20"/>
              </w:rPr>
            </w:pPr>
            <w:r w:rsidRPr="00400687">
              <w:rPr>
                <w:sz w:val="20"/>
              </w:rPr>
              <w:t>%</w:t>
            </w:r>
          </w:p>
        </w:tc>
        <w:tc>
          <w:tcPr>
            <w:tcW w:w="567" w:type="dxa"/>
            <w:shd w:val="clear" w:color="auto" w:fill="0079C1" w:themeFill="text2"/>
            <w:tcMar>
              <w:top w:w="0" w:type="dxa"/>
              <w:left w:w="108" w:type="dxa"/>
              <w:bottom w:w="0" w:type="dxa"/>
              <w:right w:w="108" w:type="dxa"/>
            </w:tcMar>
            <w:vAlign w:val="center"/>
            <w:hideMark/>
          </w:tcPr>
          <w:p w14:paraId="63A63E9A" w14:textId="77777777" w:rsidR="00A16825" w:rsidRPr="00400687" w:rsidRDefault="00A16825" w:rsidP="00C8090B">
            <w:pPr>
              <w:pStyle w:val="TableHeading1Centred"/>
              <w:rPr>
                <w:sz w:val="20"/>
              </w:rPr>
            </w:pPr>
            <w:r w:rsidRPr="00400687">
              <w:rPr>
                <w:sz w:val="20"/>
              </w:rPr>
              <w:t>N</w:t>
            </w:r>
          </w:p>
        </w:tc>
        <w:tc>
          <w:tcPr>
            <w:tcW w:w="907" w:type="dxa"/>
            <w:shd w:val="clear" w:color="auto" w:fill="0079C1" w:themeFill="text2"/>
            <w:tcMar>
              <w:top w:w="0" w:type="dxa"/>
              <w:left w:w="108" w:type="dxa"/>
              <w:bottom w:w="0" w:type="dxa"/>
              <w:right w:w="108" w:type="dxa"/>
            </w:tcMar>
            <w:vAlign w:val="center"/>
            <w:hideMark/>
          </w:tcPr>
          <w:p w14:paraId="7BBC8DB5" w14:textId="77777777" w:rsidR="00A16825" w:rsidRPr="00400687" w:rsidRDefault="00A16825" w:rsidP="00C8090B">
            <w:pPr>
              <w:pStyle w:val="TableHeading1Centred"/>
              <w:rPr>
                <w:sz w:val="20"/>
              </w:rPr>
            </w:pPr>
            <w:r w:rsidRPr="00400687">
              <w:rPr>
                <w:sz w:val="20"/>
              </w:rPr>
              <w:t>%</w:t>
            </w:r>
          </w:p>
        </w:tc>
        <w:tc>
          <w:tcPr>
            <w:tcW w:w="567" w:type="dxa"/>
            <w:shd w:val="clear" w:color="auto" w:fill="0079C1" w:themeFill="text2"/>
            <w:tcMar>
              <w:top w:w="0" w:type="dxa"/>
              <w:left w:w="108" w:type="dxa"/>
              <w:bottom w:w="0" w:type="dxa"/>
              <w:right w:w="108" w:type="dxa"/>
            </w:tcMar>
            <w:vAlign w:val="center"/>
            <w:hideMark/>
          </w:tcPr>
          <w:p w14:paraId="0B954AF3" w14:textId="77777777" w:rsidR="00A16825" w:rsidRPr="00400687" w:rsidRDefault="00A16825" w:rsidP="00C8090B">
            <w:pPr>
              <w:pStyle w:val="TableHeading1Centred"/>
              <w:rPr>
                <w:sz w:val="20"/>
              </w:rPr>
            </w:pPr>
            <w:r w:rsidRPr="00400687">
              <w:rPr>
                <w:sz w:val="20"/>
              </w:rPr>
              <w:t>n</w:t>
            </w:r>
          </w:p>
        </w:tc>
        <w:tc>
          <w:tcPr>
            <w:tcW w:w="907" w:type="dxa"/>
            <w:shd w:val="clear" w:color="auto" w:fill="0079C1" w:themeFill="text2"/>
            <w:tcMar>
              <w:top w:w="0" w:type="dxa"/>
              <w:left w:w="108" w:type="dxa"/>
              <w:bottom w:w="0" w:type="dxa"/>
              <w:right w:w="108" w:type="dxa"/>
            </w:tcMar>
            <w:vAlign w:val="center"/>
            <w:hideMark/>
          </w:tcPr>
          <w:p w14:paraId="7968F8DB" w14:textId="77777777" w:rsidR="00A16825" w:rsidRPr="00400687" w:rsidRDefault="00A16825" w:rsidP="00C8090B">
            <w:pPr>
              <w:pStyle w:val="TableHeading1Centred"/>
              <w:rPr>
                <w:sz w:val="20"/>
              </w:rPr>
            </w:pPr>
            <w:r w:rsidRPr="00400687">
              <w:rPr>
                <w:sz w:val="20"/>
              </w:rPr>
              <w:t>%</w:t>
            </w:r>
          </w:p>
        </w:tc>
        <w:tc>
          <w:tcPr>
            <w:tcW w:w="567" w:type="dxa"/>
            <w:shd w:val="clear" w:color="auto" w:fill="0079C1" w:themeFill="text2"/>
            <w:tcMar>
              <w:top w:w="0" w:type="dxa"/>
              <w:left w:w="108" w:type="dxa"/>
              <w:bottom w:w="0" w:type="dxa"/>
              <w:right w:w="108" w:type="dxa"/>
            </w:tcMar>
            <w:vAlign w:val="center"/>
            <w:hideMark/>
          </w:tcPr>
          <w:p w14:paraId="4B1FECAF" w14:textId="77777777" w:rsidR="00A16825" w:rsidRPr="00400687" w:rsidRDefault="00A16825" w:rsidP="00C8090B">
            <w:pPr>
              <w:pStyle w:val="TableHeading1Centred"/>
              <w:rPr>
                <w:sz w:val="20"/>
              </w:rPr>
            </w:pPr>
            <w:r w:rsidRPr="00400687">
              <w:rPr>
                <w:sz w:val="20"/>
              </w:rPr>
              <w:t>n</w:t>
            </w:r>
          </w:p>
        </w:tc>
        <w:tc>
          <w:tcPr>
            <w:tcW w:w="907" w:type="dxa"/>
            <w:shd w:val="clear" w:color="auto" w:fill="0079C1" w:themeFill="text2"/>
            <w:tcMar>
              <w:top w:w="0" w:type="dxa"/>
              <w:left w:w="108" w:type="dxa"/>
              <w:bottom w:w="0" w:type="dxa"/>
              <w:right w:w="108" w:type="dxa"/>
            </w:tcMar>
            <w:vAlign w:val="center"/>
            <w:hideMark/>
          </w:tcPr>
          <w:p w14:paraId="22C7CA9F" w14:textId="77777777" w:rsidR="00A16825" w:rsidRPr="00400687" w:rsidRDefault="00A16825" w:rsidP="00C8090B">
            <w:pPr>
              <w:pStyle w:val="TableHeading1Centred"/>
              <w:rPr>
                <w:sz w:val="20"/>
              </w:rPr>
            </w:pPr>
            <w:r w:rsidRPr="00400687">
              <w:rPr>
                <w:sz w:val="20"/>
              </w:rPr>
              <w:t>%</w:t>
            </w:r>
          </w:p>
        </w:tc>
      </w:tr>
      <w:tr w:rsidR="00A16825" w:rsidRPr="00400687" w14:paraId="74BBD4DC" w14:textId="77777777" w:rsidTr="00400687">
        <w:tc>
          <w:tcPr>
            <w:tcW w:w="1701" w:type="dxa"/>
            <w:tcBorders>
              <w:right w:val="single" w:sz="4" w:space="0" w:color="0079C1"/>
            </w:tcBorders>
            <w:shd w:val="clear" w:color="auto" w:fill="auto"/>
            <w:tcMar>
              <w:top w:w="0" w:type="dxa"/>
              <w:left w:w="108" w:type="dxa"/>
              <w:bottom w:w="0" w:type="dxa"/>
              <w:right w:w="108" w:type="dxa"/>
            </w:tcMar>
            <w:vAlign w:val="center"/>
            <w:hideMark/>
          </w:tcPr>
          <w:p w14:paraId="69533019" w14:textId="77777777" w:rsidR="00A16825" w:rsidRPr="00400687" w:rsidRDefault="00A16825" w:rsidP="00C8090B">
            <w:pPr>
              <w:pStyle w:val="TableText"/>
              <w:rPr>
                <w:sz w:val="20"/>
                <w:szCs w:val="20"/>
              </w:rPr>
            </w:pPr>
            <w:r w:rsidRPr="00400687">
              <w:rPr>
                <w:sz w:val="20"/>
                <w:szCs w:val="20"/>
              </w:rPr>
              <w:t>Yes</w:t>
            </w:r>
          </w:p>
        </w:tc>
        <w:tc>
          <w:tcPr>
            <w:tcW w:w="567" w:type="dxa"/>
            <w:tcBorders>
              <w:left w:val="single" w:sz="4" w:space="0" w:color="0079C1"/>
            </w:tcBorders>
            <w:shd w:val="clear" w:color="auto" w:fill="auto"/>
            <w:tcMar>
              <w:top w:w="0" w:type="dxa"/>
              <w:left w:w="108" w:type="dxa"/>
              <w:bottom w:w="0" w:type="dxa"/>
              <w:right w:w="108" w:type="dxa"/>
            </w:tcMar>
            <w:vAlign w:val="center"/>
          </w:tcPr>
          <w:p w14:paraId="37690BB2" w14:textId="0A4596BF" w:rsidR="00A16825" w:rsidRPr="00400687" w:rsidRDefault="00A16825" w:rsidP="00C8090B">
            <w:pPr>
              <w:pStyle w:val="TableTextCentred"/>
              <w:rPr>
                <w:sz w:val="20"/>
                <w:szCs w:val="20"/>
              </w:rPr>
            </w:pPr>
            <w:r w:rsidRPr="00400687">
              <w:rPr>
                <w:sz w:val="20"/>
                <w:szCs w:val="20"/>
              </w:rPr>
              <w:t>11</w:t>
            </w:r>
          </w:p>
        </w:tc>
        <w:tc>
          <w:tcPr>
            <w:tcW w:w="907" w:type="dxa"/>
            <w:tcBorders>
              <w:right w:val="single" w:sz="4" w:space="0" w:color="0079C1"/>
            </w:tcBorders>
            <w:shd w:val="clear" w:color="auto" w:fill="auto"/>
            <w:tcMar>
              <w:top w:w="0" w:type="dxa"/>
              <w:left w:w="108" w:type="dxa"/>
              <w:bottom w:w="0" w:type="dxa"/>
              <w:right w:w="108" w:type="dxa"/>
            </w:tcMar>
            <w:vAlign w:val="center"/>
          </w:tcPr>
          <w:p w14:paraId="53F2729F" w14:textId="2AB4D8BB" w:rsidR="00A16825" w:rsidRPr="00400687" w:rsidRDefault="00A16825" w:rsidP="00C8090B">
            <w:pPr>
              <w:pStyle w:val="TableTextCentred"/>
              <w:rPr>
                <w:sz w:val="20"/>
                <w:szCs w:val="20"/>
              </w:rPr>
            </w:pPr>
            <w:r w:rsidRPr="00400687">
              <w:rPr>
                <w:sz w:val="20"/>
                <w:szCs w:val="20"/>
              </w:rPr>
              <w:t>10.2%</w:t>
            </w:r>
          </w:p>
        </w:tc>
        <w:tc>
          <w:tcPr>
            <w:tcW w:w="567" w:type="dxa"/>
            <w:tcBorders>
              <w:left w:val="single" w:sz="4" w:space="0" w:color="0079C1"/>
            </w:tcBorders>
            <w:shd w:val="clear" w:color="auto" w:fill="auto"/>
            <w:tcMar>
              <w:top w:w="0" w:type="dxa"/>
              <w:left w:w="108" w:type="dxa"/>
              <w:bottom w:w="0" w:type="dxa"/>
              <w:right w:w="108" w:type="dxa"/>
            </w:tcMar>
            <w:vAlign w:val="center"/>
          </w:tcPr>
          <w:p w14:paraId="17241821" w14:textId="671A1C4A" w:rsidR="00A16825" w:rsidRPr="00400687" w:rsidRDefault="00B443D8" w:rsidP="00C8090B">
            <w:pPr>
              <w:pStyle w:val="TableTextCentred"/>
              <w:rPr>
                <w:sz w:val="20"/>
                <w:szCs w:val="20"/>
              </w:rPr>
            </w:pPr>
            <w:r w:rsidRPr="00400687">
              <w:rPr>
                <w:sz w:val="20"/>
                <w:szCs w:val="20"/>
              </w:rPr>
              <w:t>-</w:t>
            </w:r>
          </w:p>
        </w:tc>
        <w:tc>
          <w:tcPr>
            <w:tcW w:w="907" w:type="dxa"/>
            <w:tcBorders>
              <w:right w:val="single" w:sz="4" w:space="0" w:color="0079C1"/>
            </w:tcBorders>
            <w:shd w:val="clear" w:color="auto" w:fill="auto"/>
            <w:tcMar>
              <w:top w:w="0" w:type="dxa"/>
              <w:left w:w="108" w:type="dxa"/>
              <w:bottom w:w="0" w:type="dxa"/>
              <w:right w:w="108" w:type="dxa"/>
            </w:tcMar>
            <w:vAlign w:val="center"/>
          </w:tcPr>
          <w:p w14:paraId="5EBE5FB6" w14:textId="6FBC2D6E" w:rsidR="00A16825" w:rsidRPr="00400687" w:rsidRDefault="00B443D8" w:rsidP="00C8090B">
            <w:pPr>
              <w:pStyle w:val="TableTextCentred"/>
              <w:rPr>
                <w:sz w:val="20"/>
                <w:szCs w:val="20"/>
              </w:rPr>
            </w:pPr>
            <w:r w:rsidRPr="00400687">
              <w:rPr>
                <w:sz w:val="20"/>
                <w:szCs w:val="20"/>
              </w:rPr>
              <w:t>-</w:t>
            </w:r>
          </w:p>
        </w:tc>
        <w:tc>
          <w:tcPr>
            <w:tcW w:w="567" w:type="dxa"/>
            <w:tcBorders>
              <w:left w:val="single" w:sz="4" w:space="0" w:color="0079C1"/>
            </w:tcBorders>
            <w:shd w:val="clear" w:color="auto" w:fill="auto"/>
            <w:tcMar>
              <w:top w:w="0" w:type="dxa"/>
              <w:left w:w="108" w:type="dxa"/>
              <w:bottom w:w="0" w:type="dxa"/>
              <w:right w:w="108" w:type="dxa"/>
            </w:tcMar>
            <w:vAlign w:val="center"/>
          </w:tcPr>
          <w:p w14:paraId="486AAC06" w14:textId="76EB5260" w:rsidR="00A16825" w:rsidRPr="00400687" w:rsidRDefault="00A16825" w:rsidP="00C8090B">
            <w:pPr>
              <w:pStyle w:val="TableTextCentred"/>
              <w:rPr>
                <w:sz w:val="20"/>
                <w:szCs w:val="20"/>
              </w:rPr>
            </w:pPr>
            <w:r w:rsidRPr="00400687">
              <w:rPr>
                <w:sz w:val="20"/>
                <w:szCs w:val="20"/>
              </w:rPr>
              <w:t>1</w:t>
            </w:r>
          </w:p>
        </w:tc>
        <w:tc>
          <w:tcPr>
            <w:tcW w:w="907" w:type="dxa"/>
            <w:tcBorders>
              <w:right w:val="single" w:sz="4" w:space="0" w:color="0079C1"/>
            </w:tcBorders>
            <w:shd w:val="clear" w:color="auto" w:fill="auto"/>
            <w:tcMar>
              <w:top w:w="0" w:type="dxa"/>
              <w:left w:w="108" w:type="dxa"/>
              <w:bottom w:w="0" w:type="dxa"/>
              <w:right w:w="108" w:type="dxa"/>
            </w:tcMar>
            <w:vAlign w:val="center"/>
          </w:tcPr>
          <w:p w14:paraId="3F563307" w14:textId="3CC421EA" w:rsidR="00A16825" w:rsidRPr="00400687" w:rsidRDefault="00A16825" w:rsidP="00C8090B">
            <w:pPr>
              <w:pStyle w:val="TableTextCentred"/>
              <w:rPr>
                <w:sz w:val="20"/>
                <w:szCs w:val="20"/>
              </w:rPr>
            </w:pPr>
            <w:r w:rsidRPr="00400687">
              <w:rPr>
                <w:sz w:val="20"/>
                <w:szCs w:val="20"/>
              </w:rPr>
              <w:t>1.4%</w:t>
            </w:r>
          </w:p>
        </w:tc>
        <w:tc>
          <w:tcPr>
            <w:tcW w:w="567" w:type="dxa"/>
            <w:tcBorders>
              <w:left w:val="single" w:sz="4" w:space="0" w:color="0079C1"/>
            </w:tcBorders>
            <w:shd w:val="clear" w:color="auto" w:fill="auto"/>
            <w:tcMar>
              <w:top w:w="0" w:type="dxa"/>
              <w:left w:w="108" w:type="dxa"/>
              <w:bottom w:w="0" w:type="dxa"/>
              <w:right w:w="108" w:type="dxa"/>
            </w:tcMar>
            <w:vAlign w:val="center"/>
          </w:tcPr>
          <w:p w14:paraId="68F06D01" w14:textId="2788BDD8" w:rsidR="00A16825" w:rsidRPr="00400687" w:rsidRDefault="00B443D8" w:rsidP="00C8090B">
            <w:pPr>
              <w:pStyle w:val="TableTextCentred"/>
              <w:rPr>
                <w:sz w:val="20"/>
                <w:szCs w:val="20"/>
              </w:rPr>
            </w:pPr>
            <w:r w:rsidRPr="00400687">
              <w:rPr>
                <w:sz w:val="20"/>
                <w:szCs w:val="20"/>
              </w:rPr>
              <w:t>-</w:t>
            </w:r>
          </w:p>
        </w:tc>
        <w:tc>
          <w:tcPr>
            <w:tcW w:w="907" w:type="dxa"/>
            <w:tcBorders>
              <w:right w:val="single" w:sz="4" w:space="0" w:color="0079C1"/>
            </w:tcBorders>
            <w:shd w:val="clear" w:color="auto" w:fill="auto"/>
            <w:tcMar>
              <w:top w:w="0" w:type="dxa"/>
              <w:left w:w="108" w:type="dxa"/>
              <w:bottom w:w="0" w:type="dxa"/>
              <w:right w:w="108" w:type="dxa"/>
            </w:tcMar>
            <w:vAlign w:val="center"/>
          </w:tcPr>
          <w:p w14:paraId="6A92BAEB" w14:textId="5E70E6AF" w:rsidR="00A16825" w:rsidRPr="00400687" w:rsidRDefault="00B443D8" w:rsidP="00C8090B">
            <w:pPr>
              <w:pStyle w:val="TableTextCentred"/>
              <w:rPr>
                <w:sz w:val="20"/>
                <w:szCs w:val="20"/>
              </w:rPr>
            </w:pPr>
            <w:r w:rsidRPr="00400687">
              <w:rPr>
                <w:sz w:val="20"/>
                <w:szCs w:val="20"/>
              </w:rPr>
              <w:t>-</w:t>
            </w:r>
          </w:p>
        </w:tc>
        <w:tc>
          <w:tcPr>
            <w:tcW w:w="567" w:type="dxa"/>
            <w:tcBorders>
              <w:left w:val="single" w:sz="4" w:space="0" w:color="0079C1"/>
            </w:tcBorders>
            <w:shd w:val="clear" w:color="auto" w:fill="auto"/>
            <w:tcMar>
              <w:top w:w="0" w:type="dxa"/>
              <w:left w:w="108" w:type="dxa"/>
              <w:bottom w:w="0" w:type="dxa"/>
              <w:right w:w="108" w:type="dxa"/>
            </w:tcMar>
          </w:tcPr>
          <w:p w14:paraId="1A19B75E" w14:textId="4B55DD5B" w:rsidR="00A16825" w:rsidRPr="00400687" w:rsidRDefault="00A16825" w:rsidP="00C8090B">
            <w:pPr>
              <w:pStyle w:val="TableTextCentred"/>
              <w:rPr>
                <w:rStyle w:val="Bold"/>
                <w:sz w:val="20"/>
                <w:szCs w:val="20"/>
              </w:rPr>
            </w:pPr>
            <w:r w:rsidRPr="00400687">
              <w:rPr>
                <w:rStyle w:val="Bold"/>
                <w:sz w:val="20"/>
                <w:szCs w:val="20"/>
              </w:rPr>
              <w:t>12</w:t>
            </w:r>
          </w:p>
        </w:tc>
        <w:tc>
          <w:tcPr>
            <w:tcW w:w="907" w:type="dxa"/>
            <w:shd w:val="clear" w:color="auto" w:fill="auto"/>
            <w:tcMar>
              <w:top w:w="0" w:type="dxa"/>
              <w:left w:w="108" w:type="dxa"/>
              <w:bottom w:w="0" w:type="dxa"/>
              <w:right w:w="108" w:type="dxa"/>
            </w:tcMar>
          </w:tcPr>
          <w:p w14:paraId="679C5D80" w14:textId="3819D39C" w:rsidR="00A16825" w:rsidRPr="00400687" w:rsidRDefault="00A16825" w:rsidP="00C8090B">
            <w:pPr>
              <w:pStyle w:val="TableTextCentred"/>
              <w:rPr>
                <w:rStyle w:val="Bold"/>
                <w:sz w:val="20"/>
                <w:szCs w:val="20"/>
              </w:rPr>
            </w:pPr>
            <w:r w:rsidRPr="00400687">
              <w:rPr>
                <w:rStyle w:val="Bold"/>
                <w:sz w:val="20"/>
                <w:szCs w:val="20"/>
              </w:rPr>
              <w:t>5.5%</w:t>
            </w:r>
          </w:p>
        </w:tc>
      </w:tr>
      <w:tr w:rsidR="00A16825" w:rsidRPr="00400687" w14:paraId="6C187513" w14:textId="77777777" w:rsidTr="00400687">
        <w:tc>
          <w:tcPr>
            <w:tcW w:w="1701" w:type="dxa"/>
            <w:tcBorders>
              <w:right w:val="single" w:sz="4" w:space="0" w:color="0079C1"/>
            </w:tcBorders>
            <w:tcMar>
              <w:top w:w="0" w:type="dxa"/>
              <w:left w:w="108" w:type="dxa"/>
              <w:bottom w:w="0" w:type="dxa"/>
              <w:right w:w="108" w:type="dxa"/>
            </w:tcMar>
            <w:vAlign w:val="center"/>
            <w:hideMark/>
          </w:tcPr>
          <w:p w14:paraId="64E1E232" w14:textId="77777777" w:rsidR="00A16825" w:rsidRPr="00400687" w:rsidRDefault="00A16825" w:rsidP="00C8090B">
            <w:pPr>
              <w:pStyle w:val="TableText"/>
              <w:rPr>
                <w:sz w:val="20"/>
                <w:szCs w:val="20"/>
              </w:rPr>
            </w:pPr>
            <w:r w:rsidRPr="00400687">
              <w:rPr>
                <w:sz w:val="20"/>
                <w:szCs w:val="20"/>
              </w:rPr>
              <w:t>No</w:t>
            </w:r>
          </w:p>
        </w:tc>
        <w:tc>
          <w:tcPr>
            <w:tcW w:w="567" w:type="dxa"/>
            <w:tcBorders>
              <w:left w:val="single" w:sz="4" w:space="0" w:color="0079C1"/>
            </w:tcBorders>
            <w:tcMar>
              <w:top w:w="0" w:type="dxa"/>
              <w:left w:w="108" w:type="dxa"/>
              <w:bottom w:w="0" w:type="dxa"/>
              <w:right w:w="108" w:type="dxa"/>
            </w:tcMar>
            <w:vAlign w:val="center"/>
          </w:tcPr>
          <w:p w14:paraId="48AF961E" w14:textId="51D7E28F" w:rsidR="00A16825" w:rsidRPr="00400687" w:rsidRDefault="00A16825" w:rsidP="00C8090B">
            <w:pPr>
              <w:pStyle w:val="TableTextCentred"/>
              <w:rPr>
                <w:sz w:val="20"/>
                <w:szCs w:val="20"/>
              </w:rPr>
            </w:pPr>
            <w:r w:rsidRPr="00400687">
              <w:rPr>
                <w:sz w:val="20"/>
                <w:szCs w:val="20"/>
              </w:rPr>
              <w:t>8</w:t>
            </w:r>
          </w:p>
        </w:tc>
        <w:tc>
          <w:tcPr>
            <w:tcW w:w="907" w:type="dxa"/>
            <w:tcBorders>
              <w:right w:val="single" w:sz="4" w:space="0" w:color="0079C1"/>
            </w:tcBorders>
            <w:tcMar>
              <w:top w:w="0" w:type="dxa"/>
              <w:left w:w="108" w:type="dxa"/>
              <w:bottom w:w="0" w:type="dxa"/>
              <w:right w:w="108" w:type="dxa"/>
            </w:tcMar>
            <w:vAlign w:val="center"/>
          </w:tcPr>
          <w:p w14:paraId="131EE3B4" w14:textId="621B6E73" w:rsidR="00A16825" w:rsidRPr="00400687" w:rsidRDefault="00A16825" w:rsidP="00C8090B">
            <w:pPr>
              <w:pStyle w:val="TableTextCentred"/>
              <w:rPr>
                <w:sz w:val="20"/>
                <w:szCs w:val="20"/>
              </w:rPr>
            </w:pPr>
            <w:r w:rsidRPr="00400687">
              <w:rPr>
                <w:sz w:val="20"/>
                <w:szCs w:val="20"/>
              </w:rPr>
              <w:t>7.4%</w:t>
            </w:r>
          </w:p>
        </w:tc>
        <w:tc>
          <w:tcPr>
            <w:tcW w:w="567" w:type="dxa"/>
            <w:tcBorders>
              <w:left w:val="single" w:sz="4" w:space="0" w:color="0079C1"/>
            </w:tcBorders>
            <w:tcMar>
              <w:top w:w="0" w:type="dxa"/>
              <w:left w:w="108" w:type="dxa"/>
              <w:bottom w:w="0" w:type="dxa"/>
              <w:right w:w="108" w:type="dxa"/>
            </w:tcMar>
            <w:vAlign w:val="center"/>
          </w:tcPr>
          <w:p w14:paraId="23122BF6" w14:textId="02596021" w:rsidR="00A16825" w:rsidRPr="00400687" w:rsidRDefault="00B443D8" w:rsidP="00C8090B">
            <w:pPr>
              <w:pStyle w:val="TableTextCentred"/>
              <w:rPr>
                <w:sz w:val="20"/>
                <w:szCs w:val="20"/>
              </w:rPr>
            </w:pPr>
            <w:r w:rsidRPr="00400687">
              <w:rPr>
                <w:sz w:val="20"/>
                <w:szCs w:val="20"/>
              </w:rPr>
              <w:t>-</w:t>
            </w:r>
          </w:p>
        </w:tc>
        <w:tc>
          <w:tcPr>
            <w:tcW w:w="907" w:type="dxa"/>
            <w:tcBorders>
              <w:right w:val="single" w:sz="4" w:space="0" w:color="0079C1"/>
            </w:tcBorders>
            <w:tcMar>
              <w:top w:w="0" w:type="dxa"/>
              <w:left w:w="108" w:type="dxa"/>
              <w:bottom w:w="0" w:type="dxa"/>
              <w:right w:w="108" w:type="dxa"/>
            </w:tcMar>
            <w:vAlign w:val="center"/>
          </w:tcPr>
          <w:p w14:paraId="0B2D3F5B" w14:textId="02C7C341" w:rsidR="00A16825" w:rsidRPr="00400687" w:rsidRDefault="00B443D8" w:rsidP="00C8090B">
            <w:pPr>
              <w:pStyle w:val="TableTextCentred"/>
              <w:rPr>
                <w:sz w:val="20"/>
                <w:szCs w:val="20"/>
              </w:rPr>
            </w:pPr>
            <w:r w:rsidRPr="00400687">
              <w:rPr>
                <w:sz w:val="20"/>
                <w:szCs w:val="20"/>
              </w:rPr>
              <w:t>-</w:t>
            </w:r>
          </w:p>
        </w:tc>
        <w:tc>
          <w:tcPr>
            <w:tcW w:w="567" w:type="dxa"/>
            <w:tcBorders>
              <w:left w:val="single" w:sz="4" w:space="0" w:color="0079C1"/>
            </w:tcBorders>
            <w:tcMar>
              <w:top w:w="0" w:type="dxa"/>
              <w:left w:w="108" w:type="dxa"/>
              <w:bottom w:w="0" w:type="dxa"/>
              <w:right w:w="108" w:type="dxa"/>
            </w:tcMar>
            <w:vAlign w:val="center"/>
          </w:tcPr>
          <w:p w14:paraId="61E4485E" w14:textId="29C51576" w:rsidR="00A16825" w:rsidRPr="00400687" w:rsidRDefault="00B443D8" w:rsidP="00C8090B">
            <w:pPr>
              <w:pStyle w:val="TableTextCentred"/>
              <w:rPr>
                <w:sz w:val="20"/>
                <w:szCs w:val="20"/>
              </w:rPr>
            </w:pPr>
            <w:r w:rsidRPr="00400687">
              <w:rPr>
                <w:sz w:val="20"/>
                <w:szCs w:val="20"/>
              </w:rPr>
              <w:t>-</w:t>
            </w:r>
          </w:p>
        </w:tc>
        <w:tc>
          <w:tcPr>
            <w:tcW w:w="907" w:type="dxa"/>
            <w:tcBorders>
              <w:right w:val="single" w:sz="4" w:space="0" w:color="0079C1"/>
            </w:tcBorders>
            <w:tcMar>
              <w:top w:w="0" w:type="dxa"/>
              <w:left w:w="108" w:type="dxa"/>
              <w:bottom w:w="0" w:type="dxa"/>
              <w:right w:w="108" w:type="dxa"/>
            </w:tcMar>
            <w:vAlign w:val="center"/>
          </w:tcPr>
          <w:p w14:paraId="0DB934D7" w14:textId="3A703325" w:rsidR="00A16825" w:rsidRPr="00400687" w:rsidRDefault="00B443D8" w:rsidP="00C8090B">
            <w:pPr>
              <w:pStyle w:val="TableTextCentred"/>
              <w:rPr>
                <w:sz w:val="20"/>
                <w:szCs w:val="20"/>
              </w:rPr>
            </w:pPr>
            <w:r w:rsidRPr="00400687">
              <w:rPr>
                <w:sz w:val="20"/>
                <w:szCs w:val="20"/>
              </w:rPr>
              <w:t>-</w:t>
            </w:r>
          </w:p>
        </w:tc>
        <w:tc>
          <w:tcPr>
            <w:tcW w:w="567" w:type="dxa"/>
            <w:tcBorders>
              <w:left w:val="single" w:sz="4" w:space="0" w:color="0079C1"/>
            </w:tcBorders>
            <w:tcMar>
              <w:top w:w="0" w:type="dxa"/>
              <w:left w:w="108" w:type="dxa"/>
              <w:bottom w:w="0" w:type="dxa"/>
              <w:right w:w="108" w:type="dxa"/>
            </w:tcMar>
            <w:vAlign w:val="center"/>
          </w:tcPr>
          <w:p w14:paraId="152CC4CB" w14:textId="65FC61B0" w:rsidR="00A16825" w:rsidRPr="00400687" w:rsidRDefault="00B443D8" w:rsidP="00C8090B">
            <w:pPr>
              <w:pStyle w:val="TableTextCentred"/>
              <w:rPr>
                <w:sz w:val="20"/>
                <w:szCs w:val="20"/>
              </w:rPr>
            </w:pPr>
            <w:r w:rsidRPr="00400687">
              <w:rPr>
                <w:sz w:val="20"/>
                <w:szCs w:val="20"/>
              </w:rPr>
              <w:t>-</w:t>
            </w:r>
          </w:p>
        </w:tc>
        <w:tc>
          <w:tcPr>
            <w:tcW w:w="907" w:type="dxa"/>
            <w:tcBorders>
              <w:right w:val="single" w:sz="4" w:space="0" w:color="0079C1"/>
            </w:tcBorders>
            <w:tcMar>
              <w:top w:w="0" w:type="dxa"/>
              <w:left w:w="108" w:type="dxa"/>
              <w:bottom w:w="0" w:type="dxa"/>
              <w:right w:w="108" w:type="dxa"/>
            </w:tcMar>
            <w:vAlign w:val="center"/>
          </w:tcPr>
          <w:p w14:paraId="71866B6C" w14:textId="3A272B04" w:rsidR="00A16825" w:rsidRPr="00400687" w:rsidRDefault="00B443D8" w:rsidP="00C8090B">
            <w:pPr>
              <w:pStyle w:val="TableTextCentred"/>
              <w:rPr>
                <w:sz w:val="20"/>
                <w:szCs w:val="20"/>
              </w:rPr>
            </w:pPr>
            <w:r w:rsidRPr="00400687">
              <w:rPr>
                <w:sz w:val="20"/>
                <w:szCs w:val="20"/>
              </w:rPr>
              <w:t>-</w:t>
            </w:r>
          </w:p>
        </w:tc>
        <w:tc>
          <w:tcPr>
            <w:tcW w:w="567" w:type="dxa"/>
            <w:tcBorders>
              <w:left w:val="single" w:sz="4" w:space="0" w:color="0079C1"/>
            </w:tcBorders>
            <w:tcMar>
              <w:top w:w="0" w:type="dxa"/>
              <w:left w:w="108" w:type="dxa"/>
              <w:bottom w:w="0" w:type="dxa"/>
              <w:right w:w="108" w:type="dxa"/>
            </w:tcMar>
          </w:tcPr>
          <w:p w14:paraId="4CD3F99B" w14:textId="51691E33" w:rsidR="00A16825" w:rsidRPr="00400687" w:rsidRDefault="00A16825" w:rsidP="00C8090B">
            <w:pPr>
              <w:pStyle w:val="TableTextCentred"/>
              <w:rPr>
                <w:rStyle w:val="Bold"/>
                <w:sz w:val="20"/>
                <w:szCs w:val="20"/>
              </w:rPr>
            </w:pPr>
            <w:r w:rsidRPr="00400687">
              <w:rPr>
                <w:rStyle w:val="Bold"/>
                <w:sz w:val="20"/>
                <w:szCs w:val="20"/>
              </w:rPr>
              <w:t>8</w:t>
            </w:r>
          </w:p>
        </w:tc>
        <w:tc>
          <w:tcPr>
            <w:tcW w:w="907" w:type="dxa"/>
            <w:tcMar>
              <w:top w:w="0" w:type="dxa"/>
              <w:left w:w="108" w:type="dxa"/>
              <w:bottom w:w="0" w:type="dxa"/>
              <w:right w:w="108" w:type="dxa"/>
            </w:tcMar>
          </w:tcPr>
          <w:p w14:paraId="7B1B9462" w14:textId="48B85DFF" w:rsidR="00A16825" w:rsidRPr="00400687" w:rsidRDefault="00A16825" w:rsidP="00C8090B">
            <w:pPr>
              <w:pStyle w:val="TableTextCentred"/>
              <w:rPr>
                <w:rStyle w:val="Bold"/>
                <w:sz w:val="20"/>
                <w:szCs w:val="20"/>
              </w:rPr>
            </w:pPr>
            <w:r w:rsidRPr="00400687">
              <w:rPr>
                <w:rStyle w:val="Bold"/>
                <w:sz w:val="20"/>
                <w:szCs w:val="20"/>
              </w:rPr>
              <w:t>3.6%</w:t>
            </w:r>
          </w:p>
        </w:tc>
      </w:tr>
      <w:tr w:rsidR="00A16825" w:rsidRPr="00400687" w14:paraId="772A6FFD" w14:textId="77777777" w:rsidTr="00400687">
        <w:tc>
          <w:tcPr>
            <w:tcW w:w="1701" w:type="dxa"/>
            <w:tcBorders>
              <w:bottom w:val="single" w:sz="4" w:space="0" w:color="0079C1" w:themeColor="text2"/>
              <w:right w:val="single" w:sz="4" w:space="0" w:color="0079C1"/>
            </w:tcBorders>
            <w:tcMar>
              <w:top w:w="0" w:type="dxa"/>
              <w:left w:w="108" w:type="dxa"/>
              <w:bottom w:w="0" w:type="dxa"/>
              <w:right w:w="108" w:type="dxa"/>
            </w:tcMar>
            <w:vAlign w:val="center"/>
            <w:hideMark/>
          </w:tcPr>
          <w:p w14:paraId="01505550" w14:textId="32EF1D30" w:rsidR="00A16825" w:rsidRPr="00400687" w:rsidRDefault="00A16825" w:rsidP="00C8090B">
            <w:pPr>
              <w:pStyle w:val="TableText"/>
              <w:rPr>
                <w:sz w:val="20"/>
                <w:szCs w:val="20"/>
              </w:rPr>
            </w:pPr>
            <w:r w:rsidRPr="00400687">
              <w:rPr>
                <w:sz w:val="20"/>
                <w:szCs w:val="20"/>
              </w:rPr>
              <w:lastRenderedPageBreak/>
              <w:t>Not stated</w:t>
            </w:r>
            <w:r w:rsidR="00B85A72" w:rsidRPr="00400687">
              <w:rPr>
                <w:sz w:val="20"/>
                <w:szCs w:val="20"/>
              </w:rPr>
              <w:t xml:space="preserve">/not applicable </w:t>
            </w:r>
          </w:p>
        </w:tc>
        <w:tc>
          <w:tcPr>
            <w:tcW w:w="567" w:type="dxa"/>
            <w:tcBorders>
              <w:left w:val="single" w:sz="4" w:space="0" w:color="0079C1"/>
              <w:bottom w:val="single" w:sz="4" w:space="0" w:color="0079C1" w:themeColor="text2"/>
            </w:tcBorders>
            <w:tcMar>
              <w:top w:w="0" w:type="dxa"/>
              <w:left w:w="108" w:type="dxa"/>
              <w:bottom w:w="0" w:type="dxa"/>
              <w:right w:w="108" w:type="dxa"/>
            </w:tcMar>
            <w:vAlign w:val="center"/>
          </w:tcPr>
          <w:p w14:paraId="01E597D6" w14:textId="63FAE6D0" w:rsidR="00A16825" w:rsidRPr="00400687" w:rsidRDefault="00A16825" w:rsidP="00C8090B">
            <w:pPr>
              <w:pStyle w:val="TableTextCentred"/>
              <w:rPr>
                <w:sz w:val="20"/>
                <w:szCs w:val="20"/>
              </w:rPr>
            </w:pPr>
            <w:r w:rsidRPr="00400687">
              <w:rPr>
                <w:sz w:val="20"/>
                <w:szCs w:val="20"/>
              </w:rPr>
              <w:t>89</w:t>
            </w:r>
          </w:p>
        </w:tc>
        <w:tc>
          <w:tcPr>
            <w:tcW w:w="907" w:type="dxa"/>
            <w:tcBorders>
              <w:bottom w:val="single" w:sz="4" w:space="0" w:color="0079C1" w:themeColor="text2"/>
              <w:right w:val="single" w:sz="4" w:space="0" w:color="0079C1"/>
            </w:tcBorders>
            <w:tcMar>
              <w:top w:w="0" w:type="dxa"/>
              <w:left w:w="108" w:type="dxa"/>
              <w:bottom w:w="0" w:type="dxa"/>
              <w:right w:w="108" w:type="dxa"/>
            </w:tcMar>
            <w:vAlign w:val="center"/>
          </w:tcPr>
          <w:p w14:paraId="5FFEA1F1" w14:textId="2B7597F9" w:rsidR="00A16825" w:rsidRPr="00400687" w:rsidRDefault="00A16825" w:rsidP="00C8090B">
            <w:pPr>
              <w:pStyle w:val="TableTextCentred"/>
              <w:rPr>
                <w:sz w:val="20"/>
                <w:szCs w:val="20"/>
              </w:rPr>
            </w:pPr>
            <w:r w:rsidRPr="00400687">
              <w:rPr>
                <w:sz w:val="20"/>
                <w:szCs w:val="20"/>
              </w:rPr>
              <w:t>82.4%</w:t>
            </w:r>
          </w:p>
        </w:tc>
        <w:tc>
          <w:tcPr>
            <w:tcW w:w="567" w:type="dxa"/>
            <w:tcBorders>
              <w:left w:val="single" w:sz="4" w:space="0" w:color="0079C1"/>
              <w:bottom w:val="single" w:sz="4" w:space="0" w:color="0079C1" w:themeColor="text2"/>
            </w:tcBorders>
            <w:tcMar>
              <w:top w:w="0" w:type="dxa"/>
              <w:left w:w="108" w:type="dxa"/>
              <w:bottom w:w="0" w:type="dxa"/>
              <w:right w:w="108" w:type="dxa"/>
            </w:tcMar>
            <w:vAlign w:val="center"/>
          </w:tcPr>
          <w:p w14:paraId="46977E8A" w14:textId="59540033" w:rsidR="00A16825" w:rsidRPr="00400687" w:rsidRDefault="00A16825" w:rsidP="00C8090B">
            <w:pPr>
              <w:pStyle w:val="TableTextCentred"/>
              <w:rPr>
                <w:sz w:val="20"/>
                <w:szCs w:val="20"/>
              </w:rPr>
            </w:pPr>
            <w:r w:rsidRPr="00400687">
              <w:rPr>
                <w:sz w:val="20"/>
                <w:szCs w:val="20"/>
              </w:rPr>
              <w:t>19</w:t>
            </w:r>
          </w:p>
        </w:tc>
        <w:tc>
          <w:tcPr>
            <w:tcW w:w="907" w:type="dxa"/>
            <w:tcBorders>
              <w:bottom w:val="single" w:sz="4" w:space="0" w:color="0079C1" w:themeColor="text2"/>
              <w:right w:val="single" w:sz="4" w:space="0" w:color="0079C1"/>
            </w:tcBorders>
            <w:tcMar>
              <w:top w:w="0" w:type="dxa"/>
              <w:left w:w="108" w:type="dxa"/>
              <w:bottom w:w="0" w:type="dxa"/>
              <w:right w:w="108" w:type="dxa"/>
            </w:tcMar>
            <w:vAlign w:val="center"/>
          </w:tcPr>
          <w:p w14:paraId="3CDE5983" w14:textId="06988F14" w:rsidR="00A16825" w:rsidRPr="00400687" w:rsidRDefault="00A16825" w:rsidP="00C8090B">
            <w:pPr>
              <w:pStyle w:val="TableTextCentred"/>
              <w:rPr>
                <w:sz w:val="20"/>
                <w:szCs w:val="20"/>
              </w:rPr>
            </w:pPr>
            <w:r w:rsidRPr="00400687">
              <w:rPr>
                <w:sz w:val="20"/>
                <w:szCs w:val="20"/>
              </w:rPr>
              <w:t>100%</w:t>
            </w:r>
          </w:p>
        </w:tc>
        <w:tc>
          <w:tcPr>
            <w:tcW w:w="567" w:type="dxa"/>
            <w:tcBorders>
              <w:left w:val="single" w:sz="4" w:space="0" w:color="0079C1"/>
              <w:bottom w:val="single" w:sz="4" w:space="0" w:color="0079C1" w:themeColor="text2"/>
            </w:tcBorders>
            <w:tcMar>
              <w:top w:w="0" w:type="dxa"/>
              <w:left w:w="108" w:type="dxa"/>
              <w:bottom w:w="0" w:type="dxa"/>
              <w:right w:w="108" w:type="dxa"/>
            </w:tcMar>
            <w:vAlign w:val="center"/>
          </w:tcPr>
          <w:p w14:paraId="391CC737" w14:textId="25B5B0FC" w:rsidR="00A16825" w:rsidRPr="00400687" w:rsidRDefault="00A16825" w:rsidP="00C8090B">
            <w:pPr>
              <w:pStyle w:val="TableTextCentred"/>
              <w:rPr>
                <w:sz w:val="20"/>
                <w:szCs w:val="20"/>
              </w:rPr>
            </w:pPr>
            <w:r w:rsidRPr="00400687">
              <w:rPr>
                <w:sz w:val="20"/>
                <w:szCs w:val="20"/>
              </w:rPr>
              <w:t>72</w:t>
            </w:r>
          </w:p>
        </w:tc>
        <w:tc>
          <w:tcPr>
            <w:tcW w:w="907" w:type="dxa"/>
            <w:tcBorders>
              <w:bottom w:val="single" w:sz="4" w:space="0" w:color="0079C1" w:themeColor="text2"/>
              <w:right w:val="single" w:sz="4" w:space="0" w:color="0079C1"/>
            </w:tcBorders>
            <w:tcMar>
              <w:top w:w="0" w:type="dxa"/>
              <w:left w:w="108" w:type="dxa"/>
              <w:bottom w:w="0" w:type="dxa"/>
              <w:right w:w="108" w:type="dxa"/>
            </w:tcMar>
            <w:vAlign w:val="center"/>
          </w:tcPr>
          <w:p w14:paraId="20134D8B" w14:textId="4653684C" w:rsidR="00A16825" w:rsidRPr="00400687" w:rsidRDefault="00A16825" w:rsidP="00C8090B">
            <w:pPr>
              <w:pStyle w:val="TableTextCentred"/>
              <w:rPr>
                <w:sz w:val="20"/>
                <w:szCs w:val="20"/>
              </w:rPr>
            </w:pPr>
            <w:r w:rsidRPr="00400687">
              <w:rPr>
                <w:sz w:val="20"/>
                <w:szCs w:val="20"/>
              </w:rPr>
              <w:t>98.6%</w:t>
            </w:r>
          </w:p>
        </w:tc>
        <w:tc>
          <w:tcPr>
            <w:tcW w:w="567" w:type="dxa"/>
            <w:tcBorders>
              <w:left w:val="single" w:sz="4" w:space="0" w:color="0079C1"/>
              <w:bottom w:val="single" w:sz="4" w:space="0" w:color="0079C1" w:themeColor="text2"/>
            </w:tcBorders>
            <w:tcMar>
              <w:top w:w="0" w:type="dxa"/>
              <w:left w:w="108" w:type="dxa"/>
              <w:bottom w:w="0" w:type="dxa"/>
              <w:right w:w="108" w:type="dxa"/>
            </w:tcMar>
            <w:vAlign w:val="center"/>
          </w:tcPr>
          <w:p w14:paraId="1F9288B1" w14:textId="08D500A8" w:rsidR="00A16825" w:rsidRPr="00400687" w:rsidRDefault="00A16825" w:rsidP="00C8090B">
            <w:pPr>
              <w:pStyle w:val="TableTextCentred"/>
              <w:rPr>
                <w:sz w:val="20"/>
                <w:szCs w:val="20"/>
              </w:rPr>
            </w:pPr>
            <w:r w:rsidRPr="00400687">
              <w:rPr>
                <w:sz w:val="20"/>
                <w:szCs w:val="20"/>
              </w:rPr>
              <w:t>20</w:t>
            </w:r>
          </w:p>
        </w:tc>
        <w:tc>
          <w:tcPr>
            <w:tcW w:w="907" w:type="dxa"/>
            <w:tcBorders>
              <w:bottom w:val="single" w:sz="4" w:space="0" w:color="0079C1" w:themeColor="text2"/>
              <w:right w:val="single" w:sz="4" w:space="0" w:color="0079C1"/>
            </w:tcBorders>
            <w:tcMar>
              <w:top w:w="0" w:type="dxa"/>
              <w:left w:w="108" w:type="dxa"/>
              <w:bottom w:w="0" w:type="dxa"/>
              <w:right w:w="108" w:type="dxa"/>
            </w:tcMar>
            <w:vAlign w:val="center"/>
          </w:tcPr>
          <w:p w14:paraId="5392B4CF" w14:textId="6E86E6B9" w:rsidR="00A16825" w:rsidRPr="00400687" w:rsidRDefault="00A16825" w:rsidP="00C8090B">
            <w:pPr>
              <w:pStyle w:val="TableTextCentred"/>
              <w:rPr>
                <w:sz w:val="20"/>
                <w:szCs w:val="20"/>
              </w:rPr>
            </w:pPr>
            <w:r w:rsidRPr="00400687">
              <w:rPr>
                <w:sz w:val="20"/>
                <w:szCs w:val="20"/>
              </w:rPr>
              <w:t>100%</w:t>
            </w:r>
          </w:p>
        </w:tc>
        <w:tc>
          <w:tcPr>
            <w:tcW w:w="567" w:type="dxa"/>
            <w:tcBorders>
              <w:left w:val="single" w:sz="4" w:space="0" w:color="0079C1"/>
              <w:bottom w:val="single" w:sz="4" w:space="0" w:color="0079C1" w:themeColor="text2"/>
            </w:tcBorders>
            <w:tcMar>
              <w:top w:w="0" w:type="dxa"/>
              <w:left w:w="108" w:type="dxa"/>
              <w:bottom w:w="0" w:type="dxa"/>
              <w:right w:w="108" w:type="dxa"/>
            </w:tcMar>
          </w:tcPr>
          <w:p w14:paraId="3E2F401E" w14:textId="484E422A" w:rsidR="00A16825" w:rsidRPr="00400687" w:rsidRDefault="00A16825" w:rsidP="00C8090B">
            <w:pPr>
              <w:pStyle w:val="TableTextCentred"/>
              <w:rPr>
                <w:rStyle w:val="Bold"/>
                <w:sz w:val="20"/>
                <w:szCs w:val="20"/>
              </w:rPr>
            </w:pPr>
            <w:r w:rsidRPr="00400687">
              <w:rPr>
                <w:rStyle w:val="Bold"/>
                <w:sz w:val="20"/>
                <w:szCs w:val="20"/>
              </w:rPr>
              <w:t>200</w:t>
            </w:r>
          </w:p>
        </w:tc>
        <w:tc>
          <w:tcPr>
            <w:tcW w:w="907" w:type="dxa"/>
            <w:tcBorders>
              <w:bottom w:val="single" w:sz="4" w:space="0" w:color="0079C1" w:themeColor="text2"/>
            </w:tcBorders>
            <w:tcMar>
              <w:top w:w="0" w:type="dxa"/>
              <w:left w:w="108" w:type="dxa"/>
              <w:bottom w:w="0" w:type="dxa"/>
              <w:right w:w="108" w:type="dxa"/>
            </w:tcMar>
          </w:tcPr>
          <w:p w14:paraId="35BB8D59" w14:textId="7D4D21F1" w:rsidR="00A16825" w:rsidRPr="00400687" w:rsidRDefault="00A16825" w:rsidP="00C8090B">
            <w:pPr>
              <w:pStyle w:val="TableTextCentred"/>
              <w:rPr>
                <w:rStyle w:val="Bold"/>
                <w:sz w:val="20"/>
                <w:szCs w:val="20"/>
              </w:rPr>
            </w:pPr>
            <w:r w:rsidRPr="00400687">
              <w:rPr>
                <w:rStyle w:val="Bold"/>
                <w:sz w:val="20"/>
                <w:szCs w:val="20"/>
              </w:rPr>
              <w:t>90.9%</w:t>
            </w:r>
          </w:p>
        </w:tc>
      </w:tr>
      <w:tr w:rsidR="00A16825" w:rsidRPr="00400687" w14:paraId="3EFEAB81" w14:textId="77777777" w:rsidTr="00400687">
        <w:tc>
          <w:tcPr>
            <w:tcW w:w="1701" w:type="dxa"/>
            <w:tcBorders>
              <w:top w:val="single" w:sz="4" w:space="0" w:color="0079C1" w:themeColor="text2"/>
              <w:bottom w:val="single" w:sz="4" w:space="0" w:color="0079C1" w:themeColor="text2"/>
              <w:right w:val="single" w:sz="4" w:space="0" w:color="0079C1"/>
            </w:tcBorders>
            <w:shd w:val="clear" w:color="auto" w:fill="E2F4FF" w:themeFill="accent1" w:themeFillTint="33"/>
            <w:tcMar>
              <w:top w:w="0" w:type="dxa"/>
              <w:left w:w="108" w:type="dxa"/>
              <w:bottom w:w="0" w:type="dxa"/>
              <w:right w:w="108" w:type="dxa"/>
            </w:tcMar>
            <w:vAlign w:val="center"/>
            <w:hideMark/>
          </w:tcPr>
          <w:p w14:paraId="321722E4" w14:textId="77777777" w:rsidR="00A16825" w:rsidRPr="00400687" w:rsidRDefault="00A16825" w:rsidP="00C8090B">
            <w:pPr>
              <w:pStyle w:val="TableText"/>
              <w:rPr>
                <w:rStyle w:val="Bold"/>
                <w:sz w:val="20"/>
                <w:szCs w:val="20"/>
              </w:rPr>
            </w:pPr>
            <w:r w:rsidRPr="00400687">
              <w:rPr>
                <w:rStyle w:val="Bold"/>
                <w:sz w:val="20"/>
                <w:szCs w:val="20"/>
              </w:rPr>
              <w:t>Total</w:t>
            </w:r>
          </w:p>
        </w:tc>
        <w:tc>
          <w:tcPr>
            <w:tcW w:w="567" w:type="dxa"/>
            <w:tcBorders>
              <w:top w:val="single" w:sz="4" w:space="0" w:color="0079C1" w:themeColor="text2"/>
              <w:left w:val="single" w:sz="4" w:space="0" w:color="0079C1"/>
              <w:bottom w:val="single" w:sz="4" w:space="0" w:color="0079C1" w:themeColor="text2"/>
            </w:tcBorders>
            <w:shd w:val="clear" w:color="auto" w:fill="E2F4FF" w:themeFill="accent1" w:themeFillTint="33"/>
            <w:tcMar>
              <w:top w:w="0" w:type="dxa"/>
              <w:left w:w="108" w:type="dxa"/>
              <w:bottom w:w="0" w:type="dxa"/>
              <w:right w:w="108" w:type="dxa"/>
            </w:tcMar>
          </w:tcPr>
          <w:p w14:paraId="3CA2408C" w14:textId="131C0ED8" w:rsidR="00A16825" w:rsidRPr="00400687" w:rsidRDefault="00A16825" w:rsidP="00C8090B">
            <w:pPr>
              <w:pStyle w:val="TableTextCentred"/>
              <w:rPr>
                <w:rStyle w:val="Bold"/>
                <w:sz w:val="20"/>
                <w:szCs w:val="20"/>
              </w:rPr>
            </w:pPr>
            <w:r w:rsidRPr="00400687">
              <w:rPr>
                <w:rStyle w:val="Bold"/>
                <w:sz w:val="20"/>
                <w:szCs w:val="20"/>
              </w:rPr>
              <w:t>108</w:t>
            </w:r>
          </w:p>
        </w:tc>
        <w:tc>
          <w:tcPr>
            <w:tcW w:w="907" w:type="dxa"/>
            <w:tcBorders>
              <w:top w:val="single" w:sz="4" w:space="0" w:color="0079C1" w:themeColor="text2"/>
              <w:bottom w:val="single" w:sz="4" w:space="0" w:color="0079C1" w:themeColor="text2"/>
              <w:right w:val="single" w:sz="4" w:space="0" w:color="0079C1"/>
            </w:tcBorders>
            <w:shd w:val="clear" w:color="auto" w:fill="E2F4FF" w:themeFill="accent1" w:themeFillTint="33"/>
            <w:tcMar>
              <w:top w:w="0" w:type="dxa"/>
              <w:left w:w="108" w:type="dxa"/>
              <w:bottom w:w="0" w:type="dxa"/>
              <w:right w:w="108" w:type="dxa"/>
            </w:tcMar>
          </w:tcPr>
          <w:p w14:paraId="37930BC8" w14:textId="36722459" w:rsidR="00A16825" w:rsidRPr="00400687" w:rsidRDefault="00A16825" w:rsidP="00C8090B">
            <w:pPr>
              <w:pStyle w:val="TableTextCentred"/>
              <w:rPr>
                <w:rStyle w:val="Bold"/>
                <w:sz w:val="20"/>
                <w:szCs w:val="20"/>
              </w:rPr>
            </w:pPr>
            <w:r w:rsidRPr="00400687">
              <w:rPr>
                <w:rStyle w:val="Bold"/>
                <w:sz w:val="20"/>
                <w:szCs w:val="20"/>
              </w:rPr>
              <w:t>100.0%</w:t>
            </w:r>
          </w:p>
        </w:tc>
        <w:tc>
          <w:tcPr>
            <w:tcW w:w="567" w:type="dxa"/>
            <w:tcBorders>
              <w:top w:val="single" w:sz="4" w:space="0" w:color="0079C1" w:themeColor="text2"/>
              <w:left w:val="single" w:sz="4" w:space="0" w:color="0079C1"/>
              <w:bottom w:val="single" w:sz="4" w:space="0" w:color="0079C1" w:themeColor="text2"/>
            </w:tcBorders>
            <w:shd w:val="clear" w:color="auto" w:fill="E2F4FF" w:themeFill="accent1" w:themeFillTint="33"/>
            <w:tcMar>
              <w:top w:w="0" w:type="dxa"/>
              <w:left w:w="108" w:type="dxa"/>
              <w:bottom w:w="0" w:type="dxa"/>
              <w:right w:w="108" w:type="dxa"/>
            </w:tcMar>
          </w:tcPr>
          <w:p w14:paraId="1F37D817" w14:textId="53E946CB" w:rsidR="00A16825" w:rsidRPr="00400687" w:rsidRDefault="00A16825" w:rsidP="00C8090B">
            <w:pPr>
              <w:pStyle w:val="TableTextCentred"/>
              <w:rPr>
                <w:rStyle w:val="Bold"/>
                <w:sz w:val="20"/>
                <w:szCs w:val="20"/>
              </w:rPr>
            </w:pPr>
            <w:r w:rsidRPr="00400687">
              <w:rPr>
                <w:rStyle w:val="Bold"/>
                <w:sz w:val="20"/>
                <w:szCs w:val="20"/>
              </w:rPr>
              <w:t>19</w:t>
            </w:r>
          </w:p>
        </w:tc>
        <w:tc>
          <w:tcPr>
            <w:tcW w:w="907" w:type="dxa"/>
            <w:tcBorders>
              <w:top w:val="single" w:sz="4" w:space="0" w:color="0079C1" w:themeColor="text2"/>
              <w:bottom w:val="single" w:sz="4" w:space="0" w:color="0079C1" w:themeColor="text2"/>
              <w:right w:val="single" w:sz="4" w:space="0" w:color="0079C1"/>
            </w:tcBorders>
            <w:shd w:val="clear" w:color="auto" w:fill="E2F4FF" w:themeFill="accent1" w:themeFillTint="33"/>
            <w:tcMar>
              <w:top w:w="0" w:type="dxa"/>
              <w:left w:w="108" w:type="dxa"/>
              <w:bottom w:w="0" w:type="dxa"/>
              <w:right w:w="108" w:type="dxa"/>
            </w:tcMar>
          </w:tcPr>
          <w:p w14:paraId="3C69BB6E" w14:textId="374DB921" w:rsidR="00A16825" w:rsidRPr="00400687" w:rsidRDefault="00A16825" w:rsidP="00C8090B">
            <w:pPr>
              <w:pStyle w:val="TableTextCentred"/>
              <w:rPr>
                <w:rStyle w:val="Bold"/>
                <w:sz w:val="20"/>
                <w:szCs w:val="20"/>
              </w:rPr>
            </w:pPr>
            <w:r w:rsidRPr="00400687">
              <w:rPr>
                <w:rStyle w:val="Bold"/>
                <w:sz w:val="20"/>
                <w:szCs w:val="20"/>
              </w:rPr>
              <w:t>100.0%</w:t>
            </w:r>
          </w:p>
        </w:tc>
        <w:tc>
          <w:tcPr>
            <w:tcW w:w="567" w:type="dxa"/>
            <w:tcBorders>
              <w:top w:val="single" w:sz="4" w:space="0" w:color="0079C1" w:themeColor="text2"/>
              <w:left w:val="single" w:sz="4" w:space="0" w:color="0079C1"/>
              <w:bottom w:val="single" w:sz="4" w:space="0" w:color="0079C1" w:themeColor="text2"/>
            </w:tcBorders>
            <w:shd w:val="clear" w:color="auto" w:fill="E2F4FF" w:themeFill="accent1" w:themeFillTint="33"/>
            <w:tcMar>
              <w:top w:w="0" w:type="dxa"/>
              <w:left w:w="108" w:type="dxa"/>
              <w:bottom w:w="0" w:type="dxa"/>
              <w:right w:w="108" w:type="dxa"/>
            </w:tcMar>
          </w:tcPr>
          <w:p w14:paraId="3F4832F8" w14:textId="3BC40998" w:rsidR="00A16825" w:rsidRPr="00400687" w:rsidRDefault="00A16825" w:rsidP="00C8090B">
            <w:pPr>
              <w:pStyle w:val="TableTextCentred"/>
              <w:rPr>
                <w:rStyle w:val="Bold"/>
                <w:sz w:val="20"/>
                <w:szCs w:val="20"/>
              </w:rPr>
            </w:pPr>
            <w:r w:rsidRPr="00400687">
              <w:rPr>
                <w:rStyle w:val="Bold"/>
                <w:sz w:val="20"/>
                <w:szCs w:val="20"/>
              </w:rPr>
              <w:t>73</w:t>
            </w:r>
          </w:p>
        </w:tc>
        <w:tc>
          <w:tcPr>
            <w:tcW w:w="907" w:type="dxa"/>
            <w:tcBorders>
              <w:top w:val="single" w:sz="4" w:space="0" w:color="0079C1" w:themeColor="text2"/>
              <w:bottom w:val="single" w:sz="4" w:space="0" w:color="0079C1" w:themeColor="text2"/>
              <w:right w:val="single" w:sz="4" w:space="0" w:color="0079C1"/>
            </w:tcBorders>
            <w:shd w:val="clear" w:color="auto" w:fill="E2F4FF" w:themeFill="accent1" w:themeFillTint="33"/>
            <w:tcMar>
              <w:top w:w="0" w:type="dxa"/>
              <w:left w:w="108" w:type="dxa"/>
              <w:bottom w:w="0" w:type="dxa"/>
              <w:right w:w="108" w:type="dxa"/>
            </w:tcMar>
          </w:tcPr>
          <w:p w14:paraId="4FD81CEC" w14:textId="6AB0E78E" w:rsidR="00A16825" w:rsidRPr="00400687" w:rsidRDefault="00A16825" w:rsidP="00C8090B">
            <w:pPr>
              <w:pStyle w:val="TableTextCentred"/>
              <w:rPr>
                <w:rStyle w:val="Bold"/>
                <w:sz w:val="20"/>
                <w:szCs w:val="20"/>
              </w:rPr>
            </w:pPr>
            <w:r w:rsidRPr="00400687">
              <w:rPr>
                <w:rStyle w:val="Bold"/>
                <w:sz w:val="20"/>
                <w:szCs w:val="20"/>
              </w:rPr>
              <w:t>100.0%</w:t>
            </w:r>
          </w:p>
        </w:tc>
        <w:tc>
          <w:tcPr>
            <w:tcW w:w="567" w:type="dxa"/>
            <w:tcBorders>
              <w:top w:val="single" w:sz="4" w:space="0" w:color="0079C1" w:themeColor="text2"/>
              <w:left w:val="single" w:sz="4" w:space="0" w:color="0079C1"/>
              <w:bottom w:val="single" w:sz="4" w:space="0" w:color="0079C1" w:themeColor="text2"/>
            </w:tcBorders>
            <w:shd w:val="clear" w:color="auto" w:fill="E2F4FF" w:themeFill="accent1" w:themeFillTint="33"/>
            <w:tcMar>
              <w:top w:w="0" w:type="dxa"/>
              <w:left w:w="108" w:type="dxa"/>
              <w:bottom w:w="0" w:type="dxa"/>
              <w:right w:w="108" w:type="dxa"/>
            </w:tcMar>
          </w:tcPr>
          <w:p w14:paraId="30DA78DB" w14:textId="1FB01C89" w:rsidR="00A16825" w:rsidRPr="00400687" w:rsidRDefault="00A16825" w:rsidP="00C8090B">
            <w:pPr>
              <w:pStyle w:val="TableTextCentred"/>
              <w:rPr>
                <w:rStyle w:val="Bold"/>
                <w:sz w:val="20"/>
                <w:szCs w:val="20"/>
              </w:rPr>
            </w:pPr>
            <w:r w:rsidRPr="00400687">
              <w:rPr>
                <w:rStyle w:val="Bold"/>
                <w:sz w:val="20"/>
                <w:szCs w:val="20"/>
              </w:rPr>
              <w:t>20</w:t>
            </w:r>
          </w:p>
        </w:tc>
        <w:tc>
          <w:tcPr>
            <w:tcW w:w="907" w:type="dxa"/>
            <w:tcBorders>
              <w:top w:val="single" w:sz="4" w:space="0" w:color="0079C1" w:themeColor="text2"/>
              <w:bottom w:val="single" w:sz="4" w:space="0" w:color="0079C1" w:themeColor="text2"/>
              <w:right w:val="single" w:sz="4" w:space="0" w:color="0079C1"/>
            </w:tcBorders>
            <w:shd w:val="clear" w:color="auto" w:fill="E2F4FF" w:themeFill="accent1" w:themeFillTint="33"/>
            <w:tcMar>
              <w:top w:w="0" w:type="dxa"/>
              <w:left w:w="108" w:type="dxa"/>
              <w:bottom w:w="0" w:type="dxa"/>
              <w:right w:w="108" w:type="dxa"/>
            </w:tcMar>
          </w:tcPr>
          <w:p w14:paraId="485B2B58" w14:textId="42438777" w:rsidR="00A16825" w:rsidRPr="00400687" w:rsidRDefault="00A16825" w:rsidP="00C8090B">
            <w:pPr>
              <w:pStyle w:val="TableTextCentred"/>
              <w:rPr>
                <w:rStyle w:val="Bold"/>
                <w:sz w:val="20"/>
                <w:szCs w:val="20"/>
              </w:rPr>
            </w:pPr>
            <w:r w:rsidRPr="00400687">
              <w:rPr>
                <w:rStyle w:val="Bold"/>
                <w:sz w:val="20"/>
                <w:szCs w:val="20"/>
              </w:rPr>
              <w:t>100.0%</w:t>
            </w:r>
          </w:p>
        </w:tc>
        <w:tc>
          <w:tcPr>
            <w:tcW w:w="567" w:type="dxa"/>
            <w:tcBorders>
              <w:top w:val="single" w:sz="4" w:space="0" w:color="0079C1" w:themeColor="text2"/>
              <w:left w:val="single" w:sz="4" w:space="0" w:color="0079C1"/>
              <w:bottom w:val="single" w:sz="4" w:space="0" w:color="0079C1" w:themeColor="text2"/>
            </w:tcBorders>
            <w:shd w:val="clear" w:color="auto" w:fill="E2F4FF" w:themeFill="accent1" w:themeFillTint="33"/>
            <w:tcMar>
              <w:top w:w="0" w:type="dxa"/>
              <w:left w:w="108" w:type="dxa"/>
              <w:bottom w:w="0" w:type="dxa"/>
              <w:right w:w="108" w:type="dxa"/>
            </w:tcMar>
          </w:tcPr>
          <w:p w14:paraId="6C9ABB3D" w14:textId="33B0B5F3" w:rsidR="00A16825" w:rsidRPr="00400687" w:rsidRDefault="00A16825" w:rsidP="00C8090B">
            <w:pPr>
              <w:pStyle w:val="TableTextCentred"/>
              <w:rPr>
                <w:rStyle w:val="Bold"/>
                <w:sz w:val="20"/>
                <w:szCs w:val="20"/>
              </w:rPr>
            </w:pPr>
            <w:r w:rsidRPr="00400687">
              <w:rPr>
                <w:rStyle w:val="Bold"/>
                <w:sz w:val="20"/>
                <w:szCs w:val="20"/>
              </w:rPr>
              <w:t>220</w:t>
            </w:r>
          </w:p>
        </w:tc>
        <w:tc>
          <w:tcPr>
            <w:tcW w:w="907" w:type="dxa"/>
            <w:tcBorders>
              <w:top w:val="single" w:sz="4" w:space="0" w:color="0079C1" w:themeColor="text2"/>
              <w:bottom w:val="single" w:sz="4" w:space="0" w:color="0079C1" w:themeColor="text2"/>
            </w:tcBorders>
            <w:shd w:val="clear" w:color="auto" w:fill="E2F4FF" w:themeFill="accent1" w:themeFillTint="33"/>
            <w:tcMar>
              <w:top w:w="0" w:type="dxa"/>
              <w:left w:w="108" w:type="dxa"/>
              <w:bottom w:w="0" w:type="dxa"/>
              <w:right w:w="108" w:type="dxa"/>
            </w:tcMar>
          </w:tcPr>
          <w:p w14:paraId="070DFF10" w14:textId="1D40FD54" w:rsidR="00A16825" w:rsidRPr="00400687" w:rsidRDefault="00A16825" w:rsidP="00C8090B">
            <w:pPr>
              <w:pStyle w:val="TableTextCentred"/>
              <w:rPr>
                <w:rStyle w:val="Bold"/>
                <w:sz w:val="20"/>
                <w:szCs w:val="20"/>
              </w:rPr>
            </w:pPr>
            <w:r w:rsidRPr="00400687">
              <w:rPr>
                <w:rStyle w:val="Bold"/>
                <w:sz w:val="20"/>
                <w:szCs w:val="20"/>
              </w:rPr>
              <w:t>100.0%</w:t>
            </w:r>
          </w:p>
        </w:tc>
      </w:tr>
    </w:tbl>
    <w:p w14:paraId="5CCA181D" w14:textId="042BE29E" w:rsidR="005379F6" w:rsidRDefault="005379F6" w:rsidP="005379F6">
      <w:pPr>
        <w:pStyle w:val="Caption"/>
      </w:pPr>
      <w:bookmarkStart w:id="168" w:name="_Ref463006019"/>
      <w:bookmarkStart w:id="169" w:name="_Toc490481673"/>
      <w:r w:rsidRPr="00B43607">
        <w:t xml:space="preserve">Table </w:t>
      </w:r>
      <w:r w:rsidR="00644B63">
        <w:fldChar w:fldCharType="begin"/>
      </w:r>
      <w:r w:rsidR="00644B63">
        <w:instrText xml:space="preserve"> STYLEREF 1 \s </w:instrText>
      </w:r>
      <w:r w:rsidR="00644B63">
        <w:fldChar w:fldCharType="separate"/>
      </w:r>
      <w:r w:rsidR="00487073">
        <w:rPr>
          <w:noProof/>
        </w:rPr>
        <w:t>6</w:t>
      </w:r>
      <w:r w:rsidR="00644B63">
        <w:fldChar w:fldCharType="end"/>
      </w:r>
      <w:r w:rsidR="00644B63">
        <w:noBreakHyphen/>
      </w:r>
      <w:r w:rsidR="00644B63">
        <w:fldChar w:fldCharType="begin"/>
      </w:r>
      <w:r w:rsidR="00644B63">
        <w:instrText xml:space="preserve"> SEQ Table \* ARABIC \s 1 </w:instrText>
      </w:r>
      <w:r w:rsidR="00644B63">
        <w:fldChar w:fldCharType="separate"/>
      </w:r>
      <w:r w:rsidR="00487073">
        <w:rPr>
          <w:noProof/>
        </w:rPr>
        <w:t>8</w:t>
      </w:r>
      <w:r w:rsidR="00644B63">
        <w:fldChar w:fldCharType="end"/>
      </w:r>
      <w:bookmarkEnd w:id="168"/>
      <w:r w:rsidR="00E07D8E">
        <w:t>:</w:t>
      </w:r>
      <w:r w:rsidR="00E07D8E">
        <w:tab/>
      </w:r>
      <w:r w:rsidR="00B443D8">
        <w:t>Respondent uptake of referral to other service</w:t>
      </w:r>
      <w:bookmarkEnd w:id="169"/>
    </w:p>
    <w:tbl>
      <w:tblPr>
        <w:tblW w:w="9255" w:type="dxa"/>
        <w:tblInd w:w="108"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CellMar>
          <w:left w:w="0" w:type="dxa"/>
          <w:right w:w="0" w:type="dxa"/>
        </w:tblCellMar>
        <w:tblLook w:val="04A0" w:firstRow="1" w:lastRow="0" w:firstColumn="1" w:lastColumn="0" w:noHBand="0" w:noVBand="1"/>
      </w:tblPr>
      <w:tblGrid>
        <w:gridCol w:w="1408"/>
        <w:gridCol w:w="657"/>
        <w:gridCol w:w="872"/>
        <w:gridCol w:w="620"/>
        <w:gridCol w:w="872"/>
        <w:gridCol w:w="620"/>
        <w:gridCol w:w="953"/>
        <w:gridCol w:w="620"/>
        <w:gridCol w:w="872"/>
        <w:gridCol w:w="752"/>
        <w:gridCol w:w="1009"/>
      </w:tblGrid>
      <w:tr w:rsidR="00C471B3" w:rsidRPr="00400687" w14:paraId="405D9808" w14:textId="77777777" w:rsidTr="000A3AB3">
        <w:trPr>
          <w:tblHeader/>
        </w:trPr>
        <w:tc>
          <w:tcPr>
            <w:tcW w:w="1408" w:type="dxa"/>
            <w:vMerge w:val="restart"/>
            <w:shd w:val="clear" w:color="auto" w:fill="0079C1" w:themeFill="text2"/>
            <w:tcMar>
              <w:top w:w="0" w:type="dxa"/>
              <w:left w:w="108" w:type="dxa"/>
              <w:bottom w:w="0" w:type="dxa"/>
              <w:right w:w="108" w:type="dxa"/>
            </w:tcMar>
            <w:vAlign w:val="center"/>
            <w:hideMark/>
          </w:tcPr>
          <w:p w14:paraId="2C709B6F" w14:textId="77777777" w:rsidR="00C471B3" w:rsidRPr="00400687" w:rsidRDefault="00C471B3" w:rsidP="00E85AB7">
            <w:pPr>
              <w:pStyle w:val="TableHeading1"/>
              <w:rPr>
                <w:sz w:val="20"/>
              </w:rPr>
            </w:pPr>
            <w:r w:rsidRPr="00400687">
              <w:rPr>
                <w:sz w:val="20"/>
              </w:rPr>
              <w:t>Contacted service referred to</w:t>
            </w:r>
          </w:p>
        </w:tc>
        <w:tc>
          <w:tcPr>
            <w:tcW w:w="3021" w:type="dxa"/>
            <w:gridSpan w:val="4"/>
            <w:shd w:val="clear" w:color="auto" w:fill="0079C1" w:themeFill="text2"/>
            <w:tcMar>
              <w:top w:w="0" w:type="dxa"/>
              <w:left w:w="108" w:type="dxa"/>
              <w:bottom w:w="0" w:type="dxa"/>
              <w:right w:w="108" w:type="dxa"/>
            </w:tcMar>
            <w:hideMark/>
          </w:tcPr>
          <w:p w14:paraId="7707CE28" w14:textId="77777777" w:rsidR="00C471B3" w:rsidRPr="00400687" w:rsidRDefault="00C471B3" w:rsidP="00E85AB7">
            <w:pPr>
              <w:pStyle w:val="TableHeading1Centred"/>
              <w:rPr>
                <w:sz w:val="20"/>
              </w:rPr>
            </w:pPr>
            <w:r w:rsidRPr="00400687">
              <w:rPr>
                <w:sz w:val="20"/>
              </w:rPr>
              <w:t>Wanting to adopt</w:t>
            </w:r>
          </w:p>
        </w:tc>
        <w:tc>
          <w:tcPr>
            <w:tcW w:w="1573" w:type="dxa"/>
            <w:gridSpan w:val="2"/>
            <w:vMerge w:val="restart"/>
            <w:shd w:val="clear" w:color="auto" w:fill="0079C1" w:themeFill="text2"/>
            <w:tcMar>
              <w:top w:w="0" w:type="dxa"/>
              <w:left w:w="108" w:type="dxa"/>
              <w:bottom w:w="0" w:type="dxa"/>
              <w:right w:w="108" w:type="dxa"/>
            </w:tcMar>
            <w:vAlign w:val="center"/>
            <w:hideMark/>
          </w:tcPr>
          <w:p w14:paraId="017CD6C3" w14:textId="77777777" w:rsidR="00C471B3" w:rsidRPr="00400687" w:rsidRDefault="00C471B3" w:rsidP="00E85AB7">
            <w:pPr>
              <w:pStyle w:val="TableHeading1Centred"/>
              <w:rPr>
                <w:sz w:val="20"/>
              </w:rPr>
            </w:pPr>
            <w:r w:rsidRPr="00400687">
              <w:rPr>
                <w:sz w:val="20"/>
              </w:rPr>
              <w:t>Post adoption</w:t>
            </w:r>
          </w:p>
        </w:tc>
        <w:tc>
          <w:tcPr>
            <w:tcW w:w="1492" w:type="dxa"/>
            <w:gridSpan w:val="2"/>
            <w:vMerge w:val="restart"/>
            <w:shd w:val="clear" w:color="auto" w:fill="0079C1" w:themeFill="text2"/>
            <w:tcMar>
              <w:top w:w="0" w:type="dxa"/>
              <w:left w:w="108" w:type="dxa"/>
              <w:bottom w:w="0" w:type="dxa"/>
              <w:right w:w="108" w:type="dxa"/>
            </w:tcMar>
            <w:vAlign w:val="center"/>
            <w:hideMark/>
          </w:tcPr>
          <w:p w14:paraId="2D479EA1" w14:textId="77777777" w:rsidR="00C471B3" w:rsidRPr="00400687" w:rsidRDefault="00C471B3" w:rsidP="00E85AB7">
            <w:pPr>
              <w:pStyle w:val="TableHeading1Centred"/>
              <w:rPr>
                <w:sz w:val="20"/>
              </w:rPr>
            </w:pPr>
            <w:r w:rsidRPr="00400687">
              <w:rPr>
                <w:sz w:val="20"/>
              </w:rPr>
              <w:t>Did not continue</w:t>
            </w:r>
          </w:p>
        </w:tc>
        <w:tc>
          <w:tcPr>
            <w:tcW w:w="1761" w:type="dxa"/>
            <w:gridSpan w:val="2"/>
            <w:vMerge w:val="restart"/>
            <w:shd w:val="clear" w:color="auto" w:fill="0079C1" w:themeFill="text2"/>
            <w:tcMar>
              <w:top w:w="0" w:type="dxa"/>
              <w:left w:w="108" w:type="dxa"/>
              <w:bottom w:w="0" w:type="dxa"/>
              <w:right w:w="108" w:type="dxa"/>
            </w:tcMar>
            <w:vAlign w:val="center"/>
            <w:hideMark/>
          </w:tcPr>
          <w:p w14:paraId="2F9D4B46" w14:textId="77777777" w:rsidR="00C471B3" w:rsidRPr="00400687" w:rsidRDefault="00C471B3" w:rsidP="00E85AB7">
            <w:pPr>
              <w:pStyle w:val="TableHeading1Centred"/>
              <w:rPr>
                <w:sz w:val="20"/>
              </w:rPr>
            </w:pPr>
            <w:r w:rsidRPr="00400687">
              <w:rPr>
                <w:sz w:val="20"/>
              </w:rPr>
              <w:t>Total</w:t>
            </w:r>
          </w:p>
        </w:tc>
      </w:tr>
      <w:tr w:rsidR="00C471B3" w:rsidRPr="00400687" w14:paraId="323A0A4F" w14:textId="77777777" w:rsidTr="000A3AB3">
        <w:trPr>
          <w:tblHeader/>
        </w:trPr>
        <w:tc>
          <w:tcPr>
            <w:tcW w:w="0" w:type="auto"/>
            <w:vMerge/>
            <w:shd w:val="clear" w:color="auto" w:fill="0079C1" w:themeFill="text2"/>
            <w:vAlign w:val="center"/>
            <w:hideMark/>
          </w:tcPr>
          <w:p w14:paraId="619E33B3" w14:textId="77777777" w:rsidR="00C471B3" w:rsidRPr="00400687" w:rsidRDefault="00C471B3" w:rsidP="00E85AB7">
            <w:pPr>
              <w:pStyle w:val="TableHeading1Centred"/>
              <w:rPr>
                <w:sz w:val="20"/>
              </w:rPr>
            </w:pPr>
          </w:p>
        </w:tc>
        <w:tc>
          <w:tcPr>
            <w:tcW w:w="1529" w:type="dxa"/>
            <w:gridSpan w:val="2"/>
            <w:shd w:val="clear" w:color="auto" w:fill="0079C1" w:themeFill="text2"/>
            <w:tcMar>
              <w:top w:w="0" w:type="dxa"/>
              <w:left w:w="108" w:type="dxa"/>
              <w:bottom w:w="0" w:type="dxa"/>
              <w:right w:w="108" w:type="dxa"/>
            </w:tcMar>
            <w:hideMark/>
          </w:tcPr>
          <w:p w14:paraId="0D323272" w14:textId="77777777" w:rsidR="00C471B3" w:rsidRPr="00400687" w:rsidRDefault="00C471B3" w:rsidP="00E85AB7">
            <w:pPr>
              <w:pStyle w:val="TableHeading1Centred"/>
              <w:rPr>
                <w:sz w:val="20"/>
              </w:rPr>
            </w:pPr>
            <w:r w:rsidRPr="00400687">
              <w:rPr>
                <w:sz w:val="20"/>
              </w:rPr>
              <w:t>First time</w:t>
            </w:r>
          </w:p>
        </w:tc>
        <w:tc>
          <w:tcPr>
            <w:tcW w:w="1492" w:type="dxa"/>
            <w:gridSpan w:val="2"/>
            <w:shd w:val="clear" w:color="auto" w:fill="0079C1" w:themeFill="text2"/>
            <w:tcMar>
              <w:top w:w="0" w:type="dxa"/>
              <w:left w:w="108" w:type="dxa"/>
              <w:bottom w:w="0" w:type="dxa"/>
              <w:right w:w="108" w:type="dxa"/>
            </w:tcMar>
            <w:hideMark/>
          </w:tcPr>
          <w:p w14:paraId="59C5FFC7" w14:textId="77777777" w:rsidR="00C471B3" w:rsidRPr="00400687" w:rsidRDefault="00C471B3" w:rsidP="00E85AB7">
            <w:pPr>
              <w:pStyle w:val="TableHeading1Centred"/>
              <w:rPr>
                <w:sz w:val="20"/>
              </w:rPr>
            </w:pPr>
            <w:r w:rsidRPr="00400687">
              <w:rPr>
                <w:sz w:val="20"/>
              </w:rPr>
              <w:t>Repeat</w:t>
            </w:r>
          </w:p>
        </w:tc>
        <w:tc>
          <w:tcPr>
            <w:tcW w:w="0" w:type="auto"/>
            <w:gridSpan w:val="2"/>
            <w:vMerge/>
            <w:shd w:val="clear" w:color="auto" w:fill="0079C1" w:themeFill="text2"/>
            <w:vAlign w:val="center"/>
            <w:hideMark/>
          </w:tcPr>
          <w:p w14:paraId="1BF25042" w14:textId="77777777" w:rsidR="00C471B3" w:rsidRPr="00400687" w:rsidRDefault="00C471B3" w:rsidP="00E85AB7">
            <w:pPr>
              <w:pStyle w:val="TableHeading1Centred"/>
              <w:rPr>
                <w:sz w:val="20"/>
              </w:rPr>
            </w:pPr>
          </w:p>
        </w:tc>
        <w:tc>
          <w:tcPr>
            <w:tcW w:w="0" w:type="auto"/>
            <w:gridSpan w:val="2"/>
            <w:vMerge/>
            <w:shd w:val="clear" w:color="auto" w:fill="0079C1" w:themeFill="text2"/>
            <w:vAlign w:val="center"/>
            <w:hideMark/>
          </w:tcPr>
          <w:p w14:paraId="39FDBB16" w14:textId="77777777" w:rsidR="00C471B3" w:rsidRPr="00400687" w:rsidRDefault="00C471B3" w:rsidP="00E85AB7">
            <w:pPr>
              <w:pStyle w:val="TableHeading1Centred"/>
              <w:rPr>
                <w:sz w:val="20"/>
              </w:rPr>
            </w:pPr>
          </w:p>
        </w:tc>
        <w:tc>
          <w:tcPr>
            <w:tcW w:w="0" w:type="auto"/>
            <w:gridSpan w:val="2"/>
            <w:vMerge/>
            <w:shd w:val="clear" w:color="auto" w:fill="0079C1" w:themeFill="text2"/>
            <w:vAlign w:val="center"/>
            <w:hideMark/>
          </w:tcPr>
          <w:p w14:paraId="55FEFCEE" w14:textId="77777777" w:rsidR="00C471B3" w:rsidRPr="00400687" w:rsidRDefault="00C471B3" w:rsidP="00E85AB7">
            <w:pPr>
              <w:pStyle w:val="TableHeading1Centred"/>
              <w:rPr>
                <w:sz w:val="20"/>
              </w:rPr>
            </w:pPr>
          </w:p>
        </w:tc>
      </w:tr>
      <w:tr w:rsidR="00702143" w:rsidRPr="00400687" w14:paraId="2F840C1D" w14:textId="77777777" w:rsidTr="00400687">
        <w:trPr>
          <w:tblHeader/>
        </w:trPr>
        <w:tc>
          <w:tcPr>
            <w:tcW w:w="0" w:type="auto"/>
            <w:vMerge/>
            <w:shd w:val="clear" w:color="auto" w:fill="0079C1" w:themeFill="text2"/>
            <w:vAlign w:val="center"/>
            <w:hideMark/>
          </w:tcPr>
          <w:p w14:paraId="77AA35FD" w14:textId="77777777" w:rsidR="00C471B3" w:rsidRPr="00400687" w:rsidRDefault="00C471B3" w:rsidP="00E85AB7">
            <w:pPr>
              <w:pStyle w:val="TableHeading1Centred"/>
              <w:rPr>
                <w:sz w:val="20"/>
              </w:rPr>
            </w:pPr>
          </w:p>
        </w:tc>
        <w:tc>
          <w:tcPr>
            <w:tcW w:w="657" w:type="dxa"/>
            <w:shd w:val="clear" w:color="auto" w:fill="0079C1" w:themeFill="text2"/>
            <w:tcMar>
              <w:top w:w="0" w:type="dxa"/>
              <w:left w:w="108" w:type="dxa"/>
              <w:bottom w:w="0" w:type="dxa"/>
              <w:right w:w="108" w:type="dxa"/>
            </w:tcMar>
            <w:hideMark/>
          </w:tcPr>
          <w:p w14:paraId="57E61B14" w14:textId="77777777" w:rsidR="00C471B3" w:rsidRPr="00400687" w:rsidRDefault="00C471B3" w:rsidP="00E85AB7">
            <w:pPr>
              <w:pStyle w:val="TableHeading1Centred"/>
              <w:rPr>
                <w:sz w:val="20"/>
              </w:rPr>
            </w:pPr>
            <w:r w:rsidRPr="00400687">
              <w:rPr>
                <w:sz w:val="20"/>
              </w:rPr>
              <w:t>n</w:t>
            </w:r>
          </w:p>
        </w:tc>
        <w:tc>
          <w:tcPr>
            <w:tcW w:w="872" w:type="dxa"/>
            <w:shd w:val="clear" w:color="auto" w:fill="0079C1" w:themeFill="text2"/>
            <w:tcMar>
              <w:top w:w="0" w:type="dxa"/>
              <w:left w:w="108" w:type="dxa"/>
              <w:bottom w:w="0" w:type="dxa"/>
              <w:right w:w="108" w:type="dxa"/>
            </w:tcMar>
            <w:hideMark/>
          </w:tcPr>
          <w:p w14:paraId="31A9A4F5" w14:textId="77777777" w:rsidR="00C471B3" w:rsidRPr="00400687" w:rsidRDefault="00C471B3" w:rsidP="00E85AB7">
            <w:pPr>
              <w:pStyle w:val="TableHeading1Centred"/>
              <w:rPr>
                <w:sz w:val="20"/>
              </w:rPr>
            </w:pPr>
            <w:r w:rsidRPr="00400687">
              <w:rPr>
                <w:sz w:val="20"/>
              </w:rPr>
              <w:t>%</w:t>
            </w:r>
          </w:p>
        </w:tc>
        <w:tc>
          <w:tcPr>
            <w:tcW w:w="620" w:type="dxa"/>
            <w:shd w:val="clear" w:color="auto" w:fill="0079C1" w:themeFill="text2"/>
            <w:tcMar>
              <w:top w:w="0" w:type="dxa"/>
              <w:left w:w="108" w:type="dxa"/>
              <w:bottom w:w="0" w:type="dxa"/>
              <w:right w:w="108" w:type="dxa"/>
            </w:tcMar>
            <w:hideMark/>
          </w:tcPr>
          <w:p w14:paraId="542A2AE9" w14:textId="77777777" w:rsidR="00C471B3" w:rsidRPr="00400687" w:rsidRDefault="00C471B3" w:rsidP="00E85AB7">
            <w:pPr>
              <w:pStyle w:val="TableHeading1Centred"/>
              <w:rPr>
                <w:sz w:val="20"/>
              </w:rPr>
            </w:pPr>
            <w:r w:rsidRPr="00400687">
              <w:rPr>
                <w:sz w:val="20"/>
              </w:rPr>
              <w:t>n</w:t>
            </w:r>
          </w:p>
        </w:tc>
        <w:tc>
          <w:tcPr>
            <w:tcW w:w="872" w:type="dxa"/>
            <w:shd w:val="clear" w:color="auto" w:fill="0079C1" w:themeFill="text2"/>
            <w:tcMar>
              <w:top w:w="0" w:type="dxa"/>
              <w:left w:w="108" w:type="dxa"/>
              <w:bottom w:w="0" w:type="dxa"/>
              <w:right w:w="108" w:type="dxa"/>
            </w:tcMar>
            <w:hideMark/>
          </w:tcPr>
          <w:p w14:paraId="70BD19AA" w14:textId="77777777" w:rsidR="00C471B3" w:rsidRPr="00400687" w:rsidRDefault="00C471B3" w:rsidP="00E85AB7">
            <w:pPr>
              <w:pStyle w:val="TableHeading1Centred"/>
              <w:rPr>
                <w:sz w:val="20"/>
              </w:rPr>
            </w:pPr>
            <w:r w:rsidRPr="00400687">
              <w:rPr>
                <w:sz w:val="20"/>
              </w:rPr>
              <w:t>%</w:t>
            </w:r>
          </w:p>
        </w:tc>
        <w:tc>
          <w:tcPr>
            <w:tcW w:w="620" w:type="dxa"/>
            <w:shd w:val="clear" w:color="auto" w:fill="0079C1" w:themeFill="text2"/>
            <w:tcMar>
              <w:top w:w="0" w:type="dxa"/>
              <w:left w:w="108" w:type="dxa"/>
              <w:bottom w:w="0" w:type="dxa"/>
              <w:right w:w="108" w:type="dxa"/>
            </w:tcMar>
            <w:hideMark/>
          </w:tcPr>
          <w:p w14:paraId="218E739D" w14:textId="77777777" w:rsidR="00C471B3" w:rsidRPr="00400687" w:rsidRDefault="00C471B3" w:rsidP="00E85AB7">
            <w:pPr>
              <w:pStyle w:val="TableHeading1Centred"/>
              <w:rPr>
                <w:sz w:val="20"/>
              </w:rPr>
            </w:pPr>
            <w:r w:rsidRPr="00400687">
              <w:rPr>
                <w:sz w:val="20"/>
              </w:rPr>
              <w:t>n</w:t>
            </w:r>
          </w:p>
        </w:tc>
        <w:tc>
          <w:tcPr>
            <w:tcW w:w="953" w:type="dxa"/>
            <w:tcBorders>
              <w:right w:val="single" w:sz="4" w:space="0" w:color="0079C1"/>
            </w:tcBorders>
            <w:shd w:val="clear" w:color="auto" w:fill="0079C1" w:themeFill="text2"/>
            <w:tcMar>
              <w:top w:w="0" w:type="dxa"/>
              <w:left w:w="108" w:type="dxa"/>
              <w:bottom w:w="0" w:type="dxa"/>
              <w:right w:w="108" w:type="dxa"/>
            </w:tcMar>
            <w:hideMark/>
          </w:tcPr>
          <w:p w14:paraId="70F61464" w14:textId="77777777" w:rsidR="00C471B3" w:rsidRPr="00400687" w:rsidRDefault="00C471B3" w:rsidP="00E85AB7">
            <w:pPr>
              <w:pStyle w:val="TableHeading1Centred"/>
              <w:rPr>
                <w:sz w:val="20"/>
              </w:rPr>
            </w:pPr>
            <w:r w:rsidRPr="00400687">
              <w:rPr>
                <w:sz w:val="20"/>
              </w:rPr>
              <w:t>%</w:t>
            </w:r>
          </w:p>
        </w:tc>
        <w:tc>
          <w:tcPr>
            <w:tcW w:w="620" w:type="dxa"/>
            <w:tcBorders>
              <w:left w:val="single" w:sz="4" w:space="0" w:color="0079C1"/>
            </w:tcBorders>
            <w:shd w:val="clear" w:color="auto" w:fill="0079C1" w:themeFill="text2"/>
            <w:tcMar>
              <w:top w:w="0" w:type="dxa"/>
              <w:left w:w="108" w:type="dxa"/>
              <w:bottom w:w="0" w:type="dxa"/>
              <w:right w:w="108" w:type="dxa"/>
            </w:tcMar>
            <w:hideMark/>
          </w:tcPr>
          <w:p w14:paraId="2B792FAC" w14:textId="77777777" w:rsidR="00C471B3" w:rsidRPr="00400687" w:rsidRDefault="00C471B3" w:rsidP="00E85AB7">
            <w:pPr>
              <w:pStyle w:val="TableHeading1Centred"/>
              <w:rPr>
                <w:sz w:val="20"/>
              </w:rPr>
            </w:pPr>
            <w:r w:rsidRPr="00400687">
              <w:rPr>
                <w:sz w:val="20"/>
              </w:rPr>
              <w:t>n</w:t>
            </w:r>
          </w:p>
        </w:tc>
        <w:tc>
          <w:tcPr>
            <w:tcW w:w="872" w:type="dxa"/>
            <w:shd w:val="clear" w:color="auto" w:fill="0079C1" w:themeFill="text2"/>
            <w:tcMar>
              <w:top w:w="0" w:type="dxa"/>
              <w:left w:w="108" w:type="dxa"/>
              <w:bottom w:w="0" w:type="dxa"/>
              <w:right w:w="108" w:type="dxa"/>
            </w:tcMar>
            <w:hideMark/>
          </w:tcPr>
          <w:p w14:paraId="6326B053" w14:textId="77777777" w:rsidR="00C471B3" w:rsidRPr="00400687" w:rsidRDefault="00C471B3" w:rsidP="00E85AB7">
            <w:pPr>
              <w:pStyle w:val="TableHeading1Centred"/>
              <w:rPr>
                <w:sz w:val="20"/>
              </w:rPr>
            </w:pPr>
            <w:r w:rsidRPr="00400687">
              <w:rPr>
                <w:sz w:val="20"/>
              </w:rPr>
              <w:t>%</w:t>
            </w:r>
          </w:p>
        </w:tc>
        <w:tc>
          <w:tcPr>
            <w:tcW w:w="752" w:type="dxa"/>
            <w:shd w:val="clear" w:color="auto" w:fill="0079C1" w:themeFill="text2"/>
            <w:tcMar>
              <w:top w:w="0" w:type="dxa"/>
              <w:left w:w="108" w:type="dxa"/>
              <w:bottom w:w="0" w:type="dxa"/>
              <w:right w:w="108" w:type="dxa"/>
            </w:tcMar>
            <w:hideMark/>
          </w:tcPr>
          <w:p w14:paraId="5E474DFF" w14:textId="77777777" w:rsidR="00C471B3" w:rsidRPr="00400687" w:rsidRDefault="00C471B3" w:rsidP="00E85AB7">
            <w:pPr>
              <w:pStyle w:val="TableHeading1Centred"/>
              <w:rPr>
                <w:sz w:val="20"/>
              </w:rPr>
            </w:pPr>
            <w:r w:rsidRPr="00400687">
              <w:rPr>
                <w:sz w:val="20"/>
              </w:rPr>
              <w:t>n</w:t>
            </w:r>
          </w:p>
        </w:tc>
        <w:tc>
          <w:tcPr>
            <w:tcW w:w="1009" w:type="dxa"/>
            <w:shd w:val="clear" w:color="auto" w:fill="0079C1" w:themeFill="text2"/>
            <w:tcMar>
              <w:top w:w="0" w:type="dxa"/>
              <w:left w:w="108" w:type="dxa"/>
              <w:bottom w:w="0" w:type="dxa"/>
              <w:right w:w="108" w:type="dxa"/>
            </w:tcMar>
            <w:hideMark/>
          </w:tcPr>
          <w:p w14:paraId="7088146A" w14:textId="77777777" w:rsidR="00C471B3" w:rsidRPr="00400687" w:rsidRDefault="00C471B3" w:rsidP="00E85AB7">
            <w:pPr>
              <w:pStyle w:val="TableHeading1Centred"/>
              <w:rPr>
                <w:sz w:val="20"/>
              </w:rPr>
            </w:pPr>
            <w:r w:rsidRPr="00400687">
              <w:rPr>
                <w:sz w:val="20"/>
              </w:rPr>
              <w:t>%</w:t>
            </w:r>
          </w:p>
        </w:tc>
      </w:tr>
      <w:tr w:rsidR="00702143" w:rsidRPr="00400687" w14:paraId="2E61ABA3" w14:textId="77777777" w:rsidTr="00400687">
        <w:trPr>
          <w:trHeight w:val="249"/>
        </w:trPr>
        <w:tc>
          <w:tcPr>
            <w:tcW w:w="1408" w:type="dxa"/>
            <w:tcBorders>
              <w:right w:val="single" w:sz="4" w:space="0" w:color="0079C1"/>
            </w:tcBorders>
            <w:shd w:val="clear" w:color="auto" w:fill="auto"/>
            <w:tcMar>
              <w:top w:w="0" w:type="dxa"/>
              <w:left w:w="108" w:type="dxa"/>
              <w:bottom w:w="0" w:type="dxa"/>
              <w:right w:w="108" w:type="dxa"/>
            </w:tcMar>
            <w:hideMark/>
          </w:tcPr>
          <w:p w14:paraId="77D173B2" w14:textId="77777777" w:rsidR="00C471B3" w:rsidRPr="00400687" w:rsidRDefault="00C471B3" w:rsidP="00C913AF">
            <w:pPr>
              <w:pStyle w:val="TableTextKeep"/>
              <w:rPr>
                <w:sz w:val="20"/>
                <w:szCs w:val="20"/>
              </w:rPr>
            </w:pPr>
            <w:r w:rsidRPr="00400687">
              <w:rPr>
                <w:sz w:val="20"/>
                <w:szCs w:val="20"/>
              </w:rPr>
              <w:t>Yes</w:t>
            </w:r>
          </w:p>
        </w:tc>
        <w:tc>
          <w:tcPr>
            <w:tcW w:w="657" w:type="dxa"/>
            <w:tcBorders>
              <w:left w:val="single" w:sz="4" w:space="0" w:color="0079C1"/>
            </w:tcBorders>
            <w:shd w:val="clear" w:color="auto" w:fill="auto"/>
            <w:tcMar>
              <w:top w:w="0" w:type="dxa"/>
              <w:left w:w="108" w:type="dxa"/>
              <w:bottom w:w="0" w:type="dxa"/>
              <w:right w:w="108" w:type="dxa"/>
            </w:tcMar>
          </w:tcPr>
          <w:p w14:paraId="39507896" w14:textId="77777777" w:rsidR="00C471B3" w:rsidRPr="00400687" w:rsidRDefault="00C471B3" w:rsidP="00E85AB7">
            <w:pPr>
              <w:pStyle w:val="TableTextCentred"/>
              <w:rPr>
                <w:color w:val="000000"/>
                <w:sz w:val="20"/>
                <w:szCs w:val="20"/>
              </w:rPr>
            </w:pPr>
            <w:r w:rsidRPr="00400687">
              <w:rPr>
                <w:color w:val="000000"/>
                <w:sz w:val="20"/>
                <w:szCs w:val="20"/>
              </w:rPr>
              <w:t>7</w:t>
            </w:r>
          </w:p>
        </w:tc>
        <w:tc>
          <w:tcPr>
            <w:tcW w:w="872" w:type="dxa"/>
            <w:tcBorders>
              <w:right w:val="single" w:sz="4" w:space="0" w:color="0079C1"/>
            </w:tcBorders>
            <w:shd w:val="clear" w:color="auto" w:fill="auto"/>
            <w:tcMar>
              <w:top w:w="0" w:type="dxa"/>
              <w:left w:w="108" w:type="dxa"/>
              <w:bottom w:w="0" w:type="dxa"/>
              <w:right w:w="108" w:type="dxa"/>
            </w:tcMar>
          </w:tcPr>
          <w:p w14:paraId="5F2EF552" w14:textId="77777777" w:rsidR="00C471B3" w:rsidRPr="00400687" w:rsidRDefault="00C471B3" w:rsidP="00E85AB7">
            <w:pPr>
              <w:pStyle w:val="TableTextCentred"/>
              <w:rPr>
                <w:color w:val="000000"/>
                <w:sz w:val="20"/>
                <w:szCs w:val="20"/>
              </w:rPr>
            </w:pPr>
            <w:r w:rsidRPr="00400687">
              <w:rPr>
                <w:color w:val="000000"/>
                <w:sz w:val="20"/>
                <w:szCs w:val="20"/>
              </w:rPr>
              <w:t>6.5%</w:t>
            </w:r>
          </w:p>
        </w:tc>
        <w:tc>
          <w:tcPr>
            <w:tcW w:w="620" w:type="dxa"/>
            <w:tcBorders>
              <w:left w:val="single" w:sz="4" w:space="0" w:color="0079C1"/>
            </w:tcBorders>
            <w:shd w:val="clear" w:color="auto" w:fill="auto"/>
            <w:tcMar>
              <w:top w:w="0" w:type="dxa"/>
              <w:left w:w="108" w:type="dxa"/>
              <w:bottom w:w="0" w:type="dxa"/>
              <w:right w:w="108" w:type="dxa"/>
            </w:tcMar>
          </w:tcPr>
          <w:p w14:paraId="27863B09" w14:textId="2798BCAC" w:rsidR="00C471B3" w:rsidRPr="00400687" w:rsidRDefault="00702143" w:rsidP="00E85AB7">
            <w:pPr>
              <w:pStyle w:val="TableTextCentred"/>
              <w:rPr>
                <w:color w:val="000000"/>
                <w:sz w:val="20"/>
                <w:szCs w:val="20"/>
              </w:rPr>
            </w:pPr>
            <w:r w:rsidRPr="00400687">
              <w:rPr>
                <w:color w:val="000000"/>
                <w:sz w:val="20"/>
                <w:szCs w:val="20"/>
              </w:rPr>
              <w:t>-</w:t>
            </w:r>
          </w:p>
        </w:tc>
        <w:tc>
          <w:tcPr>
            <w:tcW w:w="872" w:type="dxa"/>
            <w:tcBorders>
              <w:right w:val="single" w:sz="4" w:space="0" w:color="0079C1"/>
            </w:tcBorders>
            <w:shd w:val="clear" w:color="auto" w:fill="auto"/>
            <w:tcMar>
              <w:top w:w="0" w:type="dxa"/>
              <w:left w:w="108" w:type="dxa"/>
              <w:bottom w:w="0" w:type="dxa"/>
              <w:right w:w="108" w:type="dxa"/>
            </w:tcMar>
          </w:tcPr>
          <w:p w14:paraId="63937F7D" w14:textId="6A5B4F81" w:rsidR="00C471B3" w:rsidRPr="00400687" w:rsidRDefault="00B443D8" w:rsidP="00E85AB7">
            <w:pPr>
              <w:pStyle w:val="TableTextCentred"/>
              <w:rPr>
                <w:color w:val="000000"/>
                <w:sz w:val="20"/>
                <w:szCs w:val="20"/>
              </w:rPr>
            </w:pPr>
            <w:r w:rsidRPr="00400687">
              <w:rPr>
                <w:sz w:val="20"/>
                <w:szCs w:val="20"/>
              </w:rPr>
              <w:t>-</w:t>
            </w:r>
          </w:p>
        </w:tc>
        <w:tc>
          <w:tcPr>
            <w:tcW w:w="620" w:type="dxa"/>
            <w:tcBorders>
              <w:left w:val="single" w:sz="4" w:space="0" w:color="0079C1"/>
            </w:tcBorders>
            <w:shd w:val="clear" w:color="auto" w:fill="auto"/>
            <w:tcMar>
              <w:top w:w="0" w:type="dxa"/>
              <w:left w:w="108" w:type="dxa"/>
              <w:bottom w:w="0" w:type="dxa"/>
              <w:right w:w="108" w:type="dxa"/>
            </w:tcMar>
          </w:tcPr>
          <w:p w14:paraId="2C8ED998" w14:textId="7FED1D60" w:rsidR="00C471B3" w:rsidRPr="00400687" w:rsidRDefault="00702143" w:rsidP="00E85AB7">
            <w:pPr>
              <w:pStyle w:val="TableTextCentred"/>
              <w:rPr>
                <w:color w:val="000000"/>
                <w:sz w:val="20"/>
                <w:szCs w:val="20"/>
              </w:rPr>
            </w:pPr>
            <w:r w:rsidRPr="00400687">
              <w:rPr>
                <w:color w:val="000000"/>
                <w:sz w:val="20"/>
                <w:szCs w:val="20"/>
              </w:rPr>
              <w:t>-</w:t>
            </w:r>
          </w:p>
        </w:tc>
        <w:tc>
          <w:tcPr>
            <w:tcW w:w="953" w:type="dxa"/>
            <w:tcBorders>
              <w:right w:val="single" w:sz="4" w:space="0" w:color="0079C1"/>
            </w:tcBorders>
            <w:shd w:val="clear" w:color="auto" w:fill="auto"/>
            <w:tcMar>
              <w:top w:w="0" w:type="dxa"/>
              <w:left w:w="108" w:type="dxa"/>
              <w:bottom w:w="0" w:type="dxa"/>
              <w:right w:w="108" w:type="dxa"/>
            </w:tcMar>
          </w:tcPr>
          <w:p w14:paraId="7F3E675E" w14:textId="4553756B" w:rsidR="00C471B3" w:rsidRPr="00400687" w:rsidRDefault="00B443D8" w:rsidP="00E85AB7">
            <w:pPr>
              <w:pStyle w:val="TableTextCentred"/>
              <w:rPr>
                <w:color w:val="000000"/>
                <w:sz w:val="20"/>
                <w:szCs w:val="20"/>
              </w:rPr>
            </w:pPr>
            <w:r w:rsidRPr="00400687">
              <w:rPr>
                <w:sz w:val="20"/>
                <w:szCs w:val="20"/>
              </w:rPr>
              <w:t>-</w:t>
            </w:r>
          </w:p>
        </w:tc>
        <w:tc>
          <w:tcPr>
            <w:tcW w:w="620" w:type="dxa"/>
            <w:tcBorders>
              <w:left w:val="single" w:sz="4" w:space="0" w:color="0079C1"/>
            </w:tcBorders>
            <w:shd w:val="clear" w:color="auto" w:fill="auto"/>
            <w:tcMar>
              <w:top w:w="0" w:type="dxa"/>
              <w:left w:w="108" w:type="dxa"/>
              <w:bottom w:w="0" w:type="dxa"/>
              <w:right w:w="108" w:type="dxa"/>
            </w:tcMar>
          </w:tcPr>
          <w:p w14:paraId="18108879" w14:textId="7F48B042" w:rsidR="00C471B3" w:rsidRPr="00400687" w:rsidRDefault="00702143" w:rsidP="00E85AB7">
            <w:pPr>
              <w:pStyle w:val="TableTextCentred"/>
              <w:rPr>
                <w:color w:val="000000"/>
                <w:sz w:val="20"/>
                <w:szCs w:val="20"/>
              </w:rPr>
            </w:pPr>
            <w:r w:rsidRPr="00400687">
              <w:rPr>
                <w:color w:val="000000"/>
                <w:sz w:val="20"/>
                <w:szCs w:val="20"/>
              </w:rPr>
              <w:t>-</w:t>
            </w:r>
          </w:p>
        </w:tc>
        <w:tc>
          <w:tcPr>
            <w:tcW w:w="872" w:type="dxa"/>
            <w:tcBorders>
              <w:right w:val="single" w:sz="4" w:space="0" w:color="0079C1"/>
            </w:tcBorders>
            <w:shd w:val="clear" w:color="auto" w:fill="auto"/>
            <w:tcMar>
              <w:top w:w="0" w:type="dxa"/>
              <w:left w:w="108" w:type="dxa"/>
              <w:bottom w:w="0" w:type="dxa"/>
              <w:right w:w="108" w:type="dxa"/>
            </w:tcMar>
          </w:tcPr>
          <w:p w14:paraId="4D503F3B" w14:textId="4A43C1C6" w:rsidR="00C471B3" w:rsidRPr="00400687" w:rsidRDefault="00B443D8" w:rsidP="00E85AB7">
            <w:pPr>
              <w:pStyle w:val="TableTextCentred"/>
              <w:rPr>
                <w:color w:val="000000"/>
                <w:sz w:val="20"/>
                <w:szCs w:val="20"/>
              </w:rPr>
            </w:pPr>
            <w:r w:rsidRPr="00400687">
              <w:rPr>
                <w:sz w:val="20"/>
                <w:szCs w:val="20"/>
              </w:rPr>
              <w:t>-</w:t>
            </w:r>
          </w:p>
        </w:tc>
        <w:tc>
          <w:tcPr>
            <w:tcW w:w="752" w:type="dxa"/>
            <w:tcBorders>
              <w:left w:val="single" w:sz="4" w:space="0" w:color="0079C1"/>
            </w:tcBorders>
            <w:shd w:val="clear" w:color="auto" w:fill="auto"/>
            <w:tcMar>
              <w:top w:w="0" w:type="dxa"/>
              <w:left w:w="108" w:type="dxa"/>
              <w:bottom w:w="0" w:type="dxa"/>
              <w:right w:w="108" w:type="dxa"/>
            </w:tcMar>
          </w:tcPr>
          <w:p w14:paraId="1A9699E5" w14:textId="7DF43044" w:rsidR="00C471B3" w:rsidRPr="00400687" w:rsidRDefault="0039584B" w:rsidP="00E85AB7">
            <w:pPr>
              <w:pStyle w:val="TableTextCentred"/>
              <w:rPr>
                <w:rStyle w:val="Bold"/>
                <w:sz w:val="20"/>
                <w:szCs w:val="20"/>
              </w:rPr>
            </w:pPr>
            <w:r w:rsidRPr="00400687">
              <w:rPr>
                <w:rStyle w:val="Bold"/>
                <w:sz w:val="20"/>
                <w:szCs w:val="20"/>
              </w:rPr>
              <w:t>7</w:t>
            </w:r>
          </w:p>
        </w:tc>
        <w:tc>
          <w:tcPr>
            <w:tcW w:w="1009" w:type="dxa"/>
            <w:shd w:val="clear" w:color="auto" w:fill="auto"/>
            <w:tcMar>
              <w:top w:w="0" w:type="dxa"/>
              <w:left w:w="108" w:type="dxa"/>
              <w:bottom w:w="0" w:type="dxa"/>
              <w:right w:w="108" w:type="dxa"/>
            </w:tcMar>
          </w:tcPr>
          <w:p w14:paraId="1E9AA968" w14:textId="5574A1ED" w:rsidR="00C471B3" w:rsidRPr="00400687" w:rsidRDefault="0039584B" w:rsidP="00E85AB7">
            <w:pPr>
              <w:pStyle w:val="TableTextCentred"/>
              <w:rPr>
                <w:rStyle w:val="Bold"/>
                <w:sz w:val="20"/>
                <w:szCs w:val="20"/>
              </w:rPr>
            </w:pPr>
            <w:r w:rsidRPr="00400687">
              <w:rPr>
                <w:rStyle w:val="Bold"/>
                <w:sz w:val="20"/>
                <w:szCs w:val="20"/>
              </w:rPr>
              <w:t>3.2</w:t>
            </w:r>
            <w:r w:rsidR="00C471B3" w:rsidRPr="00400687">
              <w:rPr>
                <w:rStyle w:val="Bold"/>
                <w:sz w:val="20"/>
                <w:szCs w:val="20"/>
              </w:rPr>
              <w:t>%</w:t>
            </w:r>
          </w:p>
        </w:tc>
      </w:tr>
      <w:tr w:rsidR="00C471B3" w:rsidRPr="00400687" w14:paraId="2AD455D7" w14:textId="77777777" w:rsidTr="00400687">
        <w:tc>
          <w:tcPr>
            <w:tcW w:w="1408" w:type="dxa"/>
            <w:tcBorders>
              <w:right w:val="single" w:sz="4" w:space="0" w:color="0079C1"/>
            </w:tcBorders>
            <w:tcMar>
              <w:top w:w="0" w:type="dxa"/>
              <w:left w:w="108" w:type="dxa"/>
              <w:bottom w:w="0" w:type="dxa"/>
              <w:right w:w="108" w:type="dxa"/>
            </w:tcMar>
            <w:hideMark/>
          </w:tcPr>
          <w:p w14:paraId="7402502C" w14:textId="77777777" w:rsidR="00C471B3" w:rsidRPr="00400687" w:rsidRDefault="00C471B3" w:rsidP="00C913AF">
            <w:pPr>
              <w:pStyle w:val="TableTextKeep"/>
              <w:rPr>
                <w:sz w:val="20"/>
                <w:szCs w:val="20"/>
              </w:rPr>
            </w:pPr>
            <w:r w:rsidRPr="00400687">
              <w:rPr>
                <w:sz w:val="20"/>
                <w:szCs w:val="20"/>
              </w:rPr>
              <w:t>No</w:t>
            </w:r>
          </w:p>
        </w:tc>
        <w:tc>
          <w:tcPr>
            <w:tcW w:w="657" w:type="dxa"/>
            <w:tcBorders>
              <w:left w:val="single" w:sz="4" w:space="0" w:color="0079C1"/>
            </w:tcBorders>
            <w:tcMar>
              <w:top w:w="0" w:type="dxa"/>
              <w:left w:w="108" w:type="dxa"/>
              <w:bottom w:w="0" w:type="dxa"/>
              <w:right w:w="108" w:type="dxa"/>
            </w:tcMar>
          </w:tcPr>
          <w:p w14:paraId="17CA9E86" w14:textId="77777777" w:rsidR="00C471B3" w:rsidRPr="00400687" w:rsidRDefault="00C471B3" w:rsidP="00E85AB7">
            <w:pPr>
              <w:pStyle w:val="TableTextCentred"/>
              <w:rPr>
                <w:color w:val="000000"/>
                <w:sz w:val="20"/>
                <w:szCs w:val="20"/>
              </w:rPr>
            </w:pPr>
            <w:r w:rsidRPr="00400687">
              <w:rPr>
                <w:color w:val="000000"/>
                <w:sz w:val="20"/>
                <w:szCs w:val="20"/>
              </w:rPr>
              <w:t>1</w:t>
            </w:r>
          </w:p>
        </w:tc>
        <w:tc>
          <w:tcPr>
            <w:tcW w:w="872" w:type="dxa"/>
            <w:tcBorders>
              <w:right w:val="single" w:sz="4" w:space="0" w:color="0079C1"/>
            </w:tcBorders>
            <w:tcMar>
              <w:top w:w="0" w:type="dxa"/>
              <w:left w:w="108" w:type="dxa"/>
              <w:bottom w:w="0" w:type="dxa"/>
              <w:right w:w="108" w:type="dxa"/>
            </w:tcMar>
          </w:tcPr>
          <w:p w14:paraId="53303BF1" w14:textId="77777777" w:rsidR="00C471B3" w:rsidRPr="00400687" w:rsidRDefault="00C471B3" w:rsidP="00E85AB7">
            <w:pPr>
              <w:pStyle w:val="TableTextCentred"/>
              <w:rPr>
                <w:color w:val="000000"/>
                <w:sz w:val="20"/>
                <w:szCs w:val="20"/>
              </w:rPr>
            </w:pPr>
            <w:r w:rsidRPr="00400687">
              <w:rPr>
                <w:color w:val="000000"/>
                <w:sz w:val="20"/>
                <w:szCs w:val="20"/>
              </w:rPr>
              <w:t>0.9%</w:t>
            </w:r>
          </w:p>
        </w:tc>
        <w:tc>
          <w:tcPr>
            <w:tcW w:w="620" w:type="dxa"/>
            <w:tcBorders>
              <w:left w:val="single" w:sz="4" w:space="0" w:color="0079C1"/>
            </w:tcBorders>
            <w:tcMar>
              <w:top w:w="0" w:type="dxa"/>
              <w:left w:w="108" w:type="dxa"/>
              <w:bottom w:w="0" w:type="dxa"/>
              <w:right w:w="108" w:type="dxa"/>
            </w:tcMar>
          </w:tcPr>
          <w:p w14:paraId="7C786E67" w14:textId="77777777" w:rsidR="00C471B3" w:rsidRPr="00400687" w:rsidRDefault="00C471B3" w:rsidP="00E85AB7">
            <w:pPr>
              <w:pStyle w:val="TableTextCentred"/>
              <w:rPr>
                <w:color w:val="000000"/>
                <w:sz w:val="20"/>
                <w:szCs w:val="20"/>
              </w:rPr>
            </w:pPr>
            <w:r w:rsidRPr="00400687">
              <w:rPr>
                <w:color w:val="000000"/>
                <w:sz w:val="20"/>
                <w:szCs w:val="20"/>
              </w:rPr>
              <w:t>1</w:t>
            </w:r>
          </w:p>
        </w:tc>
        <w:tc>
          <w:tcPr>
            <w:tcW w:w="872" w:type="dxa"/>
            <w:tcBorders>
              <w:right w:val="single" w:sz="4" w:space="0" w:color="0079C1"/>
            </w:tcBorders>
            <w:tcMar>
              <w:top w:w="0" w:type="dxa"/>
              <w:left w:w="108" w:type="dxa"/>
              <w:bottom w:w="0" w:type="dxa"/>
              <w:right w:w="108" w:type="dxa"/>
            </w:tcMar>
          </w:tcPr>
          <w:p w14:paraId="33306E2A" w14:textId="77777777" w:rsidR="00C471B3" w:rsidRPr="00400687" w:rsidRDefault="00C471B3" w:rsidP="00E85AB7">
            <w:pPr>
              <w:pStyle w:val="TableTextCentred"/>
              <w:rPr>
                <w:color w:val="000000"/>
                <w:sz w:val="20"/>
                <w:szCs w:val="20"/>
              </w:rPr>
            </w:pPr>
            <w:r w:rsidRPr="00400687">
              <w:rPr>
                <w:color w:val="000000"/>
                <w:sz w:val="20"/>
                <w:szCs w:val="20"/>
              </w:rPr>
              <w:t>5.3%</w:t>
            </w:r>
          </w:p>
        </w:tc>
        <w:tc>
          <w:tcPr>
            <w:tcW w:w="620" w:type="dxa"/>
            <w:tcBorders>
              <w:left w:val="single" w:sz="4" w:space="0" w:color="0079C1"/>
            </w:tcBorders>
            <w:tcMar>
              <w:top w:w="0" w:type="dxa"/>
              <w:left w:w="108" w:type="dxa"/>
              <w:bottom w:w="0" w:type="dxa"/>
              <w:right w:w="108" w:type="dxa"/>
            </w:tcMar>
          </w:tcPr>
          <w:p w14:paraId="63FF07C3" w14:textId="5AF2A3C7" w:rsidR="00C471B3" w:rsidRPr="00400687" w:rsidRDefault="00702143" w:rsidP="00E85AB7">
            <w:pPr>
              <w:pStyle w:val="TableTextCentred"/>
              <w:rPr>
                <w:color w:val="000000"/>
                <w:sz w:val="20"/>
                <w:szCs w:val="20"/>
              </w:rPr>
            </w:pPr>
            <w:r w:rsidRPr="00400687">
              <w:rPr>
                <w:color w:val="000000"/>
                <w:sz w:val="20"/>
                <w:szCs w:val="20"/>
              </w:rPr>
              <w:t>-</w:t>
            </w:r>
          </w:p>
        </w:tc>
        <w:tc>
          <w:tcPr>
            <w:tcW w:w="953" w:type="dxa"/>
            <w:tcBorders>
              <w:right w:val="single" w:sz="4" w:space="0" w:color="0079C1"/>
            </w:tcBorders>
            <w:tcMar>
              <w:top w:w="0" w:type="dxa"/>
              <w:left w:w="108" w:type="dxa"/>
              <w:bottom w:w="0" w:type="dxa"/>
              <w:right w:w="108" w:type="dxa"/>
            </w:tcMar>
          </w:tcPr>
          <w:p w14:paraId="49D9C11F" w14:textId="64F84A65" w:rsidR="00C471B3" w:rsidRPr="00400687" w:rsidRDefault="00B443D8" w:rsidP="00E85AB7">
            <w:pPr>
              <w:pStyle w:val="TableTextCentred"/>
              <w:rPr>
                <w:color w:val="000000"/>
                <w:sz w:val="20"/>
                <w:szCs w:val="20"/>
              </w:rPr>
            </w:pPr>
            <w:r w:rsidRPr="00400687">
              <w:rPr>
                <w:sz w:val="20"/>
                <w:szCs w:val="20"/>
              </w:rPr>
              <w:t>-</w:t>
            </w:r>
          </w:p>
        </w:tc>
        <w:tc>
          <w:tcPr>
            <w:tcW w:w="620" w:type="dxa"/>
            <w:tcBorders>
              <w:left w:val="single" w:sz="4" w:space="0" w:color="0079C1"/>
            </w:tcBorders>
            <w:tcMar>
              <w:top w:w="0" w:type="dxa"/>
              <w:left w:w="108" w:type="dxa"/>
              <w:bottom w:w="0" w:type="dxa"/>
              <w:right w:w="108" w:type="dxa"/>
            </w:tcMar>
          </w:tcPr>
          <w:p w14:paraId="41D290B6" w14:textId="07AACFD4" w:rsidR="00C471B3" w:rsidRPr="00400687" w:rsidRDefault="00702143" w:rsidP="00E85AB7">
            <w:pPr>
              <w:pStyle w:val="TableTextCentred"/>
              <w:rPr>
                <w:color w:val="000000"/>
                <w:sz w:val="20"/>
                <w:szCs w:val="20"/>
              </w:rPr>
            </w:pPr>
            <w:r w:rsidRPr="00400687">
              <w:rPr>
                <w:color w:val="000000"/>
                <w:sz w:val="20"/>
                <w:szCs w:val="20"/>
              </w:rPr>
              <w:t>-</w:t>
            </w:r>
          </w:p>
        </w:tc>
        <w:tc>
          <w:tcPr>
            <w:tcW w:w="872" w:type="dxa"/>
            <w:tcBorders>
              <w:right w:val="single" w:sz="4" w:space="0" w:color="0079C1"/>
            </w:tcBorders>
            <w:tcMar>
              <w:top w:w="0" w:type="dxa"/>
              <w:left w:w="108" w:type="dxa"/>
              <w:bottom w:w="0" w:type="dxa"/>
              <w:right w:w="108" w:type="dxa"/>
            </w:tcMar>
          </w:tcPr>
          <w:p w14:paraId="460676C6" w14:textId="6E96F4D5" w:rsidR="00C471B3" w:rsidRPr="00400687" w:rsidRDefault="00B443D8" w:rsidP="00E85AB7">
            <w:pPr>
              <w:pStyle w:val="TableTextCentred"/>
              <w:rPr>
                <w:color w:val="000000"/>
                <w:sz w:val="20"/>
                <w:szCs w:val="20"/>
              </w:rPr>
            </w:pPr>
            <w:r w:rsidRPr="00400687">
              <w:rPr>
                <w:sz w:val="20"/>
                <w:szCs w:val="20"/>
              </w:rPr>
              <w:t>-</w:t>
            </w:r>
          </w:p>
        </w:tc>
        <w:tc>
          <w:tcPr>
            <w:tcW w:w="752" w:type="dxa"/>
            <w:tcBorders>
              <w:left w:val="single" w:sz="4" w:space="0" w:color="0079C1"/>
            </w:tcBorders>
            <w:tcMar>
              <w:top w:w="0" w:type="dxa"/>
              <w:left w:w="108" w:type="dxa"/>
              <w:bottom w:w="0" w:type="dxa"/>
              <w:right w:w="108" w:type="dxa"/>
            </w:tcMar>
          </w:tcPr>
          <w:p w14:paraId="01076FE9" w14:textId="77777777" w:rsidR="00C471B3" w:rsidRPr="00400687" w:rsidRDefault="00C471B3" w:rsidP="00E85AB7">
            <w:pPr>
              <w:pStyle w:val="TableTextCentred"/>
              <w:rPr>
                <w:rStyle w:val="Bold"/>
                <w:sz w:val="20"/>
                <w:szCs w:val="20"/>
              </w:rPr>
            </w:pPr>
            <w:r w:rsidRPr="00400687">
              <w:rPr>
                <w:rStyle w:val="Bold"/>
                <w:sz w:val="20"/>
                <w:szCs w:val="20"/>
              </w:rPr>
              <w:t>2</w:t>
            </w:r>
          </w:p>
        </w:tc>
        <w:tc>
          <w:tcPr>
            <w:tcW w:w="1009" w:type="dxa"/>
            <w:tcMar>
              <w:top w:w="0" w:type="dxa"/>
              <w:left w:w="108" w:type="dxa"/>
              <w:bottom w:w="0" w:type="dxa"/>
              <w:right w:w="108" w:type="dxa"/>
            </w:tcMar>
          </w:tcPr>
          <w:p w14:paraId="155CF94A" w14:textId="77777777" w:rsidR="00C471B3" w:rsidRPr="00400687" w:rsidRDefault="00C471B3" w:rsidP="00E85AB7">
            <w:pPr>
              <w:pStyle w:val="TableTextCentred"/>
              <w:rPr>
                <w:rStyle w:val="Bold"/>
                <w:sz w:val="20"/>
                <w:szCs w:val="20"/>
              </w:rPr>
            </w:pPr>
            <w:r w:rsidRPr="00400687">
              <w:rPr>
                <w:rStyle w:val="Bold"/>
                <w:sz w:val="20"/>
                <w:szCs w:val="20"/>
              </w:rPr>
              <w:t>0.9%</w:t>
            </w:r>
          </w:p>
        </w:tc>
      </w:tr>
      <w:tr w:rsidR="00C471B3" w:rsidRPr="00400687" w14:paraId="2388D4C6" w14:textId="77777777" w:rsidTr="00400687">
        <w:tc>
          <w:tcPr>
            <w:tcW w:w="1408" w:type="dxa"/>
            <w:tcBorders>
              <w:bottom w:val="single" w:sz="4" w:space="0" w:color="0079C1" w:themeColor="text2"/>
              <w:right w:val="single" w:sz="4" w:space="0" w:color="0079C1"/>
            </w:tcBorders>
            <w:tcMar>
              <w:top w:w="0" w:type="dxa"/>
              <w:left w:w="108" w:type="dxa"/>
              <w:bottom w:w="0" w:type="dxa"/>
              <w:right w:w="108" w:type="dxa"/>
            </w:tcMar>
            <w:hideMark/>
          </w:tcPr>
          <w:p w14:paraId="2EEDE2CC" w14:textId="440CB5AF" w:rsidR="00C471B3" w:rsidRPr="00400687" w:rsidRDefault="00C471B3" w:rsidP="00C913AF">
            <w:pPr>
              <w:pStyle w:val="TableTextKeep"/>
              <w:rPr>
                <w:sz w:val="20"/>
                <w:szCs w:val="20"/>
              </w:rPr>
            </w:pPr>
            <w:r w:rsidRPr="00400687">
              <w:rPr>
                <w:sz w:val="20"/>
                <w:szCs w:val="20"/>
              </w:rPr>
              <w:t>Not stated</w:t>
            </w:r>
            <w:r w:rsidR="00B85A72" w:rsidRPr="00400687">
              <w:rPr>
                <w:sz w:val="20"/>
                <w:szCs w:val="20"/>
              </w:rPr>
              <w:t>/not applicable</w:t>
            </w:r>
          </w:p>
        </w:tc>
        <w:tc>
          <w:tcPr>
            <w:tcW w:w="657" w:type="dxa"/>
            <w:tcBorders>
              <w:left w:val="single" w:sz="4" w:space="0" w:color="0079C1"/>
              <w:bottom w:val="single" w:sz="4" w:space="0" w:color="0079C1" w:themeColor="text2"/>
            </w:tcBorders>
            <w:tcMar>
              <w:top w:w="0" w:type="dxa"/>
              <w:left w:w="108" w:type="dxa"/>
              <w:bottom w:w="0" w:type="dxa"/>
              <w:right w:w="108" w:type="dxa"/>
            </w:tcMar>
          </w:tcPr>
          <w:p w14:paraId="77228B74" w14:textId="77777777" w:rsidR="00C471B3" w:rsidRPr="00400687" w:rsidRDefault="00C471B3" w:rsidP="00E85AB7">
            <w:pPr>
              <w:pStyle w:val="TableTextCentred"/>
              <w:rPr>
                <w:color w:val="000000"/>
                <w:sz w:val="20"/>
                <w:szCs w:val="20"/>
              </w:rPr>
            </w:pPr>
            <w:r w:rsidRPr="00400687">
              <w:rPr>
                <w:color w:val="000000"/>
                <w:sz w:val="20"/>
                <w:szCs w:val="20"/>
              </w:rPr>
              <w:t>100</w:t>
            </w:r>
          </w:p>
        </w:tc>
        <w:tc>
          <w:tcPr>
            <w:tcW w:w="872" w:type="dxa"/>
            <w:tcBorders>
              <w:bottom w:val="single" w:sz="4" w:space="0" w:color="0079C1" w:themeColor="text2"/>
              <w:right w:val="single" w:sz="4" w:space="0" w:color="0079C1"/>
            </w:tcBorders>
            <w:tcMar>
              <w:top w:w="0" w:type="dxa"/>
              <w:left w:w="108" w:type="dxa"/>
              <w:bottom w:w="0" w:type="dxa"/>
              <w:right w:w="108" w:type="dxa"/>
            </w:tcMar>
          </w:tcPr>
          <w:p w14:paraId="034CD373" w14:textId="77777777" w:rsidR="00C471B3" w:rsidRPr="00400687" w:rsidRDefault="00C471B3" w:rsidP="00E85AB7">
            <w:pPr>
              <w:pStyle w:val="TableTextCentred"/>
              <w:rPr>
                <w:color w:val="000000"/>
                <w:sz w:val="20"/>
                <w:szCs w:val="20"/>
              </w:rPr>
            </w:pPr>
            <w:r w:rsidRPr="00400687">
              <w:rPr>
                <w:color w:val="000000"/>
                <w:sz w:val="20"/>
                <w:szCs w:val="20"/>
              </w:rPr>
              <w:t>92.6%</w:t>
            </w:r>
          </w:p>
        </w:tc>
        <w:tc>
          <w:tcPr>
            <w:tcW w:w="620" w:type="dxa"/>
            <w:tcBorders>
              <w:left w:val="single" w:sz="4" w:space="0" w:color="0079C1"/>
              <w:bottom w:val="single" w:sz="4" w:space="0" w:color="0079C1" w:themeColor="text2"/>
            </w:tcBorders>
            <w:tcMar>
              <w:top w:w="0" w:type="dxa"/>
              <w:left w:w="108" w:type="dxa"/>
              <w:bottom w:w="0" w:type="dxa"/>
              <w:right w:w="108" w:type="dxa"/>
            </w:tcMar>
          </w:tcPr>
          <w:p w14:paraId="355886AB" w14:textId="491AD984" w:rsidR="00C471B3" w:rsidRPr="00400687" w:rsidRDefault="00702143" w:rsidP="00E85AB7">
            <w:pPr>
              <w:pStyle w:val="TableTextCentred"/>
              <w:rPr>
                <w:color w:val="000000"/>
                <w:sz w:val="20"/>
                <w:szCs w:val="20"/>
              </w:rPr>
            </w:pPr>
            <w:r w:rsidRPr="00400687">
              <w:rPr>
                <w:color w:val="000000"/>
                <w:sz w:val="20"/>
                <w:szCs w:val="20"/>
              </w:rPr>
              <w:t>18</w:t>
            </w:r>
          </w:p>
        </w:tc>
        <w:tc>
          <w:tcPr>
            <w:tcW w:w="872" w:type="dxa"/>
            <w:tcBorders>
              <w:bottom w:val="single" w:sz="4" w:space="0" w:color="0079C1" w:themeColor="text2"/>
              <w:right w:val="single" w:sz="4" w:space="0" w:color="0079C1"/>
            </w:tcBorders>
            <w:tcMar>
              <w:top w:w="0" w:type="dxa"/>
              <w:left w:w="108" w:type="dxa"/>
              <w:bottom w:w="0" w:type="dxa"/>
              <w:right w:w="108" w:type="dxa"/>
            </w:tcMar>
          </w:tcPr>
          <w:p w14:paraId="20332831" w14:textId="6632B235" w:rsidR="00C471B3" w:rsidRPr="00400687" w:rsidRDefault="00702143" w:rsidP="00E85AB7">
            <w:pPr>
              <w:pStyle w:val="TableTextCentred"/>
              <w:rPr>
                <w:color w:val="000000"/>
                <w:sz w:val="20"/>
                <w:szCs w:val="20"/>
              </w:rPr>
            </w:pPr>
            <w:r w:rsidRPr="00400687">
              <w:rPr>
                <w:color w:val="000000"/>
                <w:sz w:val="20"/>
                <w:szCs w:val="20"/>
              </w:rPr>
              <w:t>94.7%</w:t>
            </w:r>
          </w:p>
        </w:tc>
        <w:tc>
          <w:tcPr>
            <w:tcW w:w="620" w:type="dxa"/>
            <w:tcBorders>
              <w:left w:val="single" w:sz="4" w:space="0" w:color="0079C1"/>
              <w:bottom w:val="single" w:sz="4" w:space="0" w:color="0079C1" w:themeColor="text2"/>
            </w:tcBorders>
            <w:tcMar>
              <w:top w:w="0" w:type="dxa"/>
              <w:left w:w="108" w:type="dxa"/>
              <w:bottom w:w="0" w:type="dxa"/>
              <w:right w:w="108" w:type="dxa"/>
            </w:tcMar>
          </w:tcPr>
          <w:p w14:paraId="659990A7" w14:textId="77777777" w:rsidR="00C471B3" w:rsidRPr="00400687" w:rsidRDefault="00C471B3" w:rsidP="00E85AB7">
            <w:pPr>
              <w:pStyle w:val="TableTextCentred"/>
              <w:rPr>
                <w:color w:val="000000"/>
                <w:sz w:val="20"/>
                <w:szCs w:val="20"/>
              </w:rPr>
            </w:pPr>
            <w:r w:rsidRPr="00400687">
              <w:rPr>
                <w:color w:val="000000"/>
                <w:sz w:val="20"/>
                <w:szCs w:val="20"/>
              </w:rPr>
              <w:t>73</w:t>
            </w:r>
          </w:p>
        </w:tc>
        <w:tc>
          <w:tcPr>
            <w:tcW w:w="953" w:type="dxa"/>
            <w:tcBorders>
              <w:bottom w:val="single" w:sz="4" w:space="0" w:color="0079C1" w:themeColor="text2"/>
              <w:right w:val="single" w:sz="4" w:space="0" w:color="0079C1"/>
            </w:tcBorders>
            <w:tcMar>
              <w:top w:w="0" w:type="dxa"/>
              <w:left w:w="108" w:type="dxa"/>
              <w:bottom w:w="0" w:type="dxa"/>
              <w:right w:w="108" w:type="dxa"/>
            </w:tcMar>
          </w:tcPr>
          <w:p w14:paraId="4F4F40FE" w14:textId="77777777" w:rsidR="00C471B3" w:rsidRPr="00400687" w:rsidRDefault="00C471B3" w:rsidP="00E85AB7">
            <w:pPr>
              <w:pStyle w:val="TableTextCentred"/>
              <w:rPr>
                <w:color w:val="000000"/>
                <w:sz w:val="20"/>
                <w:szCs w:val="20"/>
              </w:rPr>
            </w:pPr>
            <w:r w:rsidRPr="00400687">
              <w:rPr>
                <w:color w:val="000000"/>
                <w:sz w:val="20"/>
                <w:szCs w:val="20"/>
              </w:rPr>
              <w:t>100%</w:t>
            </w:r>
          </w:p>
        </w:tc>
        <w:tc>
          <w:tcPr>
            <w:tcW w:w="620" w:type="dxa"/>
            <w:tcBorders>
              <w:left w:val="single" w:sz="4" w:space="0" w:color="0079C1"/>
              <w:bottom w:val="single" w:sz="4" w:space="0" w:color="0079C1" w:themeColor="text2"/>
            </w:tcBorders>
            <w:tcMar>
              <w:top w:w="0" w:type="dxa"/>
              <w:left w:w="108" w:type="dxa"/>
              <w:bottom w:w="0" w:type="dxa"/>
              <w:right w:w="108" w:type="dxa"/>
            </w:tcMar>
          </w:tcPr>
          <w:p w14:paraId="2E7D2073" w14:textId="77777777" w:rsidR="00C471B3" w:rsidRPr="00400687" w:rsidRDefault="00C471B3" w:rsidP="00E85AB7">
            <w:pPr>
              <w:pStyle w:val="TableTextCentred"/>
              <w:rPr>
                <w:color w:val="000000"/>
                <w:sz w:val="20"/>
                <w:szCs w:val="20"/>
              </w:rPr>
            </w:pPr>
            <w:r w:rsidRPr="00400687">
              <w:rPr>
                <w:color w:val="000000"/>
                <w:sz w:val="20"/>
                <w:szCs w:val="20"/>
              </w:rPr>
              <w:t>20</w:t>
            </w:r>
          </w:p>
        </w:tc>
        <w:tc>
          <w:tcPr>
            <w:tcW w:w="872" w:type="dxa"/>
            <w:tcBorders>
              <w:bottom w:val="single" w:sz="4" w:space="0" w:color="0079C1" w:themeColor="text2"/>
              <w:right w:val="single" w:sz="4" w:space="0" w:color="0079C1"/>
            </w:tcBorders>
            <w:tcMar>
              <w:top w:w="0" w:type="dxa"/>
              <w:left w:w="108" w:type="dxa"/>
              <w:bottom w:w="0" w:type="dxa"/>
              <w:right w:w="108" w:type="dxa"/>
            </w:tcMar>
          </w:tcPr>
          <w:p w14:paraId="11529CE5" w14:textId="77777777" w:rsidR="00C471B3" w:rsidRPr="00400687" w:rsidRDefault="00C471B3" w:rsidP="00E85AB7">
            <w:pPr>
              <w:pStyle w:val="TableTextCentred"/>
              <w:rPr>
                <w:color w:val="000000"/>
                <w:sz w:val="20"/>
                <w:szCs w:val="20"/>
              </w:rPr>
            </w:pPr>
            <w:r w:rsidRPr="00400687">
              <w:rPr>
                <w:color w:val="000000"/>
                <w:sz w:val="20"/>
                <w:szCs w:val="20"/>
              </w:rPr>
              <w:t>100%</w:t>
            </w:r>
          </w:p>
        </w:tc>
        <w:tc>
          <w:tcPr>
            <w:tcW w:w="752" w:type="dxa"/>
            <w:tcBorders>
              <w:left w:val="single" w:sz="4" w:space="0" w:color="0079C1"/>
              <w:bottom w:val="single" w:sz="4" w:space="0" w:color="0079C1" w:themeColor="text2"/>
            </w:tcBorders>
            <w:tcMar>
              <w:top w:w="0" w:type="dxa"/>
              <w:left w:w="108" w:type="dxa"/>
              <w:bottom w:w="0" w:type="dxa"/>
              <w:right w:w="108" w:type="dxa"/>
            </w:tcMar>
          </w:tcPr>
          <w:p w14:paraId="2959AAC0" w14:textId="15EC40A9" w:rsidR="00C471B3" w:rsidRPr="00400687" w:rsidRDefault="0039584B" w:rsidP="00E85AB7">
            <w:pPr>
              <w:pStyle w:val="TableTextCentred"/>
              <w:rPr>
                <w:rStyle w:val="Bold"/>
                <w:sz w:val="20"/>
                <w:szCs w:val="20"/>
              </w:rPr>
            </w:pPr>
            <w:r w:rsidRPr="00400687">
              <w:rPr>
                <w:rStyle w:val="Bold"/>
                <w:sz w:val="20"/>
                <w:szCs w:val="20"/>
              </w:rPr>
              <w:t>211</w:t>
            </w:r>
          </w:p>
        </w:tc>
        <w:tc>
          <w:tcPr>
            <w:tcW w:w="1009" w:type="dxa"/>
            <w:tcBorders>
              <w:bottom w:val="single" w:sz="4" w:space="0" w:color="0079C1" w:themeColor="text2"/>
            </w:tcBorders>
            <w:tcMar>
              <w:top w:w="0" w:type="dxa"/>
              <w:left w:w="108" w:type="dxa"/>
              <w:bottom w:w="0" w:type="dxa"/>
              <w:right w:w="108" w:type="dxa"/>
            </w:tcMar>
          </w:tcPr>
          <w:p w14:paraId="6FF84C02" w14:textId="0AFDA3F5" w:rsidR="00C471B3" w:rsidRPr="00400687" w:rsidRDefault="0039584B" w:rsidP="00E85AB7">
            <w:pPr>
              <w:pStyle w:val="TableTextCentred"/>
              <w:rPr>
                <w:rStyle w:val="Bold"/>
                <w:sz w:val="20"/>
                <w:szCs w:val="20"/>
              </w:rPr>
            </w:pPr>
            <w:r w:rsidRPr="00400687">
              <w:rPr>
                <w:rStyle w:val="Bold"/>
                <w:sz w:val="20"/>
                <w:szCs w:val="20"/>
              </w:rPr>
              <w:t>95.9</w:t>
            </w:r>
            <w:r w:rsidR="00C471B3" w:rsidRPr="00400687">
              <w:rPr>
                <w:rStyle w:val="Bold"/>
                <w:sz w:val="20"/>
                <w:szCs w:val="20"/>
              </w:rPr>
              <w:t>%</w:t>
            </w:r>
          </w:p>
        </w:tc>
      </w:tr>
      <w:tr w:rsidR="00702143" w:rsidRPr="00400687" w14:paraId="4B909C7A" w14:textId="77777777" w:rsidTr="00400687">
        <w:tc>
          <w:tcPr>
            <w:tcW w:w="1408" w:type="dxa"/>
            <w:tcBorders>
              <w:top w:val="single" w:sz="4" w:space="0" w:color="0079C1" w:themeColor="text2"/>
              <w:bottom w:val="single" w:sz="4" w:space="0" w:color="0079C1" w:themeColor="text2"/>
              <w:right w:val="single" w:sz="4" w:space="0" w:color="0079C1"/>
            </w:tcBorders>
            <w:shd w:val="clear" w:color="auto" w:fill="E2F4FF" w:themeFill="accent1" w:themeFillTint="33"/>
            <w:tcMar>
              <w:top w:w="0" w:type="dxa"/>
              <w:left w:w="108" w:type="dxa"/>
              <w:bottom w:w="0" w:type="dxa"/>
              <w:right w:w="108" w:type="dxa"/>
            </w:tcMar>
            <w:hideMark/>
          </w:tcPr>
          <w:p w14:paraId="53578712" w14:textId="77777777" w:rsidR="00C471B3" w:rsidRPr="00400687" w:rsidRDefault="00C471B3" w:rsidP="00E85AB7">
            <w:pPr>
              <w:pStyle w:val="TableText"/>
              <w:rPr>
                <w:rStyle w:val="Bold"/>
                <w:sz w:val="20"/>
                <w:szCs w:val="20"/>
              </w:rPr>
            </w:pPr>
            <w:r w:rsidRPr="00400687">
              <w:rPr>
                <w:rStyle w:val="Bold"/>
                <w:sz w:val="20"/>
                <w:szCs w:val="20"/>
              </w:rPr>
              <w:t xml:space="preserve">Total </w:t>
            </w:r>
          </w:p>
        </w:tc>
        <w:tc>
          <w:tcPr>
            <w:tcW w:w="657" w:type="dxa"/>
            <w:tcBorders>
              <w:top w:val="single" w:sz="4" w:space="0" w:color="0079C1" w:themeColor="text2"/>
              <w:left w:val="single" w:sz="4" w:space="0" w:color="0079C1"/>
              <w:bottom w:val="single" w:sz="4" w:space="0" w:color="0079C1" w:themeColor="text2"/>
            </w:tcBorders>
            <w:shd w:val="clear" w:color="auto" w:fill="E2F4FF" w:themeFill="accent1" w:themeFillTint="33"/>
            <w:tcMar>
              <w:top w:w="0" w:type="dxa"/>
              <w:left w:w="108" w:type="dxa"/>
              <w:bottom w:w="0" w:type="dxa"/>
              <w:right w:w="108" w:type="dxa"/>
            </w:tcMar>
            <w:hideMark/>
          </w:tcPr>
          <w:p w14:paraId="5FE5A0E4" w14:textId="77777777" w:rsidR="00C471B3" w:rsidRPr="00400687" w:rsidRDefault="00C471B3" w:rsidP="00E85AB7">
            <w:pPr>
              <w:pStyle w:val="TableTextCentred"/>
              <w:rPr>
                <w:rStyle w:val="Bold"/>
                <w:sz w:val="20"/>
                <w:szCs w:val="20"/>
              </w:rPr>
            </w:pPr>
            <w:r w:rsidRPr="00400687">
              <w:rPr>
                <w:rStyle w:val="Bold"/>
                <w:sz w:val="20"/>
                <w:szCs w:val="20"/>
              </w:rPr>
              <w:t>108</w:t>
            </w:r>
          </w:p>
        </w:tc>
        <w:tc>
          <w:tcPr>
            <w:tcW w:w="872" w:type="dxa"/>
            <w:tcBorders>
              <w:top w:val="single" w:sz="4" w:space="0" w:color="0079C1" w:themeColor="text2"/>
              <w:bottom w:val="single" w:sz="4" w:space="0" w:color="0079C1" w:themeColor="text2"/>
              <w:right w:val="single" w:sz="4" w:space="0" w:color="0079C1"/>
            </w:tcBorders>
            <w:shd w:val="clear" w:color="auto" w:fill="E2F4FF" w:themeFill="accent1" w:themeFillTint="33"/>
            <w:tcMar>
              <w:top w:w="0" w:type="dxa"/>
              <w:left w:w="108" w:type="dxa"/>
              <w:bottom w:w="0" w:type="dxa"/>
              <w:right w:w="108" w:type="dxa"/>
            </w:tcMar>
            <w:hideMark/>
          </w:tcPr>
          <w:p w14:paraId="075A457D" w14:textId="77777777" w:rsidR="00C471B3" w:rsidRPr="00400687" w:rsidRDefault="00C471B3" w:rsidP="00E85AB7">
            <w:pPr>
              <w:pStyle w:val="TableTextCentred"/>
              <w:rPr>
                <w:rStyle w:val="Bold"/>
                <w:sz w:val="20"/>
                <w:szCs w:val="20"/>
              </w:rPr>
            </w:pPr>
            <w:r w:rsidRPr="00400687">
              <w:rPr>
                <w:rStyle w:val="Bold"/>
                <w:sz w:val="20"/>
                <w:szCs w:val="20"/>
              </w:rPr>
              <w:t>100.0%</w:t>
            </w:r>
          </w:p>
        </w:tc>
        <w:tc>
          <w:tcPr>
            <w:tcW w:w="620" w:type="dxa"/>
            <w:tcBorders>
              <w:top w:val="single" w:sz="4" w:space="0" w:color="0079C1" w:themeColor="text2"/>
              <w:left w:val="single" w:sz="4" w:space="0" w:color="0079C1"/>
              <w:bottom w:val="single" w:sz="4" w:space="0" w:color="0079C1" w:themeColor="text2"/>
            </w:tcBorders>
            <w:shd w:val="clear" w:color="auto" w:fill="E2F4FF" w:themeFill="accent1" w:themeFillTint="33"/>
            <w:tcMar>
              <w:top w:w="0" w:type="dxa"/>
              <w:left w:w="108" w:type="dxa"/>
              <w:bottom w:w="0" w:type="dxa"/>
              <w:right w:w="108" w:type="dxa"/>
            </w:tcMar>
          </w:tcPr>
          <w:p w14:paraId="2D288D26" w14:textId="77777777" w:rsidR="00C471B3" w:rsidRPr="00400687" w:rsidRDefault="00C471B3" w:rsidP="00E85AB7">
            <w:pPr>
              <w:pStyle w:val="TableTextCentred"/>
              <w:rPr>
                <w:rStyle w:val="Bold"/>
                <w:sz w:val="20"/>
                <w:szCs w:val="20"/>
              </w:rPr>
            </w:pPr>
            <w:r w:rsidRPr="00400687">
              <w:rPr>
                <w:rStyle w:val="Bold"/>
                <w:sz w:val="20"/>
                <w:szCs w:val="20"/>
              </w:rPr>
              <w:t>19</w:t>
            </w:r>
          </w:p>
        </w:tc>
        <w:tc>
          <w:tcPr>
            <w:tcW w:w="872" w:type="dxa"/>
            <w:tcBorders>
              <w:top w:val="single" w:sz="4" w:space="0" w:color="0079C1" w:themeColor="text2"/>
              <w:bottom w:val="single" w:sz="4" w:space="0" w:color="0079C1" w:themeColor="text2"/>
              <w:right w:val="single" w:sz="4" w:space="0" w:color="0079C1"/>
            </w:tcBorders>
            <w:shd w:val="clear" w:color="auto" w:fill="E2F4FF" w:themeFill="accent1" w:themeFillTint="33"/>
            <w:tcMar>
              <w:top w:w="0" w:type="dxa"/>
              <w:left w:w="108" w:type="dxa"/>
              <w:bottom w:w="0" w:type="dxa"/>
              <w:right w:w="108" w:type="dxa"/>
            </w:tcMar>
          </w:tcPr>
          <w:p w14:paraId="07BBC240" w14:textId="77777777" w:rsidR="00C471B3" w:rsidRPr="00400687" w:rsidRDefault="00C471B3" w:rsidP="00E85AB7">
            <w:pPr>
              <w:pStyle w:val="TableTextCentred"/>
              <w:rPr>
                <w:rStyle w:val="Bold"/>
                <w:sz w:val="20"/>
                <w:szCs w:val="20"/>
              </w:rPr>
            </w:pPr>
            <w:r w:rsidRPr="00400687">
              <w:rPr>
                <w:rStyle w:val="Bold"/>
                <w:sz w:val="20"/>
                <w:szCs w:val="20"/>
              </w:rPr>
              <w:t>100.0%</w:t>
            </w:r>
          </w:p>
        </w:tc>
        <w:tc>
          <w:tcPr>
            <w:tcW w:w="620" w:type="dxa"/>
            <w:tcBorders>
              <w:top w:val="single" w:sz="4" w:space="0" w:color="0079C1" w:themeColor="text2"/>
              <w:left w:val="single" w:sz="4" w:space="0" w:color="0079C1"/>
              <w:bottom w:val="single" w:sz="4" w:space="0" w:color="0079C1" w:themeColor="text2"/>
            </w:tcBorders>
            <w:shd w:val="clear" w:color="auto" w:fill="E2F4FF" w:themeFill="accent1" w:themeFillTint="33"/>
            <w:tcMar>
              <w:top w:w="0" w:type="dxa"/>
              <w:left w:w="108" w:type="dxa"/>
              <w:bottom w:w="0" w:type="dxa"/>
              <w:right w:w="108" w:type="dxa"/>
            </w:tcMar>
          </w:tcPr>
          <w:p w14:paraId="4917C3C0" w14:textId="77777777" w:rsidR="00C471B3" w:rsidRPr="00400687" w:rsidRDefault="00C471B3" w:rsidP="00E85AB7">
            <w:pPr>
              <w:pStyle w:val="TableTextCentred"/>
              <w:rPr>
                <w:rStyle w:val="Bold"/>
                <w:sz w:val="20"/>
                <w:szCs w:val="20"/>
              </w:rPr>
            </w:pPr>
            <w:r w:rsidRPr="00400687">
              <w:rPr>
                <w:rStyle w:val="Bold"/>
                <w:sz w:val="20"/>
                <w:szCs w:val="20"/>
              </w:rPr>
              <w:t>73</w:t>
            </w:r>
          </w:p>
        </w:tc>
        <w:tc>
          <w:tcPr>
            <w:tcW w:w="953" w:type="dxa"/>
            <w:tcBorders>
              <w:top w:val="single" w:sz="4" w:space="0" w:color="0079C1" w:themeColor="text2"/>
              <w:bottom w:val="single" w:sz="4" w:space="0" w:color="0079C1" w:themeColor="text2"/>
              <w:right w:val="single" w:sz="4" w:space="0" w:color="0079C1"/>
            </w:tcBorders>
            <w:shd w:val="clear" w:color="auto" w:fill="E2F4FF" w:themeFill="accent1" w:themeFillTint="33"/>
            <w:tcMar>
              <w:top w:w="0" w:type="dxa"/>
              <w:left w:w="108" w:type="dxa"/>
              <w:bottom w:w="0" w:type="dxa"/>
              <w:right w:w="108" w:type="dxa"/>
            </w:tcMar>
          </w:tcPr>
          <w:p w14:paraId="2FBD86ED" w14:textId="77777777" w:rsidR="00C471B3" w:rsidRPr="00400687" w:rsidRDefault="00C471B3" w:rsidP="00E85AB7">
            <w:pPr>
              <w:pStyle w:val="TableTextCentred"/>
              <w:rPr>
                <w:rStyle w:val="Bold"/>
                <w:sz w:val="20"/>
                <w:szCs w:val="20"/>
              </w:rPr>
            </w:pPr>
            <w:r w:rsidRPr="00400687">
              <w:rPr>
                <w:rStyle w:val="Bold"/>
                <w:sz w:val="20"/>
                <w:szCs w:val="20"/>
              </w:rPr>
              <w:t>100.0%</w:t>
            </w:r>
          </w:p>
        </w:tc>
        <w:tc>
          <w:tcPr>
            <w:tcW w:w="620" w:type="dxa"/>
            <w:tcBorders>
              <w:top w:val="single" w:sz="4" w:space="0" w:color="0079C1" w:themeColor="text2"/>
              <w:left w:val="single" w:sz="4" w:space="0" w:color="0079C1"/>
              <w:bottom w:val="single" w:sz="4" w:space="0" w:color="0079C1" w:themeColor="text2"/>
            </w:tcBorders>
            <w:shd w:val="clear" w:color="auto" w:fill="E2F4FF" w:themeFill="accent1" w:themeFillTint="33"/>
            <w:tcMar>
              <w:top w:w="0" w:type="dxa"/>
              <w:left w:w="108" w:type="dxa"/>
              <w:bottom w:w="0" w:type="dxa"/>
              <w:right w:w="108" w:type="dxa"/>
            </w:tcMar>
            <w:hideMark/>
          </w:tcPr>
          <w:p w14:paraId="14EDF456" w14:textId="77777777" w:rsidR="00C471B3" w:rsidRPr="00400687" w:rsidRDefault="00C471B3" w:rsidP="00E85AB7">
            <w:pPr>
              <w:pStyle w:val="TableTextCentred"/>
              <w:rPr>
                <w:rStyle w:val="Bold"/>
                <w:sz w:val="20"/>
                <w:szCs w:val="20"/>
              </w:rPr>
            </w:pPr>
            <w:r w:rsidRPr="00400687">
              <w:rPr>
                <w:rStyle w:val="Bold"/>
                <w:sz w:val="20"/>
                <w:szCs w:val="20"/>
              </w:rPr>
              <w:t>20</w:t>
            </w:r>
          </w:p>
        </w:tc>
        <w:tc>
          <w:tcPr>
            <w:tcW w:w="872" w:type="dxa"/>
            <w:tcBorders>
              <w:top w:val="single" w:sz="4" w:space="0" w:color="0079C1" w:themeColor="text2"/>
              <w:bottom w:val="single" w:sz="4" w:space="0" w:color="0079C1" w:themeColor="text2"/>
              <w:right w:val="single" w:sz="4" w:space="0" w:color="0079C1"/>
            </w:tcBorders>
            <w:shd w:val="clear" w:color="auto" w:fill="E2F4FF" w:themeFill="accent1" w:themeFillTint="33"/>
            <w:tcMar>
              <w:top w:w="0" w:type="dxa"/>
              <w:left w:w="108" w:type="dxa"/>
              <w:bottom w:w="0" w:type="dxa"/>
              <w:right w:w="108" w:type="dxa"/>
            </w:tcMar>
            <w:hideMark/>
          </w:tcPr>
          <w:p w14:paraId="07C3509A" w14:textId="77777777" w:rsidR="00C471B3" w:rsidRPr="00400687" w:rsidRDefault="00C471B3" w:rsidP="00E85AB7">
            <w:pPr>
              <w:pStyle w:val="TableTextCentred"/>
              <w:rPr>
                <w:rStyle w:val="Bold"/>
                <w:sz w:val="20"/>
                <w:szCs w:val="20"/>
              </w:rPr>
            </w:pPr>
            <w:r w:rsidRPr="00400687">
              <w:rPr>
                <w:rStyle w:val="Bold"/>
                <w:sz w:val="20"/>
                <w:szCs w:val="20"/>
              </w:rPr>
              <w:t>100.0%</w:t>
            </w:r>
          </w:p>
        </w:tc>
        <w:tc>
          <w:tcPr>
            <w:tcW w:w="752" w:type="dxa"/>
            <w:tcBorders>
              <w:top w:val="single" w:sz="4" w:space="0" w:color="0079C1" w:themeColor="text2"/>
              <w:left w:val="single" w:sz="4" w:space="0" w:color="0079C1"/>
              <w:bottom w:val="single" w:sz="4" w:space="0" w:color="0079C1" w:themeColor="text2"/>
            </w:tcBorders>
            <w:shd w:val="clear" w:color="auto" w:fill="E2F4FF" w:themeFill="accent1" w:themeFillTint="33"/>
            <w:tcMar>
              <w:top w:w="0" w:type="dxa"/>
              <w:left w:w="108" w:type="dxa"/>
              <w:bottom w:w="0" w:type="dxa"/>
              <w:right w:w="108" w:type="dxa"/>
            </w:tcMar>
            <w:hideMark/>
          </w:tcPr>
          <w:p w14:paraId="6AF7D0C0" w14:textId="77777777" w:rsidR="00C471B3" w:rsidRPr="00400687" w:rsidRDefault="00C471B3" w:rsidP="00E85AB7">
            <w:pPr>
              <w:pStyle w:val="TableTextCentred"/>
              <w:rPr>
                <w:rStyle w:val="Bold"/>
                <w:sz w:val="20"/>
                <w:szCs w:val="20"/>
              </w:rPr>
            </w:pPr>
            <w:r w:rsidRPr="00400687">
              <w:rPr>
                <w:rStyle w:val="Bold"/>
                <w:sz w:val="20"/>
                <w:szCs w:val="20"/>
              </w:rPr>
              <w:t>220</w:t>
            </w:r>
          </w:p>
        </w:tc>
        <w:tc>
          <w:tcPr>
            <w:tcW w:w="1009" w:type="dxa"/>
            <w:tcBorders>
              <w:top w:val="single" w:sz="4" w:space="0" w:color="0079C1" w:themeColor="text2"/>
              <w:bottom w:val="single" w:sz="4" w:space="0" w:color="0079C1" w:themeColor="text2"/>
            </w:tcBorders>
            <w:shd w:val="clear" w:color="auto" w:fill="E2F4FF" w:themeFill="accent1" w:themeFillTint="33"/>
            <w:tcMar>
              <w:top w:w="0" w:type="dxa"/>
              <w:left w:w="108" w:type="dxa"/>
              <w:bottom w:w="0" w:type="dxa"/>
              <w:right w:w="108" w:type="dxa"/>
            </w:tcMar>
            <w:hideMark/>
          </w:tcPr>
          <w:p w14:paraId="4010476B" w14:textId="77777777" w:rsidR="00C471B3" w:rsidRPr="00400687" w:rsidRDefault="00C471B3" w:rsidP="00E85AB7">
            <w:pPr>
              <w:pStyle w:val="TableTextCentred"/>
              <w:rPr>
                <w:rStyle w:val="Bold"/>
                <w:sz w:val="20"/>
                <w:szCs w:val="20"/>
              </w:rPr>
            </w:pPr>
            <w:r w:rsidRPr="00400687">
              <w:rPr>
                <w:rStyle w:val="Bold"/>
                <w:sz w:val="20"/>
                <w:szCs w:val="20"/>
              </w:rPr>
              <w:t>100.0%</w:t>
            </w:r>
          </w:p>
        </w:tc>
      </w:tr>
    </w:tbl>
    <w:p w14:paraId="10332BEC" w14:textId="0C5C77D1" w:rsidR="00C471B3" w:rsidRDefault="00C471B3" w:rsidP="003B07DF">
      <w:pPr>
        <w:pStyle w:val="Paragraph"/>
      </w:pPr>
      <w:r>
        <w:t xml:space="preserve">STCAs reported that referrals between STCAs and IAA were rarely two-way (in some cases, non-existent) and limited in scope.  While some STCAs referred their clients to the IAA website, few referred to the </w:t>
      </w:r>
      <w:r w:rsidR="00F26A65">
        <w:t>information line service</w:t>
      </w:r>
      <w:r>
        <w:t>.  The main rationale for this limited referral process was the view that STCAs were better equipped to deal with enquiries than their IAA counterparts and that clients would ultimately be referred back to their appropriate jurisdiction to clarify STCA-specific issues.</w:t>
      </w:r>
    </w:p>
    <w:p w14:paraId="1628C185" w14:textId="77777777" w:rsidR="00C471B3" w:rsidRPr="00B25C94" w:rsidRDefault="00C471B3" w:rsidP="00B25C94">
      <w:pPr>
        <w:pStyle w:val="Quote"/>
      </w:pPr>
      <w:r w:rsidRPr="00B25C94">
        <w:t>“We refer people to IAA to look at the programs to check eligibility that they would be interested in applying to adopt from.  Occasionally IAA refer people to us but very rarely do they get put through directly or an email asking us to follow people up”</w:t>
      </w:r>
    </w:p>
    <w:p w14:paraId="3494DB6A" w14:textId="77777777" w:rsidR="00C471B3" w:rsidRPr="00B25C94" w:rsidRDefault="00C471B3" w:rsidP="00B25C94">
      <w:pPr>
        <w:pStyle w:val="Quote"/>
      </w:pPr>
      <w:r w:rsidRPr="00B25C94">
        <w:t xml:space="preserve">“We’ve never had a client referred.  We don’t know if they’ve gone through IAA.  We’ve never had a warm referral.  We might refer people to the country program on the website but never refer to the phone line”  </w:t>
      </w:r>
    </w:p>
    <w:p w14:paraId="4DB25204" w14:textId="77777777" w:rsidR="00C471B3" w:rsidRPr="00B25C94" w:rsidRDefault="00C471B3" w:rsidP="00B25C94">
      <w:pPr>
        <w:pStyle w:val="Quote"/>
      </w:pPr>
      <w:r w:rsidRPr="00B25C94">
        <w:t>“We find that we have the capacity ourselves to engage with the couples.  We find that if people go to IAA they are referred back to us anyway, because we need to have the conversation with those people and we need to make the decisions about suitability.</w:t>
      </w:r>
    </w:p>
    <w:p w14:paraId="4D013B7E" w14:textId="526D4100" w:rsidR="00C471B3" w:rsidRDefault="00C471B3" w:rsidP="00B25C94">
      <w:pPr>
        <w:pStyle w:val="Paragraph"/>
      </w:pPr>
      <w:r>
        <w:t xml:space="preserve">Nonetheless, one STCA reported an increase in ICA </w:t>
      </w:r>
      <w:r w:rsidR="00F26A65">
        <w:t xml:space="preserve">interest </w:t>
      </w:r>
      <w:r>
        <w:t>in the past year “</w:t>
      </w:r>
      <w:r w:rsidRPr="003E4035">
        <w:rPr>
          <w:rStyle w:val="Emphasis"/>
        </w:rPr>
        <w:t>which could be because people are looking at the [IAA] website”</w:t>
      </w:r>
      <w:r>
        <w:t>.</w:t>
      </w:r>
    </w:p>
    <w:p w14:paraId="43543B06" w14:textId="77777777" w:rsidR="00C471B3" w:rsidRDefault="00C471B3" w:rsidP="00B25C94">
      <w:pPr>
        <w:pStyle w:val="Paragraph"/>
      </w:pPr>
      <w:r>
        <w:t xml:space="preserve">It should be noted however, that all STCAs reported that they did not collect data on how their clients heard about their service or if they had prior engagement with any element of the IAA service so the true level of referral is unknown.  </w:t>
      </w:r>
    </w:p>
    <w:p w14:paraId="08BF8134" w14:textId="1AEADBB9" w:rsidR="00C471B3" w:rsidRDefault="00C471B3" w:rsidP="00B25C94">
      <w:pPr>
        <w:pStyle w:val="Paragraph"/>
      </w:pPr>
      <w:r w:rsidRPr="003E4035">
        <w:rPr>
          <w:rStyle w:val="Strong"/>
        </w:rPr>
        <w:t xml:space="preserve">Parent support and advocacy groups </w:t>
      </w:r>
      <w:r w:rsidRPr="008F0141">
        <w:t xml:space="preserve">who had used the service agreed that the IAA service has streamlined the referral process for them and their members.  This has been achieved primarily through IAA acting as a conduit to the AGD and DIBP.  Prior to the implementation of the IAA service, the </w:t>
      </w:r>
      <w:r w:rsidRPr="008F0141">
        <w:lastRenderedPageBreak/>
        <w:t>advocacy and support groups had to refer to multiple government organisations and the specific support groups to get the information they required.</w:t>
      </w:r>
    </w:p>
    <w:tbl>
      <w:tblPr>
        <w:tblStyle w:val="TableGrid"/>
        <w:tblW w:w="9392" w:type="dxa"/>
        <w:tblInd w:w="108" w:type="dxa"/>
        <w:tblBorders>
          <w:top w:val="single" w:sz="4" w:space="0" w:color="0079C1" w:themeColor="text2"/>
          <w:left w:val="single" w:sz="4" w:space="0" w:color="0079C1" w:themeColor="text2"/>
          <w:bottom w:val="single" w:sz="4" w:space="0" w:color="0079C1" w:themeColor="text2"/>
          <w:right w:val="single" w:sz="4" w:space="0" w:color="0079C1" w:themeColor="text2"/>
          <w:insideH w:val="none" w:sz="0" w:space="0" w:color="auto"/>
          <w:insideV w:val="none" w:sz="0" w:space="0" w:color="auto"/>
        </w:tblBorders>
        <w:shd w:val="clear" w:color="auto" w:fill="E2F4FF" w:themeFill="accent1" w:themeFillTint="33"/>
        <w:tblLook w:val="04A0" w:firstRow="1" w:lastRow="0" w:firstColumn="1" w:lastColumn="0" w:noHBand="0" w:noVBand="1"/>
        <w:tblDescription w:val="Key findings:&#10;• Similar referral levels were not reflected in the survey responses, with only 9.1% (20/220) of all parental respondents indicating that they had received a referral to their STCA (Table 6 5) and only 4.1% (9/220) to another service (Table 6 6).  This is despite almost one in five of all parental respondents (42/220, 19.1%) having indicated that they had used the 1800 information line (Table 5 9) and almost 60% of all parental respondents (131/220, 59.5%) having indicated they used the website (Table 5 11).&#10;• High levels of referral uptake were evident, with 12/20 (60.0%) of those who were referred to their STCA subsequently contacting their STCA and 7/9 (77.7%) of those referred to another service contacting that service &#10;• While some STCAs referred their clients to the IAA website, few referred to the 1800 information line &#10;• STCAs reported that they did not collect data on how their clients heard about their service or if they had prior engagement with any element of the IAA service so the true level of referral is unknown  &#10;• Parent support and advocacy groups who had used the service agreed that the IAA service has streamlined the referral process for them and their members, primarily through IAA acting as a conduit to the AGD and DIBP.  &#10;"/>
      </w:tblPr>
      <w:tblGrid>
        <w:gridCol w:w="9392"/>
      </w:tblGrid>
      <w:tr w:rsidR="00B443D8" w14:paraId="1515DD57" w14:textId="77777777" w:rsidTr="004E43C8">
        <w:trPr>
          <w:cantSplit/>
          <w:tblHeader/>
        </w:trPr>
        <w:tc>
          <w:tcPr>
            <w:tcW w:w="9392" w:type="dxa"/>
            <w:shd w:val="clear" w:color="auto" w:fill="E2F4FF" w:themeFill="accent1" w:themeFillTint="33"/>
          </w:tcPr>
          <w:p w14:paraId="66BF80E7" w14:textId="77777777" w:rsidR="00B443D8" w:rsidRPr="008A1452" w:rsidRDefault="00B443D8" w:rsidP="00D2747A">
            <w:pPr>
              <w:pStyle w:val="TableHeading2Row"/>
              <w:rPr>
                <w:color w:val="auto"/>
                <w:lang w:val="en-AU"/>
              </w:rPr>
            </w:pPr>
            <w:r w:rsidRPr="008A1452">
              <w:rPr>
                <w:color w:val="auto"/>
                <w:lang w:val="en-AU"/>
              </w:rPr>
              <w:t>Key findings:</w:t>
            </w:r>
          </w:p>
          <w:p w14:paraId="175C24F0" w14:textId="13BBBEA3" w:rsidR="00B77B94" w:rsidRPr="007342B0" w:rsidRDefault="007342B0" w:rsidP="00812019">
            <w:pPr>
              <w:pStyle w:val="Bullet1"/>
              <w:rPr>
                <w:lang w:val="en-AU"/>
              </w:rPr>
            </w:pPr>
            <w:r w:rsidRPr="00812019">
              <w:rPr>
                <w:lang w:val="en-AU"/>
              </w:rPr>
              <w:t>Similar referral levels were not reflected in the survey responses, with only 9.1% (20/220)</w:t>
            </w:r>
            <w:r w:rsidR="00BE5E53">
              <w:rPr>
                <w:lang w:val="en-AU"/>
              </w:rPr>
              <w:t xml:space="preserve"> </w:t>
            </w:r>
            <w:r w:rsidRPr="00812019">
              <w:rPr>
                <w:lang w:val="en-AU"/>
              </w:rPr>
              <w:t>of all parental respondents indicating that they had received a referral to their STCA (</w:t>
            </w:r>
            <w:r w:rsidRPr="00812019">
              <w:rPr>
                <w:i/>
                <w:lang w:val="en-AU"/>
              </w:rPr>
              <w:fldChar w:fldCharType="begin"/>
            </w:r>
            <w:r w:rsidRPr="00812019">
              <w:rPr>
                <w:i/>
                <w:lang w:val="en-AU"/>
              </w:rPr>
              <w:instrText xml:space="preserve"> REF _Ref463005971 \h  \* MERGEFORMAT </w:instrText>
            </w:r>
            <w:r w:rsidRPr="00812019">
              <w:rPr>
                <w:i/>
                <w:lang w:val="en-AU"/>
              </w:rPr>
            </w:r>
            <w:r w:rsidRPr="00812019">
              <w:rPr>
                <w:i/>
                <w:lang w:val="en-AU"/>
              </w:rPr>
              <w:fldChar w:fldCharType="separate"/>
            </w:r>
            <w:r w:rsidR="00487073" w:rsidRPr="00487073">
              <w:rPr>
                <w:i/>
                <w:lang w:val="en-AU"/>
              </w:rPr>
              <w:t>Table 6</w:t>
            </w:r>
            <w:r w:rsidR="00487073" w:rsidRPr="00487073">
              <w:rPr>
                <w:i/>
                <w:lang w:val="en-AU"/>
              </w:rPr>
              <w:noBreakHyphen/>
              <w:t>5</w:t>
            </w:r>
            <w:r w:rsidRPr="00812019">
              <w:rPr>
                <w:i/>
                <w:lang w:val="en-AU"/>
              </w:rPr>
              <w:fldChar w:fldCharType="end"/>
            </w:r>
            <w:r w:rsidRPr="00812019">
              <w:rPr>
                <w:i/>
                <w:lang w:val="en-AU"/>
              </w:rPr>
              <w:t>)</w:t>
            </w:r>
            <w:r w:rsidRPr="00812019">
              <w:rPr>
                <w:lang w:val="en-AU"/>
              </w:rPr>
              <w:t xml:space="preserve"> and only 4.1% (9/220) to another service (</w:t>
            </w:r>
            <w:r w:rsidRPr="00812019">
              <w:rPr>
                <w:i/>
                <w:lang w:val="en-AU"/>
              </w:rPr>
              <w:fldChar w:fldCharType="begin"/>
            </w:r>
            <w:r w:rsidRPr="00812019">
              <w:rPr>
                <w:i/>
                <w:lang w:val="en-AU"/>
              </w:rPr>
              <w:instrText xml:space="preserve"> REF _Ref463005986 \h  \* MERGEFORMAT </w:instrText>
            </w:r>
            <w:r w:rsidRPr="00812019">
              <w:rPr>
                <w:i/>
                <w:lang w:val="en-AU"/>
              </w:rPr>
            </w:r>
            <w:r w:rsidRPr="00812019">
              <w:rPr>
                <w:i/>
                <w:lang w:val="en-AU"/>
              </w:rPr>
              <w:fldChar w:fldCharType="separate"/>
            </w:r>
            <w:r w:rsidR="00487073" w:rsidRPr="00487073">
              <w:rPr>
                <w:i/>
                <w:lang w:val="en-AU"/>
              </w:rPr>
              <w:t>Table 6</w:t>
            </w:r>
            <w:r w:rsidR="00487073" w:rsidRPr="00487073">
              <w:rPr>
                <w:i/>
                <w:lang w:val="en-AU"/>
              </w:rPr>
              <w:noBreakHyphen/>
              <w:t>6</w:t>
            </w:r>
            <w:r w:rsidRPr="00812019">
              <w:rPr>
                <w:i/>
                <w:lang w:val="en-AU"/>
              </w:rPr>
              <w:fldChar w:fldCharType="end"/>
            </w:r>
            <w:r w:rsidRPr="00812019">
              <w:rPr>
                <w:lang w:val="en-AU"/>
              </w:rPr>
              <w:t>).  This is despite almost one in five of all parental respondents (42/220, 19.1%) having indicated that they had used the 1800 information line (</w:t>
            </w:r>
            <w:r w:rsidR="00BE5E53" w:rsidRPr="00812019">
              <w:rPr>
                <w:i/>
                <w:lang w:val="en-AU"/>
              </w:rPr>
              <w:fldChar w:fldCharType="begin"/>
            </w:r>
            <w:r w:rsidR="00BE5E53" w:rsidRPr="00812019">
              <w:rPr>
                <w:i/>
                <w:lang w:val="en-AU"/>
              </w:rPr>
              <w:instrText xml:space="preserve"> REF _Ref462823346 \h </w:instrText>
            </w:r>
            <w:r w:rsidR="00812019">
              <w:rPr>
                <w:i/>
                <w:lang w:val="en-AU"/>
              </w:rPr>
              <w:instrText xml:space="preserve"> \* MERGEFORMAT </w:instrText>
            </w:r>
            <w:r w:rsidR="00BE5E53" w:rsidRPr="00812019">
              <w:rPr>
                <w:i/>
                <w:lang w:val="en-AU"/>
              </w:rPr>
            </w:r>
            <w:r w:rsidR="00BE5E53" w:rsidRPr="00812019">
              <w:rPr>
                <w:i/>
                <w:lang w:val="en-AU"/>
              </w:rPr>
              <w:fldChar w:fldCharType="separate"/>
            </w:r>
            <w:r w:rsidR="00487073" w:rsidRPr="00487073">
              <w:rPr>
                <w:i/>
              </w:rPr>
              <w:t xml:space="preserve">Table </w:t>
            </w:r>
            <w:r w:rsidR="00487073" w:rsidRPr="00487073">
              <w:rPr>
                <w:i/>
                <w:noProof/>
              </w:rPr>
              <w:t>5</w:t>
            </w:r>
            <w:r w:rsidR="00487073" w:rsidRPr="00487073">
              <w:rPr>
                <w:i/>
                <w:noProof/>
              </w:rPr>
              <w:noBreakHyphen/>
              <w:t>9</w:t>
            </w:r>
            <w:r w:rsidR="00BE5E53" w:rsidRPr="00812019">
              <w:rPr>
                <w:i/>
                <w:lang w:val="en-AU"/>
              </w:rPr>
              <w:fldChar w:fldCharType="end"/>
            </w:r>
            <w:r w:rsidRPr="00812019">
              <w:rPr>
                <w:lang w:val="en-AU"/>
              </w:rPr>
              <w:t>) and almost 60% of all parental respondents (131/220, 59.5%) having indicated they used the website (</w:t>
            </w:r>
            <w:r w:rsidRPr="00812019">
              <w:rPr>
                <w:i/>
                <w:lang w:val="en-AU"/>
              </w:rPr>
              <w:fldChar w:fldCharType="begin"/>
            </w:r>
            <w:r w:rsidRPr="00812019">
              <w:rPr>
                <w:i/>
                <w:lang w:val="en-AU"/>
              </w:rPr>
              <w:instrText xml:space="preserve"> REF _Ref462650678 \h  \* MERGEFORMAT </w:instrText>
            </w:r>
            <w:r w:rsidRPr="00812019">
              <w:rPr>
                <w:i/>
                <w:lang w:val="en-AU"/>
              </w:rPr>
            </w:r>
            <w:r w:rsidRPr="00812019">
              <w:rPr>
                <w:i/>
                <w:lang w:val="en-AU"/>
              </w:rPr>
              <w:fldChar w:fldCharType="separate"/>
            </w:r>
            <w:r w:rsidR="00487073" w:rsidRPr="00487073">
              <w:rPr>
                <w:i/>
                <w:lang w:val="en-AU"/>
              </w:rPr>
              <w:t>Table 5</w:t>
            </w:r>
            <w:r w:rsidR="00487073" w:rsidRPr="00487073">
              <w:rPr>
                <w:i/>
                <w:lang w:val="en-AU"/>
              </w:rPr>
              <w:noBreakHyphen/>
              <w:t>11</w:t>
            </w:r>
            <w:r w:rsidRPr="00812019">
              <w:rPr>
                <w:i/>
                <w:lang w:val="en-AU"/>
              </w:rPr>
              <w:fldChar w:fldCharType="end"/>
            </w:r>
            <w:r w:rsidRPr="00812019">
              <w:rPr>
                <w:i/>
                <w:lang w:val="en-AU"/>
              </w:rPr>
              <w:t>)</w:t>
            </w:r>
            <w:r w:rsidRPr="00812019">
              <w:rPr>
                <w:lang w:val="en-AU"/>
              </w:rPr>
              <w:t>.</w:t>
            </w:r>
          </w:p>
          <w:p w14:paraId="7E1DB9FD" w14:textId="317630C2" w:rsidR="00B77B94" w:rsidRPr="00B77B94" w:rsidRDefault="00B77B94" w:rsidP="003B07DF">
            <w:pPr>
              <w:pStyle w:val="Bullet1"/>
              <w:rPr>
                <w:lang w:val="en-AU"/>
              </w:rPr>
            </w:pPr>
            <w:r w:rsidRPr="00B77B94">
              <w:rPr>
                <w:lang w:val="en-AU"/>
              </w:rPr>
              <w:t xml:space="preserve">High levels of referral uptake were evident, with 12/20 (60.0%) of those who were referred to their STCA subsequently contacting their STCA and 7/9 (77.7%) of those referred to another service contacting that service </w:t>
            </w:r>
          </w:p>
          <w:p w14:paraId="067CECA3" w14:textId="383477DF" w:rsidR="00B77B94" w:rsidRPr="00B77B94" w:rsidRDefault="00B77B94" w:rsidP="003B07DF">
            <w:pPr>
              <w:pStyle w:val="Bullet1"/>
              <w:rPr>
                <w:lang w:val="en-AU"/>
              </w:rPr>
            </w:pPr>
            <w:r w:rsidRPr="00B77B94">
              <w:rPr>
                <w:lang w:val="en-AU"/>
              </w:rPr>
              <w:t xml:space="preserve">While some STCAs referred their clients to the IAA website, </w:t>
            </w:r>
            <w:r w:rsidR="00E461F7">
              <w:rPr>
                <w:lang w:val="en-AU"/>
              </w:rPr>
              <w:t xml:space="preserve">few referred to the 1800 </w:t>
            </w:r>
            <w:r w:rsidR="004D4648">
              <w:rPr>
                <w:lang w:val="en-AU"/>
              </w:rPr>
              <w:t>information line</w:t>
            </w:r>
            <w:r w:rsidR="004D4648" w:rsidRPr="00B77B94">
              <w:rPr>
                <w:lang w:val="en-AU"/>
              </w:rPr>
              <w:t xml:space="preserve"> </w:t>
            </w:r>
          </w:p>
          <w:p w14:paraId="018EE037" w14:textId="572A6D7A" w:rsidR="00B77B94" w:rsidRPr="00B77B94" w:rsidRDefault="00B77B94" w:rsidP="003B07DF">
            <w:pPr>
              <w:pStyle w:val="Bullet1"/>
              <w:rPr>
                <w:lang w:val="en-AU"/>
              </w:rPr>
            </w:pPr>
            <w:r w:rsidRPr="00B77B94">
              <w:rPr>
                <w:lang w:val="en-AU"/>
              </w:rPr>
              <w:t>STCAs reported that they did not collect data on how their clients heard about their service or if they had prior engagement with any element of the IAA service so the tr</w:t>
            </w:r>
            <w:r w:rsidR="00E461F7">
              <w:rPr>
                <w:lang w:val="en-AU"/>
              </w:rPr>
              <w:t>ue level of referral is unknown</w:t>
            </w:r>
            <w:r w:rsidRPr="00B77B94">
              <w:rPr>
                <w:lang w:val="en-AU"/>
              </w:rPr>
              <w:t xml:space="preserve">  </w:t>
            </w:r>
          </w:p>
          <w:p w14:paraId="5BC0F8CE" w14:textId="6FAA9AE5" w:rsidR="00B443D8" w:rsidRDefault="00B77B94" w:rsidP="003B07DF">
            <w:pPr>
              <w:pStyle w:val="Bullet1"/>
              <w:rPr>
                <w:lang w:val="en-AU"/>
              </w:rPr>
            </w:pPr>
            <w:r w:rsidRPr="00B77B94">
              <w:rPr>
                <w:lang w:val="en-AU"/>
              </w:rPr>
              <w:t>Parent support and advocacy groups who had used the service agreed that the IAA service has streamlined the referral process for them and their members</w:t>
            </w:r>
            <w:r>
              <w:rPr>
                <w:lang w:val="en-AU"/>
              </w:rPr>
              <w:t xml:space="preserve">, </w:t>
            </w:r>
            <w:r w:rsidRPr="00B77B94">
              <w:rPr>
                <w:lang w:val="en-AU"/>
              </w:rPr>
              <w:t>primarily through IAA acting as</w:t>
            </w:r>
            <w:r>
              <w:rPr>
                <w:lang w:val="en-AU"/>
              </w:rPr>
              <w:t xml:space="preserve"> a conduit to the AGD and DIBP</w:t>
            </w:r>
            <w:r w:rsidRPr="00B77B94">
              <w:rPr>
                <w:lang w:val="en-AU"/>
              </w:rPr>
              <w:t xml:space="preserve">.  </w:t>
            </w:r>
          </w:p>
        </w:tc>
      </w:tr>
    </w:tbl>
    <w:p w14:paraId="554BFC2F" w14:textId="77777777" w:rsidR="00B25C94" w:rsidRDefault="00B25C94">
      <w:pPr>
        <w:rPr>
          <w:rFonts w:eastAsia="Arial Unicode MS" w:cs="Calibri"/>
          <w:b/>
          <w:color w:val="0079C1" w:themeColor="text2"/>
          <w:sz w:val="36"/>
          <w:szCs w:val="88"/>
          <w:lang w:eastAsia="en-AU"/>
        </w:rPr>
      </w:pPr>
      <w:bookmarkStart w:id="170" w:name="_Toc462773969"/>
      <w:r>
        <w:br w:type="page"/>
      </w:r>
    </w:p>
    <w:p w14:paraId="3FCEBF00" w14:textId="70891087" w:rsidR="00757B05" w:rsidRDefault="00757B05" w:rsidP="00283E1C">
      <w:pPr>
        <w:pStyle w:val="Heading2"/>
      </w:pPr>
      <w:bookmarkStart w:id="171" w:name="_Toc490481631"/>
      <w:r>
        <w:lastRenderedPageBreak/>
        <w:t>Prospective adoptive parents and adoptive parents’ experiences of the ICA process are positive</w:t>
      </w:r>
      <w:bookmarkEnd w:id="170"/>
      <w:bookmarkEnd w:id="171"/>
    </w:p>
    <w:p w14:paraId="0E456080" w14:textId="2C010244" w:rsidR="000A2409" w:rsidRDefault="00757B05" w:rsidP="00757B05">
      <w:pPr>
        <w:pStyle w:val="Paragraph"/>
        <w:rPr>
          <w:lang w:eastAsia="en-AU"/>
        </w:rPr>
      </w:pPr>
      <w:r w:rsidRPr="003C4499">
        <w:rPr>
          <w:rStyle w:val="Strong"/>
        </w:rPr>
        <w:t>In the survey</w:t>
      </w:r>
      <w:r>
        <w:rPr>
          <w:lang w:eastAsia="en-AU"/>
        </w:rPr>
        <w:t>, parental stakeholders were generally of the view that IAA had contributed little to improving their experiences of adopting a child from overseas (</w:t>
      </w:r>
      <w:r w:rsidRPr="00860EE5">
        <w:rPr>
          <w:rStyle w:val="Emphasis"/>
          <w:highlight w:val="green"/>
        </w:rPr>
        <w:fldChar w:fldCharType="begin"/>
      </w:r>
      <w:r w:rsidRPr="00860EE5">
        <w:rPr>
          <w:rStyle w:val="Emphasis"/>
        </w:rPr>
        <w:instrText xml:space="preserve"> REF _Ref462939357 \h </w:instrText>
      </w:r>
      <w:r>
        <w:rPr>
          <w:rStyle w:val="Emphasis"/>
          <w:highlight w:val="green"/>
        </w:rPr>
        <w:instrText xml:space="preserve"> \* MERGEFORMAT </w:instrText>
      </w:r>
      <w:r w:rsidRPr="00860EE5">
        <w:rPr>
          <w:rStyle w:val="Emphasis"/>
          <w:highlight w:val="green"/>
        </w:rPr>
      </w:r>
      <w:r w:rsidRPr="00860EE5">
        <w:rPr>
          <w:rStyle w:val="Emphasis"/>
          <w:highlight w:val="green"/>
        </w:rPr>
        <w:fldChar w:fldCharType="separate"/>
      </w:r>
      <w:r w:rsidR="00487073" w:rsidRPr="00487073">
        <w:rPr>
          <w:rStyle w:val="Emphasis"/>
        </w:rPr>
        <w:t>Table 6</w:t>
      </w:r>
      <w:r w:rsidR="00487073" w:rsidRPr="00487073">
        <w:rPr>
          <w:rStyle w:val="Emphasis"/>
        </w:rPr>
        <w:noBreakHyphen/>
        <w:t>9</w:t>
      </w:r>
      <w:r w:rsidRPr="00860EE5">
        <w:rPr>
          <w:rStyle w:val="Emphasis"/>
          <w:highlight w:val="green"/>
        </w:rPr>
        <w:fldChar w:fldCharType="end"/>
      </w:r>
      <w:r>
        <w:rPr>
          <w:lang w:eastAsia="en-AU"/>
        </w:rPr>
        <w:t>), with 67.8% indicating either a neutral, ‘not much’ or ‘not at all’ response.  Only 12.</w:t>
      </w:r>
      <w:r w:rsidR="00761DE8">
        <w:rPr>
          <w:lang w:eastAsia="en-AU"/>
        </w:rPr>
        <w:t>3</w:t>
      </w:r>
      <w:r>
        <w:rPr>
          <w:lang w:eastAsia="en-AU"/>
        </w:rPr>
        <w:t>% reported that their experience had improved as a resul</w:t>
      </w:r>
      <w:r w:rsidR="004D4648">
        <w:rPr>
          <w:lang w:eastAsia="en-AU"/>
        </w:rPr>
        <w:t xml:space="preserve">t of IAA.  </w:t>
      </w:r>
      <w:r w:rsidR="000A2409">
        <w:rPr>
          <w:lang w:eastAsia="en-AU"/>
        </w:rPr>
        <w:t>This is despite 131</w:t>
      </w:r>
      <w:r w:rsidR="000A2409" w:rsidRPr="000A2409">
        <w:rPr>
          <w:lang w:eastAsia="en-AU"/>
        </w:rPr>
        <w:t xml:space="preserve">/220 </w:t>
      </w:r>
      <w:r w:rsidR="000A2409">
        <w:rPr>
          <w:lang w:eastAsia="en-AU"/>
        </w:rPr>
        <w:t xml:space="preserve">respondents </w:t>
      </w:r>
      <w:r w:rsidR="000A2409" w:rsidRPr="000A2409">
        <w:rPr>
          <w:lang w:eastAsia="en-AU"/>
        </w:rPr>
        <w:t>(59.5%)</w:t>
      </w:r>
      <w:r w:rsidR="000A2409">
        <w:rPr>
          <w:lang w:eastAsia="en-AU"/>
        </w:rPr>
        <w:t xml:space="preserve"> have having reported using the website </w:t>
      </w:r>
      <w:r w:rsidR="001B1061">
        <w:rPr>
          <w:lang w:eastAsia="en-AU"/>
        </w:rPr>
        <w:t>(</w:t>
      </w:r>
      <w:r w:rsidR="001B1061" w:rsidRPr="001B1061">
        <w:rPr>
          <w:i/>
          <w:lang w:eastAsia="en-AU"/>
        </w:rPr>
        <w:fldChar w:fldCharType="begin"/>
      </w:r>
      <w:r w:rsidR="001B1061" w:rsidRPr="001B1061">
        <w:rPr>
          <w:i/>
          <w:lang w:eastAsia="en-AU"/>
        </w:rPr>
        <w:instrText xml:space="preserve"> REF _Ref462650678 \h </w:instrText>
      </w:r>
      <w:r w:rsidR="001B1061">
        <w:rPr>
          <w:i/>
          <w:lang w:eastAsia="en-AU"/>
        </w:rPr>
        <w:instrText xml:space="preserve"> \* MERGEFORMAT </w:instrText>
      </w:r>
      <w:r w:rsidR="001B1061" w:rsidRPr="001B1061">
        <w:rPr>
          <w:i/>
          <w:lang w:eastAsia="en-AU"/>
        </w:rPr>
      </w:r>
      <w:r w:rsidR="001B1061" w:rsidRPr="001B1061">
        <w:rPr>
          <w:i/>
          <w:lang w:eastAsia="en-AU"/>
        </w:rPr>
        <w:fldChar w:fldCharType="separate"/>
      </w:r>
      <w:r w:rsidR="00487073" w:rsidRPr="00487073">
        <w:rPr>
          <w:i/>
        </w:rPr>
        <w:t>Table 5</w:t>
      </w:r>
      <w:r w:rsidR="00487073" w:rsidRPr="00487073">
        <w:rPr>
          <w:i/>
        </w:rPr>
        <w:noBreakHyphen/>
        <w:t>11</w:t>
      </w:r>
      <w:r w:rsidR="001B1061" w:rsidRPr="001B1061">
        <w:rPr>
          <w:i/>
          <w:lang w:eastAsia="en-AU"/>
        </w:rPr>
        <w:fldChar w:fldCharType="end"/>
      </w:r>
      <w:r w:rsidR="001B1061">
        <w:rPr>
          <w:lang w:eastAsia="en-AU"/>
        </w:rPr>
        <w:t>)</w:t>
      </w:r>
      <w:r w:rsidR="000A2409">
        <w:rPr>
          <w:lang w:eastAsia="en-AU"/>
        </w:rPr>
        <w:t xml:space="preserve">and </w:t>
      </w:r>
      <w:r w:rsidR="000A2409" w:rsidRPr="000A2409">
        <w:rPr>
          <w:lang w:eastAsia="en-AU"/>
        </w:rPr>
        <w:t>42/220</w:t>
      </w:r>
      <w:r w:rsidR="000A2409">
        <w:rPr>
          <w:lang w:eastAsia="en-AU"/>
        </w:rPr>
        <w:t xml:space="preserve"> </w:t>
      </w:r>
      <w:r w:rsidR="007A33B9">
        <w:rPr>
          <w:lang w:eastAsia="en-AU"/>
        </w:rPr>
        <w:t xml:space="preserve">respondents (19.1%) </w:t>
      </w:r>
      <w:r w:rsidR="000A2409">
        <w:rPr>
          <w:lang w:eastAsia="en-AU"/>
        </w:rPr>
        <w:t>reporting having used the 1800 information line</w:t>
      </w:r>
      <w:r w:rsidR="001B1061">
        <w:rPr>
          <w:lang w:eastAsia="en-AU"/>
        </w:rPr>
        <w:t xml:space="preserve"> (</w:t>
      </w:r>
      <w:r w:rsidR="001B1061" w:rsidRPr="001B1061">
        <w:rPr>
          <w:i/>
          <w:lang w:eastAsia="en-AU"/>
        </w:rPr>
        <w:fldChar w:fldCharType="begin"/>
      </w:r>
      <w:r w:rsidR="001B1061" w:rsidRPr="001B1061">
        <w:rPr>
          <w:i/>
          <w:lang w:eastAsia="en-AU"/>
        </w:rPr>
        <w:instrText xml:space="preserve"> REF _Ref462823346 \h </w:instrText>
      </w:r>
      <w:r w:rsidR="001B1061">
        <w:rPr>
          <w:i/>
          <w:lang w:eastAsia="en-AU"/>
        </w:rPr>
        <w:instrText xml:space="preserve"> \* MERGEFORMAT </w:instrText>
      </w:r>
      <w:r w:rsidR="001B1061" w:rsidRPr="001B1061">
        <w:rPr>
          <w:i/>
          <w:lang w:eastAsia="en-AU"/>
        </w:rPr>
      </w:r>
      <w:r w:rsidR="001B1061" w:rsidRPr="001B1061">
        <w:rPr>
          <w:i/>
          <w:lang w:eastAsia="en-AU"/>
        </w:rPr>
        <w:fldChar w:fldCharType="separate"/>
      </w:r>
      <w:r w:rsidR="00487073" w:rsidRPr="00487073">
        <w:rPr>
          <w:i/>
        </w:rPr>
        <w:t xml:space="preserve">Table </w:t>
      </w:r>
      <w:r w:rsidR="00487073" w:rsidRPr="00487073">
        <w:rPr>
          <w:i/>
          <w:noProof/>
        </w:rPr>
        <w:t>5</w:t>
      </w:r>
      <w:r w:rsidR="00487073" w:rsidRPr="00487073">
        <w:rPr>
          <w:i/>
          <w:noProof/>
        </w:rPr>
        <w:noBreakHyphen/>
        <w:t>9</w:t>
      </w:r>
      <w:r w:rsidR="001B1061" w:rsidRPr="001B1061">
        <w:rPr>
          <w:i/>
          <w:lang w:eastAsia="en-AU"/>
        </w:rPr>
        <w:fldChar w:fldCharType="end"/>
      </w:r>
      <w:r w:rsidR="001B1061">
        <w:rPr>
          <w:lang w:eastAsia="en-AU"/>
        </w:rPr>
        <w:t>)</w:t>
      </w:r>
      <w:r w:rsidR="007A33B9">
        <w:rPr>
          <w:lang w:eastAsia="en-AU"/>
        </w:rPr>
        <w:t>.</w:t>
      </w:r>
    </w:p>
    <w:p w14:paraId="7982266F" w14:textId="2546F0EE" w:rsidR="00757B05" w:rsidRDefault="004D4648" w:rsidP="00757B05">
      <w:pPr>
        <w:pStyle w:val="Paragraph"/>
        <w:rPr>
          <w:lang w:eastAsia="en-AU"/>
        </w:rPr>
      </w:pPr>
      <w:r>
        <w:rPr>
          <w:lang w:eastAsia="en-AU"/>
        </w:rPr>
        <w:t>This low ranking may</w:t>
      </w:r>
      <w:r w:rsidR="00757B05">
        <w:rPr>
          <w:lang w:eastAsia="en-AU"/>
        </w:rPr>
        <w:t xml:space="preserve"> be attributable to the fact that more than half of all parental survey respondents (51.3%) commenced engagement with the ICA process prior to the establishment of </w:t>
      </w:r>
      <w:r w:rsidR="00757B05" w:rsidRPr="00207E8C">
        <w:rPr>
          <w:lang w:eastAsia="en-AU"/>
        </w:rPr>
        <w:t>IAA and a further 21.3% did not provide date details (</w:t>
      </w:r>
      <w:r w:rsidR="00BE5E53" w:rsidRPr="00BE5E53">
        <w:rPr>
          <w:i/>
          <w:lang w:eastAsia="en-AU"/>
        </w:rPr>
        <w:fldChar w:fldCharType="begin"/>
      </w:r>
      <w:r w:rsidR="00BE5E53" w:rsidRPr="00BE5E53">
        <w:rPr>
          <w:i/>
          <w:lang w:eastAsia="en-AU"/>
        </w:rPr>
        <w:instrText xml:space="preserve"> REF _Ref490132277 \r \h </w:instrText>
      </w:r>
      <w:r w:rsidR="00BE5E53">
        <w:rPr>
          <w:i/>
          <w:lang w:eastAsia="en-AU"/>
        </w:rPr>
        <w:instrText xml:space="preserve"> \* MERGEFORMAT </w:instrText>
      </w:r>
      <w:r w:rsidR="00BE5E53" w:rsidRPr="00BE5E53">
        <w:rPr>
          <w:i/>
          <w:lang w:eastAsia="en-AU"/>
        </w:rPr>
      </w:r>
      <w:r w:rsidR="00BE5E53" w:rsidRPr="00BE5E53">
        <w:rPr>
          <w:i/>
          <w:lang w:eastAsia="en-AU"/>
        </w:rPr>
        <w:fldChar w:fldCharType="separate"/>
      </w:r>
      <w:r w:rsidR="00487073">
        <w:rPr>
          <w:i/>
          <w:lang w:eastAsia="en-AU"/>
        </w:rPr>
        <w:t>Appendix C</w:t>
      </w:r>
      <w:r w:rsidR="00BE5E53" w:rsidRPr="00BE5E53">
        <w:rPr>
          <w:i/>
          <w:lang w:eastAsia="en-AU"/>
        </w:rPr>
        <w:fldChar w:fldCharType="end"/>
      </w:r>
      <w:r w:rsidR="00757B05" w:rsidRPr="00207E8C">
        <w:rPr>
          <w:lang w:eastAsia="en-AU"/>
        </w:rPr>
        <w:t>)</w:t>
      </w:r>
      <w:r w:rsidR="00207E8C">
        <w:rPr>
          <w:lang w:eastAsia="en-AU"/>
        </w:rPr>
        <w:t>.</w:t>
      </w:r>
      <w:r w:rsidR="00757B05">
        <w:rPr>
          <w:lang w:eastAsia="en-AU"/>
        </w:rPr>
        <w:t xml:space="preserve"> </w:t>
      </w:r>
    </w:p>
    <w:p w14:paraId="11095C73" w14:textId="041A0870" w:rsidR="00757B05" w:rsidRDefault="00757B05" w:rsidP="00757B05">
      <w:pPr>
        <w:pStyle w:val="Caption"/>
      </w:pPr>
      <w:bookmarkStart w:id="172" w:name="_Ref462939357"/>
      <w:bookmarkStart w:id="173" w:name="_Toc490481674"/>
      <w:r>
        <w:t xml:space="preserve">Table </w:t>
      </w:r>
      <w:r w:rsidR="00644B63">
        <w:fldChar w:fldCharType="begin"/>
      </w:r>
      <w:r w:rsidR="00644B63">
        <w:instrText xml:space="preserve"> STYLEREF 1 \s </w:instrText>
      </w:r>
      <w:r w:rsidR="00644B63">
        <w:fldChar w:fldCharType="separate"/>
      </w:r>
      <w:r w:rsidR="00487073">
        <w:rPr>
          <w:noProof/>
        </w:rPr>
        <w:t>6</w:t>
      </w:r>
      <w:r w:rsidR="00644B63">
        <w:fldChar w:fldCharType="end"/>
      </w:r>
      <w:r w:rsidR="00644B63">
        <w:noBreakHyphen/>
      </w:r>
      <w:r w:rsidR="00644B63">
        <w:fldChar w:fldCharType="begin"/>
      </w:r>
      <w:r w:rsidR="00644B63">
        <w:instrText xml:space="preserve"> SEQ Table \* ARABIC \s 1 </w:instrText>
      </w:r>
      <w:r w:rsidR="00644B63">
        <w:fldChar w:fldCharType="separate"/>
      </w:r>
      <w:r w:rsidR="00487073">
        <w:rPr>
          <w:noProof/>
        </w:rPr>
        <w:t>9</w:t>
      </w:r>
      <w:r w:rsidR="00644B63">
        <w:fldChar w:fldCharType="end"/>
      </w:r>
      <w:bookmarkEnd w:id="172"/>
      <w:r w:rsidR="00E07D8E">
        <w:t>:</w:t>
      </w:r>
      <w:r w:rsidR="00E07D8E">
        <w:tab/>
      </w:r>
      <w:r>
        <w:t>Extent IAA improved respondents' experience of adopting a child from overseas</w:t>
      </w:r>
      <w:bookmarkEnd w:id="173"/>
    </w:p>
    <w:tbl>
      <w:tblPr>
        <w:tblW w:w="9363" w:type="dxa"/>
        <w:tblInd w:w="108"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CellMar>
          <w:left w:w="0" w:type="dxa"/>
          <w:right w:w="0" w:type="dxa"/>
        </w:tblCellMar>
        <w:tblLook w:val="04A0" w:firstRow="1" w:lastRow="0" w:firstColumn="1" w:lastColumn="0" w:noHBand="0" w:noVBand="1"/>
      </w:tblPr>
      <w:tblGrid>
        <w:gridCol w:w="1318"/>
        <w:gridCol w:w="567"/>
        <w:gridCol w:w="882"/>
        <w:gridCol w:w="635"/>
        <w:gridCol w:w="993"/>
        <w:gridCol w:w="535"/>
        <w:gridCol w:w="1024"/>
        <w:gridCol w:w="709"/>
        <w:gridCol w:w="992"/>
        <w:gridCol w:w="709"/>
        <w:gridCol w:w="999"/>
      </w:tblGrid>
      <w:tr w:rsidR="00936695" w:rsidRPr="009C3485" w14:paraId="79FCCEF0" w14:textId="77777777" w:rsidTr="00225CE8">
        <w:tc>
          <w:tcPr>
            <w:tcW w:w="1318" w:type="dxa"/>
            <w:vMerge w:val="restart"/>
            <w:shd w:val="clear" w:color="auto" w:fill="0079C1" w:themeFill="text2"/>
            <w:tcMar>
              <w:top w:w="0" w:type="dxa"/>
              <w:left w:w="108" w:type="dxa"/>
              <w:bottom w:w="0" w:type="dxa"/>
              <w:right w:w="108" w:type="dxa"/>
            </w:tcMar>
            <w:vAlign w:val="center"/>
            <w:hideMark/>
          </w:tcPr>
          <w:p w14:paraId="2F2C5F73" w14:textId="49DBE7D4" w:rsidR="00757B05" w:rsidRPr="009C3485" w:rsidRDefault="00757B05" w:rsidP="00225CE8">
            <w:pPr>
              <w:pStyle w:val="TableHeading1"/>
              <w:rPr>
                <w:sz w:val="20"/>
              </w:rPr>
            </w:pPr>
            <w:r w:rsidRPr="009C3485">
              <w:rPr>
                <w:sz w:val="20"/>
              </w:rPr>
              <w:t>Exten</w:t>
            </w:r>
            <w:r w:rsidR="00207E8C" w:rsidRPr="009C3485">
              <w:rPr>
                <w:sz w:val="20"/>
              </w:rPr>
              <w:t>t</w:t>
            </w:r>
            <w:r w:rsidR="00225CE8" w:rsidRPr="009C3485">
              <w:rPr>
                <w:sz w:val="20"/>
              </w:rPr>
              <w:t xml:space="preserve"> improved</w:t>
            </w:r>
          </w:p>
        </w:tc>
        <w:tc>
          <w:tcPr>
            <w:tcW w:w="3077" w:type="dxa"/>
            <w:gridSpan w:val="4"/>
            <w:shd w:val="clear" w:color="auto" w:fill="0079C1" w:themeFill="text2"/>
            <w:tcMar>
              <w:top w:w="0" w:type="dxa"/>
              <w:left w:w="108" w:type="dxa"/>
              <w:bottom w:w="0" w:type="dxa"/>
              <w:right w:w="108" w:type="dxa"/>
            </w:tcMar>
            <w:hideMark/>
          </w:tcPr>
          <w:p w14:paraId="5456970B" w14:textId="77777777" w:rsidR="00757B05" w:rsidRPr="009C3485" w:rsidRDefault="00757B05" w:rsidP="00B25C94">
            <w:pPr>
              <w:pStyle w:val="TableHeading1Centred"/>
              <w:rPr>
                <w:sz w:val="20"/>
              </w:rPr>
            </w:pPr>
            <w:r w:rsidRPr="009C3485">
              <w:rPr>
                <w:sz w:val="20"/>
              </w:rPr>
              <w:t>Wanting to adopt</w:t>
            </w:r>
          </w:p>
        </w:tc>
        <w:tc>
          <w:tcPr>
            <w:tcW w:w="1559" w:type="dxa"/>
            <w:gridSpan w:val="2"/>
            <w:vMerge w:val="restart"/>
            <w:shd w:val="clear" w:color="auto" w:fill="0079C1" w:themeFill="text2"/>
            <w:tcMar>
              <w:top w:w="0" w:type="dxa"/>
              <w:left w:w="108" w:type="dxa"/>
              <w:bottom w:w="0" w:type="dxa"/>
              <w:right w:w="108" w:type="dxa"/>
            </w:tcMar>
            <w:vAlign w:val="center"/>
            <w:hideMark/>
          </w:tcPr>
          <w:p w14:paraId="18ED59CA" w14:textId="77777777" w:rsidR="00757B05" w:rsidRPr="009C3485" w:rsidRDefault="00757B05" w:rsidP="00B25C94">
            <w:pPr>
              <w:pStyle w:val="TableHeading1Centred"/>
              <w:rPr>
                <w:sz w:val="20"/>
              </w:rPr>
            </w:pPr>
            <w:r w:rsidRPr="009C3485">
              <w:rPr>
                <w:sz w:val="20"/>
              </w:rPr>
              <w:t>Post adoption</w:t>
            </w:r>
          </w:p>
        </w:tc>
        <w:tc>
          <w:tcPr>
            <w:tcW w:w="1701" w:type="dxa"/>
            <w:gridSpan w:val="2"/>
            <w:vMerge w:val="restart"/>
            <w:shd w:val="clear" w:color="auto" w:fill="0079C1" w:themeFill="text2"/>
            <w:tcMar>
              <w:top w:w="0" w:type="dxa"/>
              <w:left w:w="108" w:type="dxa"/>
              <w:bottom w:w="0" w:type="dxa"/>
              <w:right w:w="108" w:type="dxa"/>
            </w:tcMar>
            <w:vAlign w:val="center"/>
            <w:hideMark/>
          </w:tcPr>
          <w:p w14:paraId="649A5739" w14:textId="77777777" w:rsidR="00757B05" w:rsidRPr="009C3485" w:rsidRDefault="00757B05" w:rsidP="00B25C94">
            <w:pPr>
              <w:pStyle w:val="TableHeading1Centred"/>
              <w:rPr>
                <w:sz w:val="20"/>
              </w:rPr>
            </w:pPr>
            <w:r w:rsidRPr="009C3485">
              <w:rPr>
                <w:sz w:val="20"/>
              </w:rPr>
              <w:t>Did not continue</w:t>
            </w:r>
          </w:p>
        </w:tc>
        <w:tc>
          <w:tcPr>
            <w:tcW w:w="1708" w:type="dxa"/>
            <w:gridSpan w:val="2"/>
            <w:vMerge w:val="restart"/>
            <w:shd w:val="clear" w:color="auto" w:fill="0079C1" w:themeFill="text2"/>
            <w:tcMar>
              <w:top w:w="0" w:type="dxa"/>
              <w:left w:w="108" w:type="dxa"/>
              <w:bottom w:w="0" w:type="dxa"/>
              <w:right w:w="108" w:type="dxa"/>
            </w:tcMar>
            <w:vAlign w:val="center"/>
            <w:hideMark/>
          </w:tcPr>
          <w:p w14:paraId="1011126E" w14:textId="77777777" w:rsidR="00757B05" w:rsidRPr="009C3485" w:rsidRDefault="00757B05" w:rsidP="00B25C94">
            <w:pPr>
              <w:pStyle w:val="TableHeading1Centred"/>
              <w:rPr>
                <w:sz w:val="20"/>
              </w:rPr>
            </w:pPr>
            <w:r w:rsidRPr="009C3485">
              <w:rPr>
                <w:sz w:val="20"/>
              </w:rPr>
              <w:t>Total</w:t>
            </w:r>
          </w:p>
        </w:tc>
      </w:tr>
      <w:tr w:rsidR="00936695" w:rsidRPr="009C3485" w14:paraId="767EEACC" w14:textId="77777777" w:rsidTr="00225CE8">
        <w:tc>
          <w:tcPr>
            <w:tcW w:w="1318" w:type="dxa"/>
            <w:vMerge/>
            <w:shd w:val="clear" w:color="auto" w:fill="0079C1" w:themeFill="text2"/>
            <w:vAlign w:val="center"/>
            <w:hideMark/>
          </w:tcPr>
          <w:p w14:paraId="729BCA3D" w14:textId="77777777" w:rsidR="00757B05" w:rsidRPr="009C3485" w:rsidRDefault="00757B05" w:rsidP="00B25C94">
            <w:pPr>
              <w:pStyle w:val="TableHeading1Centred"/>
              <w:rPr>
                <w:sz w:val="20"/>
              </w:rPr>
            </w:pPr>
          </w:p>
        </w:tc>
        <w:tc>
          <w:tcPr>
            <w:tcW w:w="1449" w:type="dxa"/>
            <w:gridSpan w:val="2"/>
            <w:shd w:val="clear" w:color="auto" w:fill="0079C1" w:themeFill="text2"/>
            <w:tcMar>
              <w:top w:w="0" w:type="dxa"/>
              <w:left w:w="108" w:type="dxa"/>
              <w:bottom w:w="0" w:type="dxa"/>
              <w:right w:w="108" w:type="dxa"/>
            </w:tcMar>
            <w:hideMark/>
          </w:tcPr>
          <w:p w14:paraId="5DAA8C81" w14:textId="77777777" w:rsidR="00757B05" w:rsidRPr="009C3485" w:rsidRDefault="00757B05" w:rsidP="00B25C94">
            <w:pPr>
              <w:pStyle w:val="TableHeading1Centred"/>
              <w:rPr>
                <w:sz w:val="20"/>
              </w:rPr>
            </w:pPr>
            <w:r w:rsidRPr="009C3485">
              <w:rPr>
                <w:sz w:val="20"/>
              </w:rPr>
              <w:t>First time</w:t>
            </w:r>
          </w:p>
        </w:tc>
        <w:tc>
          <w:tcPr>
            <w:tcW w:w="1628" w:type="dxa"/>
            <w:gridSpan w:val="2"/>
            <w:shd w:val="clear" w:color="auto" w:fill="0079C1" w:themeFill="text2"/>
            <w:tcMar>
              <w:top w:w="0" w:type="dxa"/>
              <w:left w:w="108" w:type="dxa"/>
              <w:bottom w:w="0" w:type="dxa"/>
              <w:right w:w="108" w:type="dxa"/>
            </w:tcMar>
            <w:hideMark/>
          </w:tcPr>
          <w:p w14:paraId="72DD24ED" w14:textId="77777777" w:rsidR="00757B05" w:rsidRPr="009C3485" w:rsidRDefault="00757B05" w:rsidP="00B25C94">
            <w:pPr>
              <w:pStyle w:val="TableHeading1Centred"/>
              <w:rPr>
                <w:sz w:val="20"/>
              </w:rPr>
            </w:pPr>
            <w:r w:rsidRPr="009C3485">
              <w:rPr>
                <w:sz w:val="20"/>
              </w:rPr>
              <w:t>Repeat</w:t>
            </w:r>
          </w:p>
        </w:tc>
        <w:tc>
          <w:tcPr>
            <w:tcW w:w="1559" w:type="dxa"/>
            <w:gridSpan w:val="2"/>
            <w:vMerge/>
            <w:shd w:val="clear" w:color="auto" w:fill="0079C1" w:themeFill="text2"/>
            <w:vAlign w:val="center"/>
            <w:hideMark/>
          </w:tcPr>
          <w:p w14:paraId="28DE7FCD" w14:textId="77777777" w:rsidR="00757B05" w:rsidRPr="009C3485" w:rsidRDefault="00757B05" w:rsidP="00B25C94">
            <w:pPr>
              <w:pStyle w:val="TableHeading1Centred"/>
              <w:rPr>
                <w:sz w:val="20"/>
              </w:rPr>
            </w:pPr>
          </w:p>
        </w:tc>
        <w:tc>
          <w:tcPr>
            <w:tcW w:w="1701" w:type="dxa"/>
            <w:gridSpan w:val="2"/>
            <w:vMerge/>
            <w:shd w:val="clear" w:color="auto" w:fill="0079C1" w:themeFill="text2"/>
            <w:vAlign w:val="center"/>
            <w:hideMark/>
          </w:tcPr>
          <w:p w14:paraId="7AD99DEE" w14:textId="77777777" w:rsidR="00757B05" w:rsidRPr="009C3485" w:rsidRDefault="00757B05" w:rsidP="00B25C94">
            <w:pPr>
              <w:pStyle w:val="TableHeading1Centred"/>
              <w:rPr>
                <w:sz w:val="20"/>
              </w:rPr>
            </w:pPr>
          </w:p>
        </w:tc>
        <w:tc>
          <w:tcPr>
            <w:tcW w:w="1708" w:type="dxa"/>
            <w:gridSpan w:val="2"/>
            <w:vMerge/>
            <w:shd w:val="clear" w:color="auto" w:fill="0079C1" w:themeFill="text2"/>
            <w:vAlign w:val="center"/>
            <w:hideMark/>
          </w:tcPr>
          <w:p w14:paraId="098CB816" w14:textId="77777777" w:rsidR="00757B05" w:rsidRPr="009C3485" w:rsidRDefault="00757B05" w:rsidP="00B25C94">
            <w:pPr>
              <w:pStyle w:val="TableHeading1Centred"/>
              <w:rPr>
                <w:sz w:val="20"/>
              </w:rPr>
            </w:pPr>
          </w:p>
        </w:tc>
      </w:tr>
      <w:tr w:rsidR="00936695" w:rsidRPr="009C3485" w14:paraId="6D3B23C0" w14:textId="77777777" w:rsidTr="00225CE8">
        <w:tc>
          <w:tcPr>
            <w:tcW w:w="1318" w:type="dxa"/>
            <w:vMerge/>
            <w:shd w:val="clear" w:color="auto" w:fill="0079C1" w:themeFill="text2"/>
            <w:vAlign w:val="center"/>
            <w:hideMark/>
          </w:tcPr>
          <w:p w14:paraId="7E0286E5" w14:textId="77777777" w:rsidR="00757B05" w:rsidRPr="009C3485" w:rsidRDefault="00757B05" w:rsidP="00B25C94">
            <w:pPr>
              <w:pStyle w:val="TableHeading1Centred"/>
              <w:rPr>
                <w:sz w:val="20"/>
              </w:rPr>
            </w:pPr>
          </w:p>
        </w:tc>
        <w:tc>
          <w:tcPr>
            <w:tcW w:w="567" w:type="dxa"/>
            <w:shd w:val="clear" w:color="auto" w:fill="0079C1" w:themeFill="text2"/>
            <w:tcMar>
              <w:top w:w="0" w:type="dxa"/>
              <w:left w:w="108" w:type="dxa"/>
              <w:bottom w:w="0" w:type="dxa"/>
              <w:right w:w="108" w:type="dxa"/>
            </w:tcMar>
            <w:vAlign w:val="center"/>
            <w:hideMark/>
          </w:tcPr>
          <w:p w14:paraId="41FE09E2" w14:textId="77777777" w:rsidR="00757B05" w:rsidRPr="009C3485" w:rsidRDefault="00757B05" w:rsidP="00B25C94">
            <w:pPr>
              <w:pStyle w:val="TableHeading1Centred"/>
              <w:rPr>
                <w:sz w:val="20"/>
              </w:rPr>
            </w:pPr>
            <w:r w:rsidRPr="009C3485">
              <w:rPr>
                <w:sz w:val="20"/>
              </w:rPr>
              <w:t>n</w:t>
            </w:r>
          </w:p>
        </w:tc>
        <w:tc>
          <w:tcPr>
            <w:tcW w:w="882" w:type="dxa"/>
            <w:shd w:val="clear" w:color="auto" w:fill="0079C1" w:themeFill="text2"/>
            <w:tcMar>
              <w:top w:w="0" w:type="dxa"/>
              <w:left w:w="108" w:type="dxa"/>
              <w:bottom w:w="0" w:type="dxa"/>
              <w:right w:w="108" w:type="dxa"/>
            </w:tcMar>
            <w:vAlign w:val="center"/>
            <w:hideMark/>
          </w:tcPr>
          <w:p w14:paraId="49CE0555" w14:textId="77777777" w:rsidR="00757B05" w:rsidRPr="009C3485" w:rsidRDefault="00757B05" w:rsidP="00B25C94">
            <w:pPr>
              <w:pStyle w:val="TableHeading1Centred"/>
              <w:rPr>
                <w:sz w:val="20"/>
              </w:rPr>
            </w:pPr>
            <w:r w:rsidRPr="009C3485">
              <w:rPr>
                <w:sz w:val="20"/>
              </w:rPr>
              <w:t>%</w:t>
            </w:r>
          </w:p>
        </w:tc>
        <w:tc>
          <w:tcPr>
            <w:tcW w:w="635" w:type="dxa"/>
            <w:shd w:val="clear" w:color="auto" w:fill="0079C1" w:themeFill="text2"/>
            <w:tcMar>
              <w:top w:w="0" w:type="dxa"/>
              <w:left w:w="108" w:type="dxa"/>
              <w:bottom w:w="0" w:type="dxa"/>
              <w:right w:w="108" w:type="dxa"/>
            </w:tcMar>
            <w:vAlign w:val="center"/>
            <w:hideMark/>
          </w:tcPr>
          <w:p w14:paraId="7FAF6CBC" w14:textId="77777777" w:rsidR="00757B05" w:rsidRPr="009C3485" w:rsidRDefault="00757B05" w:rsidP="00B25C94">
            <w:pPr>
              <w:pStyle w:val="TableHeading1Centred"/>
              <w:rPr>
                <w:sz w:val="20"/>
              </w:rPr>
            </w:pPr>
            <w:r w:rsidRPr="009C3485">
              <w:rPr>
                <w:sz w:val="20"/>
              </w:rPr>
              <w:t>n</w:t>
            </w:r>
          </w:p>
        </w:tc>
        <w:tc>
          <w:tcPr>
            <w:tcW w:w="993" w:type="dxa"/>
            <w:shd w:val="clear" w:color="auto" w:fill="0079C1" w:themeFill="text2"/>
            <w:tcMar>
              <w:top w:w="0" w:type="dxa"/>
              <w:left w:w="108" w:type="dxa"/>
              <w:bottom w:w="0" w:type="dxa"/>
              <w:right w:w="108" w:type="dxa"/>
            </w:tcMar>
            <w:vAlign w:val="center"/>
            <w:hideMark/>
          </w:tcPr>
          <w:p w14:paraId="07EB66DB" w14:textId="77777777" w:rsidR="00757B05" w:rsidRPr="009C3485" w:rsidRDefault="00757B05" w:rsidP="00B25C94">
            <w:pPr>
              <w:pStyle w:val="TableHeading1Centred"/>
              <w:rPr>
                <w:sz w:val="20"/>
              </w:rPr>
            </w:pPr>
            <w:r w:rsidRPr="009C3485">
              <w:rPr>
                <w:sz w:val="20"/>
              </w:rPr>
              <w:t>%</w:t>
            </w:r>
          </w:p>
        </w:tc>
        <w:tc>
          <w:tcPr>
            <w:tcW w:w="535" w:type="dxa"/>
            <w:shd w:val="clear" w:color="auto" w:fill="0079C1" w:themeFill="text2"/>
            <w:tcMar>
              <w:top w:w="0" w:type="dxa"/>
              <w:left w:w="108" w:type="dxa"/>
              <w:bottom w:w="0" w:type="dxa"/>
              <w:right w:w="108" w:type="dxa"/>
            </w:tcMar>
            <w:vAlign w:val="center"/>
            <w:hideMark/>
          </w:tcPr>
          <w:p w14:paraId="6CD58B17" w14:textId="77777777" w:rsidR="00757B05" w:rsidRPr="009C3485" w:rsidRDefault="00757B05" w:rsidP="00B25C94">
            <w:pPr>
              <w:pStyle w:val="TableHeading1Centred"/>
              <w:rPr>
                <w:sz w:val="20"/>
              </w:rPr>
            </w:pPr>
            <w:r w:rsidRPr="009C3485">
              <w:rPr>
                <w:sz w:val="20"/>
              </w:rPr>
              <w:t>n</w:t>
            </w:r>
          </w:p>
        </w:tc>
        <w:tc>
          <w:tcPr>
            <w:tcW w:w="1024" w:type="dxa"/>
            <w:shd w:val="clear" w:color="auto" w:fill="0079C1" w:themeFill="text2"/>
            <w:tcMar>
              <w:top w:w="0" w:type="dxa"/>
              <w:left w:w="108" w:type="dxa"/>
              <w:bottom w:w="0" w:type="dxa"/>
              <w:right w:w="108" w:type="dxa"/>
            </w:tcMar>
            <w:vAlign w:val="center"/>
            <w:hideMark/>
          </w:tcPr>
          <w:p w14:paraId="5745DFA6" w14:textId="77777777" w:rsidR="00757B05" w:rsidRPr="009C3485" w:rsidRDefault="00757B05" w:rsidP="00B25C94">
            <w:pPr>
              <w:pStyle w:val="TableHeading1Centred"/>
              <w:rPr>
                <w:sz w:val="20"/>
              </w:rPr>
            </w:pPr>
            <w:r w:rsidRPr="009C3485">
              <w:rPr>
                <w:sz w:val="20"/>
              </w:rPr>
              <w:t>%</w:t>
            </w:r>
          </w:p>
        </w:tc>
        <w:tc>
          <w:tcPr>
            <w:tcW w:w="709" w:type="dxa"/>
            <w:shd w:val="clear" w:color="auto" w:fill="0079C1" w:themeFill="text2"/>
            <w:tcMar>
              <w:top w:w="0" w:type="dxa"/>
              <w:left w:w="108" w:type="dxa"/>
              <w:bottom w:w="0" w:type="dxa"/>
              <w:right w:w="108" w:type="dxa"/>
            </w:tcMar>
            <w:vAlign w:val="center"/>
            <w:hideMark/>
          </w:tcPr>
          <w:p w14:paraId="2EA1CB88" w14:textId="77777777" w:rsidR="00757B05" w:rsidRPr="009C3485" w:rsidRDefault="00757B05" w:rsidP="00B25C94">
            <w:pPr>
              <w:pStyle w:val="TableHeading1Centred"/>
              <w:rPr>
                <w:sz w:val="20"/>
              </w:rPr>
            </w:pPr>
            <w:r w:rsidRPr="009C3485">
              <w:rPr>
                <w:sz w:val="20"/>
              </w:rPr>
              <w:t>n</w:t>
            </w:r>
          </w:p>
        </w:tc>
        <w:tc>
          <w:tcPr>
            <w:tcW w:w="992" w:type="dxa"/>
            <w:shd w:val="clear" w:color="auto" w:fill="0079C1" w:themeFill="text2"/>
            <w:tcMar>
              <w:top w:w="0" w:type="dxa"/>
              <w:left w:w="108" w:type="dxa"/>
              <w:bottom w:w="0" w:type="dxa"/>
              <w:right w:w="108" w:type="dxa"/>
            </w:tcMar>
            <w:vAlign w:val="center"/>
            <w:hideMark/>
          </w:tcPr>
          <w:p w14:paraId="1009ED49" w14:textId="77777777" w:rsidR="00757B05" w:rsidRPr="009C3485" w:rsidRDefault="00757B05" w:rsidP="00B25C94">
            <w:pPr>
              <w:pStyle w:val="TableHeading1Centred"/>
              <w:rPr>
                <w:sz w:val="20"/>
              </w:rPr>
            </w:pPr>
            <w:r w:rsidRPr="009C3485">
              <w:rPr>
                <w:sz w:val="20"/>
              </w:rPr>
              <w:t>%</w:t>
            </w:r>
          </w:p>
        </w:tc>
        <w:tc>
          <w:tcPr>
            <w:tcW w:w="709" w:type="dxa"/>
            <w:shd w:val="clear" w:color="auto" w:fill="0079C1" w:themeFill="text2"/>
            <w:tcMar>
              <w:top w:w="0" w:type="dxa"/>
              <w:left w:w="108" w:type="dxa"/>
              <w:bottom w:w="0" w:type="dxa"/>
              <w:right w:w="108" w:type="dxa"/>
            </w:tcMar>
            <w:vAlign w:val="center"/>
            <w:hideMark/>
          </w:tcPr>
          <w:p w14:paraId="67E0CAEE" w14:textId="77777777" w:rsidR="00757B05" w:rsidRPr="009C3485" w:rsidRDefault="00757B05" w:rsidP="00B25C94">
            <w:pPr>
              <w:pStyle w:val="TableHeading1Centred"/>
              <w:rPr>
                <w:sz w:val="20"/>
              </w:rPr>
            </w:pPr>
            <w:r w:rsidRPr="009C3485">
              <w:rPr>
                <w:sz w:val="20"/>
              </w:rPr>
              <w:t>n</w:t>
            </w:r>
          </w:p>
        </w:tc>
        <w:tc>
          <w:tcPr>
            <w:tcW w:w="999" w:type="dxa"/>
            <w:shd w:val="clear" w:color="auto" w:fill="0079C1" w:themeFill="text2"/>
            <w:tcMar>
              <w:top w:w="0" w:type="dxa"/>
              <w:left w:w="108" w:type="dxa"/>
              <w:bottom w:w="0" w:type="dxa"/>
              <w:right w:w="108" w:type="dxa"/>
            </w:tcMar>
            <w:vAlign w:val="center"/>
            <w:hideMark/>
          </w:tcPr>
          <w:p w14:paraId="35D5FC41" w14:textId="77777777" w:rsidR="00757B05" w:rsidRPr="009C3485" w:rsidRDefault="00757B05" w:rsidP="00B25C94">
            <w:pPr>
              <w:pStyle w:val="TableHeading1Centred"/>
              <w:rPr>
                <w:sz w:val="20"/>
              </w:rPr>
            </w:pPr>
            <w:r w:rsidRPr="009C3485">
              <w:rPr>
                <w:sz w:val="20"/>
              </w:rPr>
              <w:t>%</w:t>
            </w:r>
          </w:p>
        </w:tc>
      </w:tr>
      <w:tr w:rsidR="00936695" w:rsidRPr="009C3485" w14:paraId="3B3C669E" w14:textId="77777777" w:rsidTr="009C3485">
        <w:trPr>
          <w:trHeight w:val="249"/>
        </w:trPr>
        <w:tc>
          <w:tcPr>
            <w:tcW w:w="1318" w:type="dxa"/>
            <w:tcBorders>
              <w:right w:val="single" w:sz="4" w:space="0" w:color="0079C1"/>
            </w:tcBorders>
            <w:tcMar>
              <w:top w:w="0" w:type="dxa"/>
              <w:left w:w="108" w:type="dxa"/>
              <w:bottom w:w="0" w:type="dxa"/>
              <w:right w:w="108" w:type="dxa"/>
            </w:tcMar>
            <w:hideMark/>
          </w:tcPr>
          <w:p w14:paraId="10D76A4C" w14:textId="77777777" w:rsidR="00757B05" w:rsidRPr="009C3485" w:rsidRDefault="00757B05" w:rsidP="00B25C94">
            <w:pPr>
              <w:pStyle w:val="TableText"/>
              <w:rPr>
                <w:sz w:val="20"/>
                <w:szCs w:val="20"/>
              </w:rPr>
            </w:pPr>
            <w:r w:rsidRPr="009C3485">
              <w:rPr>
                <w:sz w:val="20"/>
                <w:szCs w:val="20"/>
              </w:rPr>
              <w:t xml:space="preserve">Very much </w:t>
            </w:r>
          </w:p>
        </w:tc>
        <w:tc>
          <w:tcPr>
            <w:tcW w:w="567" w:type="dxa"/>
            <w:tcBorders>
              <w:left w:val="single" w:sz="4" w:space="0" w:color="0079C1"/>
            </w:tcBorders>
            <w:tcMar>
              <w:top w:w="0" w:type="dxa"/>
              <w:left w:w="108" w:type="dxa"/>
              <w:bottom w:w="0" w:type="dxa"/>
              <w:right w:w="108" w:type="dxa"/>
            </w:tcMar>
            <w:vAlign w:val="center"/>
          </w:tcPr>
          <w:p w14:paraId="3315AE84" w14:textId="77777777" w:rsidR="00757B05" w:rsidRPr="009C3485" w:rsidRDefault="00757B05" w:rsidP="00B25C94">
            <w:pPr>
              <w:pStyle w:val="TableTextCentred"/>
              <w:rPr>
                <w:sz w:val="20"/>
                <w:szCs w:val="20"/>
              </w:rPr>
            </w:pPr>
            <w:r w:rsidRPr="009C3485">
              <w:rPr>
                <w:sz w:val="20"/>
                <w:szCs w:val="20"/>
              </w:rPr>
              <w:t>5</w:t>
            </w:r>
          </w:p>
        </w:tc>
        <w:tc>
          <w:tcPr>
            <w:tcW w:w="882" w:type="dxa"/>
            <w:tcBorders>
              <w:right w:val="single" w:sz="4" w:space="0" w:color="0079C1"/>
            </w:tcBorders>
            <w:tcMar>
              <w:top w:w="0" w:type="dxa"/>
              <w:left w:w="108" w:type="dxa"/>
              <w:bottom w:w="0" w:type="dxa"/>
              <w:right w:w="108" w:type="dxa"/>
            </w:tcMar>
            <w:vAlign w:val="center"/>
          </w:tcPr>
          <w:p w14:paraId="61D4CDAD" w14:textId="77777777" w:rsidR="00757B05" w:rsidRPr="009C3485" w:rsidRDefault="00757B05" w:rsidP="00B25C94">
            <w:pPr>
              <w:pStyle w:val="TableTextCentred"/>
              <w:rPr>
                <w:sz w:val="20"/>
                <w:szCs w:val="20"/>
              </w:rPr>
            </w:pPr>
            <w:r w:rsidRPr="009C3485">
              <w:rPr>
                <w:sz w:val="20"/>
                <w:szCs w:val="20"/>
              </w:rPr>
              <w:t>4.6%</w:t>
            </w:r>
          </w:p>
        </w:tc>
        <w:tc>
          <w:tcPr>
            <w:tcW w:w="635" w:type="dxa"/>
            <w:tcBorders>
              <w:left w:val="single" w:sz="4" w:space="0" w:color="0079C1"/>
            </w:tcBorders>
            <w:tcMar>
              <w:top w:w="0" w:type="dxa"/>
              <w:left w:w="108" w:type="dxa"/>
              <w:bottom w:w="0" w:type="dxa"/>
              <w:right w:w="108" w:type="dxa"/>
            </w:tcMar>
            <w:vAlign w:val="center"/>
          </w:tcPr>
          <w:p w14:paraId="3BE349E1" w14:textId="77777777" w:rsidR="00757B05" w:rsidRPr="009C3485" w:rsidRDefault="00757B05" w:rsidP="00B25C94">
            <w:pPr>
              <w:pStyle w:val="TableTextCentred"/>
              <w:rPr>
                <w:sz w:val="20"/>
                <w:szCs w:val="20"/>
              </w:rPr>
            </w:pPr>
            <w:r w:rsidRPr="009C3485">
              <w:rPr>
                <w:sz w:val="20"/>
                <w:szCs w:val="20"/>
              </w:rPr>
              <w:t>1</w:t>
            </w:r>
          </w:p>
        </w:tc>
        <w:tc>
          <w:tcPr>
            <w:tcW w:w="993" w:type="dxa"/>
            <w:tcBorders>
              <w:right w:val="single" w:sz="4" w:space="0" w:color="0079C1"/>
            </w:tcBorders>
            <w:tcMar>
              <w:top w:w="0" w:type="dxa"/>
              <w:left w:w="108" w:type="dxa"/>
              <w:bottom w:w="0" w:type="dxa"/>
              <w:right w:w="108" w:type="dxa"/>
            </w:tcMar>
            <w:vAlign w:val="center"/>
          </w:tcPr>
          <w:p w14:paraId="19960306" w14:textId="77777777" w:rsidR="00757B05" w:rsidRPr="009C3485" w:rsidRDefault="00757B05" w:rsidP="00B25C94">
            <w:pPr>
              <w:pStyle w:val="TableTextCentred"/>
              <w:rPr>
                <w:sz w:val="20"/>
                <w:szCs w:val="20"/>
              </w:rPr>
            </w:pPr>
            <w:r w:rsidRPr="009C3485">
              <w:rPr>
                <w:sz w:val="20"/>
                <w:szCs w:val="20"/>
              </w:rPr>
              <w:t>1.4%</w:t>
            </w:r>
          </w:p>
        </w:tc>
        <w:tc>
          <w:tcPr>
            <w:tcW w:w="535" w:type="dxa"/>
            <w:tcBorders>
              <w:left w:val="single" w:sz="4" w:space="0" w:color="0079C1"/>
            </w:tcBorders>
            <w:tcMar>
              <w:top w:w="0" w:type="dxa"/>
              <w:left w:w="108" w:type="dxa"/>
              <w:bottom w:w="0" w:type="dxa"/>
              <w:right w:w="108" w:type="dxa"/>
            </w:tcMar>
            <w:vAlign w:val="center"/>
          </w:tcPr>
          <w:p w14:paraId="2AFEBF31" w14:textId="6BCBFC45" w:rsidR="00757B05" w:rsidRPr="009C3485" w:rsidRDefault="00757B05" w:rsidP="00B25C94">
            <w:pPr>
              <w:pStyle w:val="TableTextCentred"/>
              <w:rPr>
                <w:sz w:val="20"/>
                <w:szCs w:val="20"/>
              </w:rPr>
            </w:pPr>
            <w:r w:rsidRPr="009C3485">
              <w:rPr>
                <w:sz w:val="20"/>
                <w:szCs w:val="20"/>
              </w:rPr>
              <w:t>-</w:t>
            </w:r>
          </w:p>
        </w:tc>
        <w:tc>
          <w:tcPr>
            <w:tcW w:w="1024" w:type="dxa"/>
            <w:tcBorders>
              <w:right w:val="single" w:sz="4" w:space="0" w:color="0079C1"/>
            </w:tcBorders>
            <w:tcMar>
              <w:top w:w="0" w:type="dxa"/>
              <w:left w:w="108" w:type="dxa"/>
              <w:bottom w:w="0" w:type="dxa"/>
              <w:right w:w="108" w:type="dxa"/>
            </w:tcMar>
            <w:vAlign w:val="center"/>
          </w:tcPr>
          <w:p w14:paraId="09F9959E" w14:textId="0E5F5AB2" w:rsidR="00757B05" w:rsidRPr="009C3485" w:rsidRDefault="00757B05" w:rsidP="00B25C94">
            <w:pPr>
              <w:pStyle w:val="TableTextCentred"/>
              <w:rPr>
                <w:sz w:val="20"/>
                <w:szCs w:val="20"/>
              </w:rPr>
            </w:pPr>
            <w:r w:rsidRPr="009C3485">
              <w:rPr>
                <w:sz w:val="20"/>
                <w:szCs w:val="20"/>
              </w:rPr>
              <w:t>-</w:t>
            </w:r>
          </w:p>
        </w:tc>
        <w:tc>
          <w:tcPr>
            <w:tcW w:w="709" w:type="dxa"/>
            <w:tcBorders>
              <w:left w:val="single" w:sz="4" w:space="0" w:color="0079C1"/>
            </w:tcBorders>
            <w:tcMar>
              <w:top w:w="0" w:type="dxa"/>
              <w:left w:w="108" w:type="dxa"/>
              <w:bottom w:w="0" w:type="dxa"/>
              <w:right w:w="108" w:type="dxa"/>
            </w:tcMar>
            <w:vAlign w:val="center"/>
          </w:tcPr>
          <w:p w14:paraId="46ED8792" w14:textId="62B6AC89" w:rsidR="00757B05" w:rsidRPr="009C3485" w:rsidRDefault="00757B05" w:rsidP="00B25C94">
            <w:pPr>
              <w:pStyle w:val="TableTextCentred"/>
              <w:rPr>
                <w:sz w:val="20"/>
                <w:szCs w:val="20"/>
              </w:rPr>
            </w:pPr>
            <w:r w:rsidRPr="009C3485">
              <w:rPr>
                <w:sz w:val="20"/>
                <w:szCs w:val="20"/>
              </w:rPr>
              <w:t>-</w:t>
            </w:r>
          </w:p>
        </w:tc>
        <w:tc>
          <w:tcPr>
            <w:tcW w:w="992" w:type="dxa"/>
            <w:tcBorders>
              <w:right w:val="single" w:sz="4" w:space="0" w:color="0079C1"/>
            </w:tcBorders>
            <w:tcMar>
              <w:top w:w="0" w:type="dxa"/>
              <w:left w:w="108" w:type="dxa"/>
              <w:bottom w:w="0" w:type="dxa"/>
              <w:right w:w="108" w:type="dxa"/>
            </w:tcMar>
            <w:vAlign w:val="center"/>
          </w:tcPr>
          <w:p w14:paraId="2176B638" w14:textId="270C4663" w:rsidR="00757B05" w:rsidRPr="009C3485" w:rsidRDefault="00757B05" w:rsidP="00B25C94">
            <w:pPr>
              <w:pStyle w:val="TableTextCentred"/>
              <w:rPr>
                <w:sz w:val="20"/>
                <w:szCs w:val="20"/>
              </w:rPr>
            </w:pPr>
            <w:r w:rsidRPr="009C3485">
              <w:rPr>
                <w:sz w:val="20"/>
                <w:szCs w:val="20"/>
              </w:rPr>
              <w:t>-</w:t>
            </w:r>
          </w:p>
        </w:tc>
        <w:tc>
          <w:tcPr>
            <w:tcW w:w="709" w:type="dxa"/>
            <w:tcBorders>
              <w:left w:val="single" w:sz="4" w:space="0" w:color="0079C1"/>
            </w:tcBorders>
            <w:tcMar>
              <w:top w:w="0" w:type="dxa"/>
              <w:left w:w="108" w:type="dxa"/>
              <w:bottom w:w="0" w:type="dxa"/>
              <w:right w:w="108" w:type="dxa"/>
            </w:tcMar>
            <w:vAlign w:val="center"/>
          </w:tcPr>
          <w:p w14:paraId="62395570" w14:textId="77777777" w:rsidR="00757B05" w:rsidRPr="009C3485" w:rsidRDefault="00757B05" w:rsidP="00B25C94">
            <w:pPr>
              <w:pStyle w:val="TableTextCentred"/>
              <w:rPr>
                <w:rStyle w:val="Bold"/>
                <w:sz w:val="20"/>
                <w:szCs w:val="20"/>
              </w:rPr>
            </w:pPr>
            <w:r w:rsidRPr="009C3485">
              <w:rPr>
                <w:rStyle w:val="Bold"/>
                <w:sz w:val="20"/>
                <w:szCs w:val="20"/>
              </w:rPr>
              <w:t>6</w:t>
            </w:r>
          </w:p>
        </w:tc>
        <w:tc>
          <w:tcPr>
            <w:tcW w:w="999" w:type="dxa"/>
            <w:tcMar>
              <w:top w:w="0" w:type="dxa"/>
              <w:left w:w="108" w:type="dxa"/>
              <w:bottom w:w="0" w:type="dxa"/>
              <w:right w:w="108" w:type="dxa"/>
            </w:tcMar>
            <w:vAlign w:val="center"/>
          </w:tcPr>
          <w:p w14:paraId="4C8F9463" w14:textId="77777777" w:rsidR="00757B05" w:rsidRPr="009C3485" w:rsidRDefault="00757B05" w:rsidP="00B25C94">
            <w:pPr>
              <w:pStyle w:val="TableTextCentred"/>
              <w:rPr>
                <w:rStyle w:val="Bold"/>
                <w:sz w:val="20"/>
                <w:szCs w:val="20"/>
              </w:rPr>
            </w:pPr>
            <w:r w:rsidRPr="009C3485">
              <w:rPr>
                <w:rStyle w:val="Bold"/>
                <w:sz w:val="20"/>
                <w:szCs w:val="20"/>
              </w:rPr>
              <w:t>2.7%</w:t>
            </w:r>
          </w:p>
        </w:tc>
      </w:tr>
      <w:tr w:rsidR="00936695" w:rsidRPr="009C3485" w14:paraId="5D7951A9" w14:textId="77777777" w:rsidTr="009C3485">
        <w:tc>
          <w:tcPr>
            <w:tcW w:w="1318" w:type="dxa"/>
            <w:tcBorders>
              <w:right w:val="single" w:sz="4" w:space="0" w:color="0079C1"/>
            </w:tcBorders>
            <w:tcMar>
              <w:top w:w="0" w:type="dxa"/>
              <w:left w:w="108" w:type="dxa"/>
              <w:bottom w:w="0" w:type="dxa"/>
              <w:right w:w="108" w:type="dxa"/>
            </w:tcMar>
            <w:hideMark/>
          </w:tcPr>
          <w:p w14:paraId="17398E46" w14:textId="77777777" w:rsidR="00757B05" w:rsidRPr="009C3485" w:rsidRDefault="00757B05" w:rsidP="00B25C94">
            <w:pPr>
              <w:pStyle w:val="TableText"/>
              <w:rPr>
                <w:sz w:val="20"/>
                <w:szCs w:val="20"/>
              </w:rPr>
            </w:pPr>
            <w:r w:rsidRPr="009C3485">
              <w:rPr>
                <w:sz w:val="20"/>
                <w:szCs w:val="20"/>
              </w:rPr>
              <w:t>Some what</w:t>
            </w:r>
          </w:p>
        </w:tc>
        <w:tc>
          <w:tcPr>
            <w:tcW w:w="567" w:type="dxa"/>
            <w:tcBorders>
              <w:left w:val="single" w:sz="4" w:space="0" w:color="0079C1"/>
            </w:tcBorders>
            <w:tcMar>
              <w:top w:w="0" w:type="dxa"/>
              <w:left w:w="108" w:type="dxa"/>
              <w:bottom w:w="0" w:type="dxa"/>
              <w:right w:w="108" w:type="dxa"/>
            </w:tcMar>
            <w:vAlign w:val="center"/>
          </w:tcPr>
          <w:p w14:paraId="1613C2DD" w14:textId="77777777" w:rsidR="00757B05" w:rsidRPr="009C3485" w:rsidRDefault="00757B05" w:rsidP="00B25C94">
            <w:pPr>
              <w:pStyle w:val="TableTextCentred"/>
              <w:rPr>
                <w:sz w:val="20"/>
                <w:szCs w:val="20"/>
              </w:rPr>
            </w:pPr>
            <w:r w:rsidRPr="009C3485">
              <w:rPr>
                <w:sz w:val="20"/>
                <w:szCs w:val="20"/>
              </w:rPr>
              <w:t>15</w:t>
            </w:r>
          </w:p>
        </w:tc>
        <w:tc>
          <w:tcPr>
            <w:tcW w:w="882" w:type="dxa"/>
            <w:tcBorders>
              <w:right w:val="single" w:sz="4" w:space="0" w:color="0079C1"/>
            </w:tcBorders>
            <w:tcMar>
              <w:top w:w="0" w:type="dxa"/>
              <w:left w:w="108" w:type="dxa"/>
              <w:bottom w:w="0" w:type="dxa"/>
              <w:right w:w="108" w:type="dxa"/>
            </w:tcMar>
            <w:vAlign w:val="center"/>
          </w:tcPr>
          <w:p w14:paraId="0F274AF1" w14:textId="77777777" w:rsidR="00757B05" w:rsidRPr="009C3485" w:rsidRDefault="00757B05" w:rsidP="00B25C94">
            <w:pPr>
              <w:pStyle w:val="TableTextCentred"/>
              <w:rPr>
                <w:sz w:val="20"/>
                <w:szCs w:val="20"/>
              </w:rPr>
            </w:pPr>
            <w:r w:rsidRPr="009C3485">
              <w:rPr>
                <w:sz w:val="20"/>
                <w:szCs w:val="20"/>
              </w:rPr>
              <w:t>13.9%</w:t>
            </w:r>
          </w:p>
        </w:tc>
        <w:tc>
          <w:tcPr>
            <w:tcW w:w="635" w:type="dxa"/>
            <w:tcBorders>
              <w:left w:val="single" w:sz="4" w:space="0" w:color="0079C1"/>
            </w:tcBorders>
            <w:tcMar>
              <w:top w:w="0" w:type="dxa"/>
              <w:left w:w="108" w:type="dxa"/>
              <w:bottom w:w="0" w:type="dxa"/>
              <w:right w:w="108" w:type="dxa"/>
            </w:tcMar>
            <w:vAlign w:val="center"/>
          </w:tcPr>
          <w:p w14:paraId="7172AAEE" w14:textId="77777777" w:rsidR="00757B05" w:rsidRPr="009C3485" w:rsidRDefault="00757B05" w:rsidP="00B25C94">
            <w:pPr>
              <w:pStyle w:val="TableTextCentred"/>
              <w:rPr>
                <w:sz w:val="20"/>
                <w:szCs w:val="20"/>
              </w:rPr>
            </w:pPr>
            <w:r w:rsidRPr="009C3485">
              <w:rPr>
                <w:sz w:val="20"/>
                <w:szCs w:val="20"/>
              </w:rPr>
              <w:t>4</w:t>
            </w:r>
          </w:p>
        </w:tc>
        <w:tc>
          <w:tcPr>
            <w:tcW w:w="993" w:type="dxa"/>
            <w:tcBorders>
              <w:right w:val="single" w:sz="4" w:space="0" w:color="0079C1"/>
            </w:tcBorders>
            <w:tcMar>
              <w:top w:w="0" w:type="dxa"/>
              <w:left w:w="108" w:type="dxa"/>
              <w:bottom w:w="0" w:type="dxa"/>
              <w:right w:w="108" w:type="dxa"/>
            </w:tcMar>
            <w:vAlign w:val="center"/>
          </w:tcPr>
          <w:p w14:paraId="5714732E" w14:textId="77777777" w:rsidR="00757B05" w:rsidRPr="009C3485" w:rsidRDefault="00757B05" w:rsidP="00B25C94">
            <w:pPr>
              <w:pStyle w:val="TableTextCentred"/>
              <w:rPr>
                <w:sz w:val="20"/>
                <w:szCs w:val="20"/>
              </w:rPr>
            </w:pPr>
            <w:r w:rsidRPr="009C3485">
              <w:rPr>
                <w:sz w:val="20"/>
                <w:szCs w:val="20"/>
              </w:rPr>
              <w:t>5.5%</w:t>
            </w:r>
          </w:p>
        </w:tc>
        <w:tc>
          <w:tcPr>
            <w:tcW w:w="535" w:type="dxa"/>
            <w:tcBorders>
              <w:left w:val="single" w:sz="4" w:space="0" w:color="0079C1"/>
            </w:tcBorders>
            <w:tcMar>
              <w:top w:w="0" w:type="dxa"/>
              <w:left w:w="108" w:type="dxa"/>
              <w:bottom w:w="0" w:type="dxa"/>
              <w:right w:w="108" w:type="dxa"/>
            </w:tcMar>
            <w:vAlign w:val="center"/>
          </w:tcPr>
          <w:p w14:paraId="46939C2E" w14:textId="77777777" w:rsidR="00757B05" w:rsidRPr="009C3485" w:rsidRDefault="00757B05" w:rsidP="00B25C94">
            <w:pPr>
              <w:pStyle w:val="TableTextCentred"/>
              <w:rPr>
                <w:sz w:val="20"/>
                <w:szCs w:val="20"/>
              </w:rPr>
            </w:pPr>
            <w:r w:rsidRPr="009C3485">
              <w:rPr>
                <w:sz w:val="20"/>
                <w:szCs w:val="20"/>
              </w:rPr>
              <w:t>1</w:t>
            </w:r>
          </w:p>
        </w:tc>
        <w:tc>
          <w:tcPr>
            <w:tcW w:w="1024" w:type="dxa"/>
            <w:tcBorders>
              <w:right w:val="single" w:sz="4" w:space="0" w:color="0079C1"/>
            </w:tcBorders>
            <w:tcMar>
              <w:top w:w="0" w:type="dxa"/>
              <w:left w:w="108" w:type="dxa"/>
              <w:bottom w:w="0" w:type="dxa"/>
              <w:right w:w="108" w:type="dxa"/>
            </w:tcMar>
            <w:vAlign w:val="center"/>
          </w:tcPr>
          <w:p w14:paraId="27DB5CD7" w14:textId="77777777" w:rsidR="00757B05" w:rsidRPr="009C3485" w:rsidRDefault="00757B05" w:rsidP="00B25C94">
            <w:pPr>
              <w:pStyle w:val="TableTextCentred"/>
              <w:rPr>
                <w:sz w:val="20"/>
                <w:szCs w:val="20"/>
              </w:rPr>
            </w:pPr>
            <w:r w:rsidRPr="009C3485">
              <w:rPr>
                <w:sz w:val="20"/>
                <w:szCs w:val="20"/>
              </w:rPr>
              <w:t>5.3%</w:t>
            </w:r>
          </w:p>
        </w:tc>
        <w:tc>
          <w:tcPr>
            <w:tcW w:w="709" w:type="dxa"/>
            <w:tcBorders>
              <w:left w:val="single" w:sz="4" w:space="0" w:color="0079C1"/>
            </w:tcBorders>
            <w:tcMar>
              <w:top w:w="0" w:type="dxa"/>
              <w:left w:w="108" w:type="dxa"/>
              <w:bottom w:w="0" w:type="dxa"/>
              <w:right w:w="108" w:type="dxa"/>
            </w:tcMar>
            <w:vAlign w:val="center"/>
          </w:tcPr>
          <w:p w14:paraId="25856C90" w14:textId="77777777" w:rsidR="00757B05" w:rsidRPr="009C3485" w:rsidRDefault="00757B05" w:rsidP="00B25C94">
            <w:pPr>
              <w:pStyle w:val="TableTextCentred"/>
              <w:rPr>
                <w:sz w:val="20"/>
                <w:szCs w:val="20"/>
              </w:rPr>
            </w:pPr>
            <w:r w:rsidRPr="009C3485">
              <w:rPr>
                <w:sz w:val="20"/>
                <w:szCs w:val="20"/>
              </w:rPr>
              <w:t>1</w:t>
            </w:r>
          </w:p>
        </w:tc>
        <w:tc>
          <w:tcPr>
            <w:tcW w:w="992" w:type="dxa"/>
            <w:tcBorders>
              <w:right w:val="single" w:sz="4" w:space="0" w:color="0079C1"/>
            </w:tcBorders>
            <w:tcMar>
              <w:top w:w="0" w:type="dxa"/>
              <w:left w:w="108" w:type="dxa"/>
              <w:bottom w:w="0" w:type="dxa"/>
              <w:right w:w="108" w:type="dxa"/>
            </w:tcMar>
            <w:vAlign w:val="center"/>
          </w:tcPr>
          <w:p w14:paraId="0AA29C98" w14:textId="77777777" w:rsidR="00757B05" w:rsidRPr="009C3485" w:rsidRDefault="00757B05" w:rsidP="00B25C94">
            <w:pPr>
              <w:pStyle w:val="TableTextCentred"/>
              <w:rPr>
                <w:sz w:val="20"/>
                <w:szCs w:val="20"/>
              </w:rPr>
            </w:pPr>
            <w:r w:rsidRPr="009C3485">
              <w:rPr>
                <w:sz w:val="20"/>
                <w:szCs w:val="20"/>
              </w:rPr>
              <w:t>5%</w:t>
            </w:r>
          </w:p>
        </w:tc>
        <w:tc>
          <w:tcPr>
            <w:tcW w:w="709" w:type="dxa"/>
            <w:tcBorders>
              <w:left w:val="single" w:sz="4" w:space="0" w:color="0079C1"/>
            </w:tcBorders>
            <w:tcMar>
              <w:top w:w="0" w:type="dxa"/>
              <w:left w:w="108" w:type="dxa"/>
              <w:bottom w:w="0" w:type="dxa"/>
              <w:right w:w="108" w:type="dxa"/>
            </w:tcMar>
            <w:vAlign w:val="center"/>
          </w:tcPr>
          <w:p w14:paraId="1B5E2340" w14:textId="77777777" w:rsidR="00757B05" w:rsidRPr="009C3485" w:rsidRDefault="00757B05" w:rsidP="00B25C94">
            <w:pPr>
              <w:pStyle w:val="TableTextCentred"/>
              <w:rPr>
                <w:rStyle w:val="Bold"/>
                <w:sz w:val="20"/>
                <w:szCs w:val="20"/>
              </w:rPr>
            </w:pPr>
            <w:r w:rsidRPr="009C3485">
              <w:rPr>
                <w:rStyle w:val="Bold"/>
                <w:sz w:val="20"/>
                <w:szCs w:val="20"/>
              </w:rPr>
              <w:t>21</w:t>
            </w:r>
          </w:p>
        </w:tc>
        <w:tc>
          <w:tcPr>
            <w:tcW w:w="999" w:type="dxa"/>
            <w:tcMar>
              <w:top w:w="0" w:type="dxa"/>
              <w:left w:w="108" w:type="dxa"/>
              <w:bottom w:w="0" w:type="dxa"/>
              <w:right w:w="108" w:type="dxa"/>
            </w:tcMar>
            <w:vAlign w:val="center"/>
          </w:tcPr>
          <w:p w14:paraId="057B124A" w14:textId="77777777" w:rsidR="00757B05" w:rsidRPr="009C3485" w:rsidRDefault="00757B05" w:rsidP="00B25C94">
            <w:pPr>
              <w:pStyle w:val="TableTextCentred"/>
              <w:rPr>
                <w:rStyle w:val="Bold"/>
                <w:sz w:val="20"/>
                <w:szCs w:val="20"/>
              </w:rPr>
            </w:pPr>
            <w:r w:rsidRPr="009C3485">
              <w:rPr>
                <w:rStyle w:val="Bold"/>
                <w:sz w:val="20"/>
                <w:szCs w:val="20"/>
              </w:rPr>
              <w:t>9.5%</w:t>
            </w:r>
          </w:p>
        </w:tc>
      </w:tr>
      <w:tr w:rsidR="00B25C94" w:rsidRPr="009C3485" w14:paraId="15F8E952" w14:textId="77777777" w:rsidTr="009C3485">
        <w:tc>
          <w:tcPr>
            <w:tcW w:w="1318" w:type="dxa"/>
            <w:tcBorders>
              <w:right w:val="single" w:sz="4" w:space="0" w:color="0079C1"/>
            </w:tcBorders>
            <w:shd w:val="clear" w:color="auto" w:fill="E2F4FF" w:themeFill="accent1" w:themeFillTint="33"/>
            <w:tcMar>
              <w:top w:w="0" w:type="dxa"/>
              <w:left w:w="108" w:type="dxa"/>
              <w:bottom w:w="0" w:type="dxa"/>
              <w:right w:w="108" w:type="dxa"/>
            </w:tcMar>
            <w:hideMark/>
          </w:tcPr>
          <w:p w14:paraId="123EA3C1" w14:textId="77777777" w:rsidR="00757B05" w:rsidRPr="009C3485" w:rsidRDefault="00757B05" w:rsidP="00B25C94">
            <w:pPr>
              <w:pStyle w:val="TableText"/>
              <w:rPr>
                <w:sz w:val="20"/>
                <w:szCs w:val="20"/>
              </w:rPr>
            </w:pPr>
            <w:r w:rsidRPr="009C3485">
              <w:rPr>
                <w:sz w:val="20"/>
                <w:szCs w:val="20"/>
              </w:rPr>
              <w:t>Subtotal</w:t>
            </w:r>
          </w:p>
        </w:tc>
        <w:tc>
          <w:tcPr>
            <w:tcW w:w="567" w:type="dxa"/>
            <w:tcBorders>
              <w:left w:val="single" w:sz="4" w:space="0" w:color="0079C1"/>
            </w:tcBorders>
            <w:shd w:val="clear" w:color="auto" w:fill="E2F4FF" w:themeFill="accent1" w:themeFillTint="33"/>
            <w:tcMar>
              <w:top w:w="0" w:type="dxa"/>
              <w:left w:w="108" w:type="dxa"/>
              <w:bottom w:w="0" w:type="dxa"/>
              <w:right w:w="108" w:type="dxa"/>
            </w:tcMar>
            <w:vAlign w:val="center"/>
          </w:tcPr>
          <w:p w14:paraId="081CD10C" w14:textId="77777777" w:rsidR="00757B05" w:rsidRPr="009C3485" w:rsidRDefault="00757B05" w:rsidP="00B25C94">
            <w:pPr>
              <w:pStyle w:val="TableTextCentred"/>
              <w:rPr>
                <w:sz w:val="20"/>
                <w:szCs w:val="20"/>
              </w:rPr>
            </w:pPr>
            <w:r w:rsidRPr="009C3485">
              <w:rPr>
                <w:sz w:val="20"/>
                <w:szCs w:val="20"/>
              </w:rPr>
              <w:t>20</w:t>
            </w:r>
          </w:p>
        </w:tc>
        <w:tc>
          <w:tcPr>
            <w:tcW w:w="882" w:type="dxa"/>
            <w:tcBorders>
              <w:right w:val="single" w:sz="4" w:space="0" w:color="0079C1"/>
            </w:tcBorders>
            <w:shd w:val="clear" w:color="auto" w:fill="E2F4FF" w:themeFill="accent1" w:themeFillTint="33"/>
            <w:tcMar>
              <w:top w:w="0" w:type="dxa"/>
              <w:left w:w="108" w:type="dxa"/>
              <w:bottom w:w="0" w:type="dxa"/>
              <w:right w:w="108" w:type="dxa"/>
            </w:tcMar>
            <w:vAlign w:val="center"/>
          </w:tcPr>
          <w:p w14:paraId="548C7A19" w14:textId="77777777" w:rsidR="00757B05" w:rsidRPr="009C3485" w:rsidRDefault="00757B05" w:rsidP="00B25C94">
            <w:pPr>
              <w:pStyle w:val="TableTextCentred"/>
              <w:rPr>
                <w:sz w:val="20"/>
                <w:szCs w:val="20"/>
              </w:rPr>
            </w:pPr>
            <w:r w:rsidRPr="009C3485">
              <w:rPr>
                <w:sz w:val="20"/>
                <w:szCs w:val="20"/>
              </w:rPr>
              <w:t>18.5%</w:t>
            </w:r>
          </w:p>
        </w:tc>
        <w:tc>
          <w:tcPr>
            <w:tcW w:w="635" w:type="dxa"/>
            <w:tcBorders>
              <w:left w:val="single" w:sz="4" w:space="0" w:color="0079C1"/>
            </w:tcBorders>
            <w:shd w:val="clear" w:color="auto" w:fill="E2F4FF" w:themeFill="accent1" w:themeFillTint="33"/>
            <w:tcMar>
              <w:top w:w="0" w:type="dxa"/>
              <w:left w:w="108" w:type="dxa"/>
              <w:bottom w:w="0" w:type="dxa"/>
              <w:right w:w="108" w:type="dxa"/>
            </w:tcMar>
            <w:vAlign w:val="center"/>
          </w:tcPr>
          <w:p w14:paraId="2C34E886" w14:textId="77777777" w:rsidR="00757B05" w:rsidRPr="009C3485" w:rsidRDefault="00757B05" w:rsidP="00B25C94">
            <w:pPr>
              <w:pStyle w:val="TableTextCentred"/>
              <w:rPr>
                <w:sz w:val="20"/>
                <w:szCs w:val="20"/>
              </w:rPr>
            </w:pPr>
            <w:r w:rsidRPr="009C3485">
              <w:rPr>
                <w:sz w:val="20"/>
                <w:szCs w:val="20"/>
              </w:rPr>
              <w:t>5</w:t>
            </w:r>
          </w:p>
        </w:tc>
        <w:tc>
          <w:tcPr>
            <w:tcW w:w="993" w:type="dxa"/>
            <w:tcBorders>
              <w:right w:val="single" w:sz="4" w:space="0" w:color="0079C1"/>
            </w:tcBorders>
            <w:shd w:val="clear" w:color="auto" w:fill="E2F4FF" w:themeFill="accent1" w:themeFillTint="33"/>
            <w:tcMar>
              <w:top w:w="0" w:type="dxa"/>
              <w:left w:w="108" w:type="dxa"/>
              <w:bottom w:w="0" w:type="dxa"/>
              <w:right w:w="108" w:type="dxa"/>
            </w:tcMar>
            <w:vAlign w:val="center"/>
          </w:tcPr>
          <w:p w14:paraId="04C9358C" w14:textId="77777777" w:rsidR="00757B05" w:rsidRPr="009C3485" w:rsidRDefault="00757B05" w:rsidP="00B25C94">
            <w:pPr>
              <w:pStyle w:val="TableTextCentred"/>
              <w:rPr>
                <w:sz w:val="20"/>
                <w:szCs w:val="20"/>
              </w:rPr>
            </w:pPr>
            <w:r w:rsidRPr="009C3485">
              <w:rPr>
                <w:sz w:val="20"/>
                <w:szCs w:val="20"/>
              </w:rPr>
              <w:t>6.9%</w:t>
            </w:r>
          </w:p>
        </w:tc>
        <w:tc>
          <w:tcPr>
            <w:tcW w:w="535" w:type="dxa"/>
            <w:tcBorders>
              <w:left w:val="single" w:sz="4" w:space="0" w:color="0079C1"/>
            </w:tcBorders>
            <w:shd w:val="clear" w:color="auto" w:fill="E2F4FF" w:themeFill="accent1" w:themeFillTint="33"/>
            <w:tcMar>
              <w:top w:w="0" w:type="dxa"/>
              <w:left w:w="108" w:type="dxa"/>
              <w:bottom w:w="0" w:type="dxa"/>
              <w:right w:w="108" w:type="dxa"/>
            </w:tcMar>
            <w:vAlign w:val="center"/>
          </w:tcPr>
          <w:p w14:paraId="3617FFAC" w14:textId="77777777" w:rsidR="00757B05" w:rsidRPr="009C3485" w:rsidRDefault="00757B05" w:rsidP="00B25C94">
            <w:pPr>
              <w:pStyle w:val="TableTextCentred"/>
              <w:rPr>
                <w:sz w:val="20"/>
                <w:szCs w:val="20"/>
              </w:rPr>
            </w:pPr>
            <w:r w:rsidRPr="009C3485">
              <w:rPr>
                <w:sz w:val="20"/>
                <w:szCs w:val="20"/>
              </w:rPr>
              <w:t>1</w:t>
            </w:r>
          </w:p>
        </w:tc>
        <w:tc>
          <w:tcPr>
            <w:tcW w:w="1024" w:type="dxa"/>
            <w:tcBorders>
              <w:right w:val="single" w:sz="4" w:space="0" w:color="0079C1"/>
            </w:tcBorders>
            <w:shd w:val="clear" w:color="auto" w:fill="E2F4FF" w:themeFill="accent1" w:themeFillTint="33"/>
            <w:tcMar>
              <w:top w:w="0" w:type="dxa"/>
              <w:left w:w="108" w:type="dxa"/>
              <w:bottom w:w="0" w:type="dxa"/>
              <w:right w:w="108" w:type="dxa"/>
            </w:tcMar>
            <w:vAlign w:val="center"/>
          </w:tcPr>
          <w:p w14:paraId="51B82BB8" w14:textId="77777777" w:rsidR="00757B05" w:rsidRPr="009C3485" w:rsidRDefault="00757B05" w:rsidP="00B25C94">
            <w:pPr>
              <w:pStyle w:val="TableTextCentred"/>
              <w:rPr>
                <w:sz w:val="20"/>
                <w:szCs w:val="20"/>
              </w:rPr>
            </w:pPr>
            <w:r w:rsidRPr="009C3485">
              <w:rPr>
                <w:sz w:val="20"/>
                <w:szCs w:val="20"/>
              </w:rPr>
              <w:t>5.3%</w:t>
            </w:r>
          </w:p>
        </w:tc>
        <w:tc>
          <w:tcPr>
            <w:tcW w:w="709" w:type="dxa"/>
            <w:tcBorders>
              <w:left w:val="single" w:sz="4" w:space="0" w:color="0079C1"/>
            </w:tcBorders>
            <w:shd w:val="clear" w:color="auto" w:fill="E2F4FF" w:themeFill="accent1" w:themeFillTint="33"/>
            <w:tcMar>
              <w:top w:w="0" w:type="dxa"/>
              <w:left w:w="108" w:type="dxa"/>
              <w:bottom w:w="0" w:type="dxa"/>
              <w:right w:w="108" w:type="dxa"/>
            </w:tcMar>
            <w:vAlign w:val="center"/>
          </w:tcPr>
          <w:p w14:paraId="21722190" w14:textId="77777777" w:rsidR="00757B05" w:rsidRPr="009C3485" w:rsidRDefault="00757B05" w:rsidP="00B25C94">
            <w:pPr>
              <w:pStyle w:val="TableTextCentred"/>
              <w:rPr>
                <w:sz w:val="20"/>
                <w:szCs w:val="20"/>
              </w:rPr>
            </w:pPr>
            <w:r w:rsidRPr="009C3485">
              <w:rPr>
                <w:sz w:val="20"/>
                <w:szCs w:val="20"/>
              </w:rPr>
              <w:t>1</w:t>
            </w:r>
          </w:p>
        </w:tc>
        <w:tc>
          <w:tcPr>
            <w:tcW w:w="992" w:type="dxa"/>
            <w:tcBorders>
              <w:right w:val="single" w:sz="4" w:space="0" w:color="0079C1"/>
            </w:tcBorders>
            <w:shd w:val="clear" w:color="auto" w:fill="E2F4FF" w:themeFill="accent1" w:themeFillTint="33"/>
            <w:tcMar>
              <w:top w:w="0" w:type="dxa"/>
              <w:left w:w="108" w:type="dxa"/>
              <w:bottom w:w="0" w:type="dxa"/>
              <w:right w:w="108" w:type="dxa"/>
            </w:tcMar>
            <w:vAlign w:val="center"/>
          </w:tcPr>
          <w:p w14:paraId="327E647C" w14:textId="77777777" w:rsidR="00757B05" w:rsidRPr="009C3485" w:rsidRDefault="00757B05" w:rsidP="00B25C94">
            <w:pPr>
              <w:pStyle w:val="TableTextCentred"/>
              <w:rPr>
                <w:sz w:val="20"/>
                <w:szCs w:val="20"/>
              </w:rPr>
            </w:pPr>
            <w:r w:rsidRPr="009C3485">
              <w:rPr>
                <w:sz w:val="20"/>
                <w:szCs w:val="20"/>
              </w:rPr>
              <w:t>5.0%</w:t>
            </w:r>
          </w:p>
        </w:tc>
        <w:tc>
          <w:tcPr>
            <w:tcW w:w="709" w:type="dxa"/>
            <w:tcBorders>
              <w:left w:val="single" w:sz="4" w:space="0" w:color="0079C1"/>
            </w:tcBorders>
            <w:shd w:val="clear" w:color="auto" w:fill="E2F4FF" w:themeFill="accent1" w:themeFillTint="33"/>
            <w:tcMar>
              <w:top w:w="0" w:type="dxa"/>
              <w:left w:w="108" w:type="dxa"/>
              <w:bottom w:w="0" w:type="dxa"/>
              <w:right w:w="108" w:type="dxa"/>
            </w:tcMar>
            <w:vAlign w:val="center"/>
          </w:tcPr>
          <w:p w14:paraId="35E1B45A" w14:textId="77777777" w:rsidR="00757B05" w:rsidRPr="009C3485" w:rsidRDefault="00757B05" w:rsidP="00B25C94">
            <w:pPr>
              <w:pStyle w:val="TableTextCentred"/>
              <w:rPr>
                <w:rStyle w:val="Bold"/>
                <w:sz w:val="20"/>
                <w:szCs w:val="20"/>
              </w:rPr>
            </w:pPr>
            <w:r w:rsidRPr="009C3485">
              <w:rPr>
                <w:rStyle w:val="Bold"/>
                <w:sz w:val="20"/>
                <w:szCs w:val="20"/>
              </w:rPr>
              <w:t>27</w:t>
            </w:r>
          </w:p>
        </w:tc>
        <w:tc>
          <w:tcPr>
            <w:tcW w:w="999" w:type="dxa"/>
            <w:shd w:val="clear" w:color="auto" w:fill="E2F4FF" w:themeFill="accent1" w:themeFillTint="33"/>
            <w:tcMar>
              <w:top w:w="0" w:type="dxa"/>
              <w:left w:w="108" w:type="dxa"/>
              <w:bottom w:w="0" w:type="dxa"/>
              <w:right w:w="108" w:type="dxa"/>
            </w:tcMar>
            <w:vAlign w:val="center"/>
          </w:tcPr>
          <w:p w14:paraId="2ED0A93A" w14:textId="77777777" w:rsidR="00757B05" w:rsidRPr="009C3485" w:rsidRDefault="00757B05" w:rsidP="00B25C94">
            <w:pPr>
              <w:pStyle w:val="TableTextCentred"/>
              <w:rPr>
                <w:rStyle w:val="Bold"/>
                <w:sz w:val="20"/>
                <w:szCs w:val="20"/>
              </w:rPr>
            </w:pPr>
            <w:r w:rsidRPr="009C3485">
              <w:rPr>
                <w:rStyle w:val="Bold"/>
                <w:sz w:val="20"/>
                <w:szCs w:val="20"/>
              </w:rPr>
              <w:t>12.3%</w:t>
            </w:r>
          </w:p>
        </w:tc>
      </w:tr>
      <w:tr w:rsidR="00936695" w:rsidRPr="009C3485" w14:paraId="5D53674A" w14:textId="77777777" w:rsidTr="009C3485">
        <w:trPr>
          <w:trHeight w:val="251"/>
        </w:trPr>
        <w:tc>
          <w:tcPr>
            <w:tcW w:w="1318" w:type="dxa"/>
            <w:tcBorders>
              <w:right w:val="single" w:sz="4" w:space="0" w:color="0079C1"/>
            </w:tcBorders>
            <w:tcMar>
              <w:top w:w="0" w:type="dxa"/>
              <w:left w:w="108" w:type="dxa"/>
              <w:bottom w:w="0" w:type="dxa"/>
              <w:right w:w="108" w:type="dxa"/>
            </w:tcMar>
            <w:hideMark/>
          </w:tcPr>
          <w:p w14:paraId="091B9AB3" w14:textId="77777777" w:rsidR="00757B05" w:rsidRPr="009C3485" w:rsidRDefault="00757B05" w:rsidP="00B25C94">
            <w:pPr>
              <w:pStyle w:val="TableText"/>
              <w:rPr>
                <w:sz w:val="20"/>
                <w:szCs w:val="20"/>
              </w:rPr>
            </w:pPr>
            <w:r w:rsidRPr="009C3485">
              <w:rPr>
                <w:sz w:val="20"/>
                <w:szCs w:val="20"/>
              </w:rPr>
              <w:t>Neutral</w:t>
            </w:r>
          </w:p>
        </w:tc>
        <w:tc>
          <w:tcPr>
            <w:tcW w:w="567" w:type="dxa"/>
            <w:tcBorders>
              <w:left w:val="single" w:sz="4" w:space="0" w:color="0079C1"/>
            </w:tcBorders>
            <w:tcMar>
              <w:top w:w="0" w:type="dxa"/>
              <w:left w:w="108" w:type="dxa"/>
              <w:bottom w:w="0" w:type="dxa"/>
              <w:right w:w="108" w:type="dxa"/>
            </w:tcMar>
            <w:vAlign w:val="center"/>
          </w:tcPr>
          <w:p w14:paraId="030A8971" w14:textId="77777777" w:rsidR="00757B05" w:rsidRPr="009C3485" w:rsidRDefault="00757B05" w:rsidP="00B25C94">
            <w:pPr>
              <w:pStyle w:val="TableTextCentred"/>
              <w:rPr>
                <w:sz w:val="20"/>
                <w:szCs w:val="20"/>
              </w:rPr>
            </w:pPr>
            <w:r w:rsidRPr="009C3485">
              <w:rPr>
                <w:sz w:val="20"/>
                <w:szCs w:val="20"/>
              </w:rPr>
              <w:t>32</w:t>
            </w:r>
          </w:p>
        </w:tc>
        <w:tc>
          <w:tcPr>
            <w:tcW w:w="882" w:type="dxa"/>
            <w:tcBorders>
              <w:right w:val="single" w:sz="4" w:space="0" w:color="0079C1"/>
            </w:tcBorders>
            <w:tcMar>
              <w:top w:w="0" w:type="dxa"/>
              <w:left w:w="108" w:type="dxa"/>
              <w:bottom w:w="0" w:type="dxa"/>
              <w:right w:w="108" w:type="dxa"/>
            </w:tcMar>
            <w:vAlign w:val="center"/>
          </w:tcPr>
          <w:p w14:paraId="4647614F" w14:textId="77777777" w:rsidR="00757B05" w:rsidRPr="009C3485" w:rsidRDefault="00757B05" w:rsidP="00B25C94">
            <w:pPr>
              <w:pStyle w:val="TableTextCentred"/>
              <w:rPr>
                <w:sz w:val="20"/>
                <w:szCs w:val="20"/>
              </w:rPr>
            </w:pPr>
            <w:r w:rsidRPr="009C3485">
              <w:rPr>
                <w:sz w:val="20"/>
                <w:szCs w:val="20"/>
              </w:rPr>
              <w:t>29.6%</w:t>
            </w:r>
          </w:p>
        </w:tc>
        <w:tc>
          <w:tcPr>
            <w:tcW w:w="635" w:type="dxa"/>
            <w:tcBorders>
              <w:left w:val="single" w:sz="4" w:space="0" w:color="0079C1"/>
            </w:tcBorders>
            <w:tcMar>
              <w:top w:w="0" w:type="dxa"/>
              <w:left w:w="108" w:type="dxa"/>
              <w:bottom w:w="0" w:type="dxa"/>
              <w:right w:w="108" w:type="dxa"/>
            </w:tcMar>
            <w:vAlign w:val="center"/>
          </w:tcPr>
          <w:p w14:paraId="3B6CE274" w14:textId="77777777" w:rsidR="00757B05" w:rsidRPr="009C3485" w:rsidRDefault="00757B05" w:rsidP="00B25C94">
            <w:pPr>
              <w:pStyle w:val="TableTextCentred"/>
              <w:rPr>
                <w:sz w:val="20"/>
                <w:szCs w:val="20"/>
              </w:rPr>
            </w:pPr>
            <w:r w:rsidRPr="009C3485">
              <w:rPr>
                <w:sz w:val="20"/>
                <w:szCs w:val="20"/>
              </w:rPr>
              <w:t>14</w:t>
            </w:r>
          </w:p>
        </w:tc>
        <w:tc>
          <w:tcPr>
            <w:tcW w:w="993" w:type="dxa"/>
            <w:tcBorders>
              <w:right w:val="single" w:sz="4" w:space="0" w:color="0079C1"/>
            </w:tcBorders>
            <w:tcMar>
              <w:top w:w="0" w:type="dxa"/>
              <w:left w:w="108" w:type="dxa"/>
              <w:bottom w:w="0" w:type="dxa"/>
              <w:right w:w="108" w:type="dxa"/>
            </w:tcMar>
            <w:vAlign w:val="center"/>
          </w:tcPr>
          <w:p w14:paraId="5B3842F2" w14:textId="77777777" w:rsidR="00757B05" w:rsidRPr="009C3485" w:rsidRDefault="00757B05" w:rsidP="00B25C94">
            <w:pPr>
              <w:pStyle w:val="TableTextCentred"/>
              <w:rPr>
                <w:sz w:val="20"/>
                <w:szCs w:val="20"/>
              </w:rPr>
            </w:pPr>
            <w:r w:rsidRPr="009C3485">
              <w:rPr>
                <w:sz w:val="20"/>
                <w:szCs w:val="20"/>
              </w:rPr>
              <w:t>19.2%</w:t>
            </w:r>
          </w:p>
        </w:tc>
        <w:tc>
          <w:tcPr>
            <w:tcW w:w="535" w:type="dxa"/>
            <w:tcBorders>
              <w:left w:val="single" w:sz="4" w:space="0" w:color="0079C1"/>
            </w:tcBorders>
            <w:tcMar>
              <w:top w:w="0" w:type="dxa"/>
              <w:left w:w="108" w:type="dxa"/>
              <w:bottom w:w="0" w:type="dxa"/>
              <w:right w:w="108" w:type="dxa"/>
            </w:tcMar>
            <w:vAlign w:val="center"/>
          </w:tcPr>
          <w:p w14:paraId="186D30B5" w14:textId="77777777" w:rsidR="00757B05" w:rsidRPr="009C3485" w:rsidRDefault="00757B05" w:rsidP="00B25C94">
            <w:pPr>
              <w:pStyle w:val="TableTextCentred"/>
              <w:rPr>
                <w:sz w:val="20"/>
                <w:szCs w:val="20"/>
              </w:rPr>
            </w:pPr>
            <w:r w:rsidRPr="009C3485">
              <w:rPr>
                <w:sz w:val="20"/>
                <w:szCs w:val="20"/>
              </w:rPr>
              <w:t>4</w:t>
            </w:r>
          </w:p>
        </w:tc>
        <w:tc>
          <w:tcPr>
            <w:tcW w:w="1024" w:type="dxa"/>
            <w:tcBorders>
              <w:right w:val="single" w:sz="4" w:space="0" w:color="0079C1"/>
            </w:tcBorders>
            <w:tcMar>
              <w:top w:w="0" w:type="dxa"/>
              <w:left w:w="108" w:type="dxa"/>
              <w:bottom w:w="0" w:type="dxa"/>
              <w:right w:w="108" w:type="dxa"/>
            </w:tcMar>
            <w:vAlign w:val="center"/>
          </w:tcPr>
          <w:p w14:paraId="2FF24DB9" w14:textId="77777777" w:rsidR="00757B05" w:rsidRPr="009C3485" w:rsidRDefault="00757B05" w:rsidP="00B25C94">
            <w:pPr>
              <w:pStyle w:val="TableTextCentred"/>
              <w:rPr>
                <w:sz w:val="20"/>
                <w:szCs w:val="20"/>
              </w:rPr>
            </w:pPr>
            <w:r w:rsidRPr="009C3485">
              <w:rPr>
                <w:sz w:val="20"/>
                <w:szCs w:val="20"/>
              </w:rPr>
              <w:t>21.1%</w:t>
            </w:r>
          </w:p>
        </w:tc>
        <w:tc>
          <w:tcPr>
            <w:tcW w:w="709" w:type="dxa"/>
            <w:tcBorders>
              <w:left w:val="single" w:sz="4" w:space="0" w:color="0079C1"/>
            </w:tcBorders>
            <w:tcMar>
              <w:top w:w="0" w:type="dxa"/>
              <w:left w:w="108" w:type="dxa"/>
              <w:bottom w:w="0" w:type="dxa"/>
              <w:right w:w="108" w:type="dxa"/>
            </w:tcMar>
            <w:vAlign w:val="center"/>
          </w:tcPr>
          <w:p w14:paraId="7D9C6DFF" w14:textId="77777777" w:rsidR="00757B05" w:rsidRPr="009C3485" w:rsidRDefault="00757B05" w:rsidP="00B25C94">
            <w:pPr>
              <w:pStyle w:val="TableTextCentred"/>
              <w:rPr>
                <w:sz w:val="20"/>
                <w:szCs w:val="20"/>
              </w:rPr>
            </w:pPr>
            <w:r w:rsidRPr="009C3485">
              <w:rPr>
                <w:sz w:val="20"/>
                <w:szCs w:val="20"/>
              </w:rPr>
              <w:t>8</w:t>
            </w:r>
          </w:p>
        </w:tc>
        <w:tc>
          <w:tcPr>
            <w:tcW w:w="992" w:type="dxa"/>
            <w:tcBorders>
              <w:right w:val="single" w:sz="4" w:space="0" w:color="0079C1"/>
            </w:tcBorders>
            <w:tcMar>
              <w:top w:w="0" w:type="dxa"/>
              <w:left w:w="108" w:type="dxa"/>
              <w:bottom w:w="0" w:type="dxa"/>
              <w:right w:w="108" w:type="dxa"/>
            </w:tcMar>
            <w:vAlign w:val="center"/>
          </w:tcPr>
          <w:p w14:paraId="7534CDE3" w14:textId="77777777" w:rsidR="00757B05" w:rsidRPr="009C3485" w:rsidRDefault="00757B05" w:rsidP="00B25C94">
            <w:pPr>
              <w:pStyle w:val="TableTextCentred"/>
              <w:rPr>
                <w:sz w:val="20"/>
                <w:szCs w:val="20"/>
              </w:rPr>
            </w:pPr>
            <w:r w:rsidRPr="009C3485">
              <w:rPr>
                <w:sz w:val="20"/>
                <w:szCs w:val="20"/>
              </w:rPr>
              <w:t>40%</w:t>
            </w:r>
          </w:p>
        </w:tc>
        <w:tc>
          <w:tcPr>
            <w:tcW w:w="709" w:type="dxa"/>
            <w:tcBorders>
              <w:left w:val="single" w:sz="4" w:space="0" w:color="0079C1"/>
            </w:tcBorders>
            <w:tcMar>
              <w:top w:w="0" w:type="dxa"/>
              <w:left w:w="108" w:type="dxa"/>
              <w:bottom w:w="0" w:type="dxa"/>
              <w:right w:w="108" w:type="dxa"/>
            </w:tcMar>
            <w:vAlign w:val="center"/>
          </w:tcPr>
          <w:p w14:paraId="05CB8038" w14:textId="77777777" w:rsidR="00757B05" w:rsidRPr="009C3485" w:rsidRDefault="00757B05" w:rsidP="00B25C94">
            <w:pPr>
              <w:pStyle w:val="TableTextCentred"/>
              <w:rPr>
                <w:rStyle w:val="Bold"/>
                <w:sz w:val="20"/>
                <w:szCs w:val="20"/>
              </w:rPr>
            </w:pPr>
            <w:r w:rsidRPr="009C3485">
              <w:rPr>
                <w:rStyle w:val="Bold"/>
                <w:sz w:val="20"/>
                <w:szCs w:val="20"/>
              </w:rPr>
              <w:t>58</w:t>
            </w:r>
          </w:p>
        </w:tc>
        <w:tc>
          <w:tcPr>
            <w:tcW w:w="999" w:type="dxa"/>
            <w:tcMar>
              <w:top w:w="0" w:type="dxa"/>
              <w:left w:w="108" w:type="dxa"/>
              <w:bottom w:w="0" w:type="dxa"/>
              <w:right w:w="108" w:type="dxa"/>
            </w:tcMar>
            <w:vAlign w:val="center"/>
          </w:tcPr>
          <w:p w14:paraId="6B029678" w14:textId="77777777" w:rsidR="00757B05" w:rsidRPr="009C3485" w:rsidRDefault="00757B05" w:rsidP="00B25C94">
            <w:pPr>
              <w:pStyle w:val="TableTextCentred"/>
              <w:rPr>
                <w:rStyle w:val="Bold"/>
                <w:sz w:val="20"/>
                <w:szCs w:val="20"/>
              </w:rPr>
            </w:pPr>
            <w:r w:rsidRPr="009C3485">
              <w:rPr>
                <w:rStyle w:val="Bold"/>
                <w:sz w:val="20"/>
                <w:szCs w:val="20"/>
              </w:rPr>
              <w:t>26.4%</w:t>
            </w:r>
          </w:p>
        </w:tc>
      </w:tr>
      <w:tr w:rsidR="00936695" w:rsidRPr="009C3485" w14:paraId="6CC48B65" w14:textId="77777777" w:rsidTr="009C3485">
        <w:tc>
          <w:tcPr>
            <w:tcW w:w="1318" w:type="dxa"/>
            <w:tcBorders>
              <w:right w:val="single" w:sz="4" w:space="0" w:color="0079C1"/>
            </w:tcBorders>
            <w:tcMar>
              <w:top w:w="0" w:type="dxa"/>
              <w:left w:w="108" w:type="dxa"/>
              <w:bottom w:w="0" w:type="dxa"/>
              <w:right w:w="108" w:type="dxa"/>
            </w:tcMar>
            <w:hideMark/>
          </w:tcPr>
          <w:p w14:paraId="63AE58B9" w14:textId="77777777" w:rsidR="00757B05" w:rsidRPr="009C3485" w:rsidRDefault="00757B05" w:rsidP="00B25C94">
            <w:pPr>
              <w:pStyle w:val="TableText"/>
              <w:rPr>
                <w:sz w:val="20"/>
                <w:szCs w:val="20"/>
              </w:rPr>
            </w:pPr>
            <w:r w:rsidRPr="009C3485">
              <w:rPr>
                <w:sz w:val="20"/>
                <w:szCs w:val="20"/>
              </w:rPr>
              <w:t>Not much</w:t>
            </w:r>
          </w:p>
        </w:tc>
        <w:tc>
          <w:tcPr>
            <w:tcW w:w="567" w:type="dxa"/>
            <w:tcBorders>
              <w:left w:val="single" w:sz="4" w:space="0" w:color="0079C1"/>
            </w:tcBorders>
            <w:tcMar>
              <w:top w:w="0" w:type="dxa"/>
              <w:left w:w="108" w:type="dxa"/>
              <w:bottom w:w="0" w:type="dxa"/>
              <w:right w:w="108" w:type="dxa"/>
            </w:tcMar>
            <w:vAlign w:val="center"/>
          </w:tcPr>
          <w:p w14:paraId="328E9F0E" w14:textId="77777777" w:rsidR="00757B05" w:rsidRPr="009C3485" w:rsidRDefault="00757B05" w:rsidP="00B25C94">
            <w:pPr>
              <w:pStyle w:val="TableTextCentred"/>
              <w:rPr>
                <w:sz w:val="20"/>
                <w:szCs w:val="20"/>
              </w:rPr>
            </w:pPr>
            <w:r w:rsidRPr="009C3485">
              <w:rPr>
                <w:sz w:val="20"/>
                <w:szCs w:val="20"/>
              </w:rPr>
              <w:t>12</w:t>
            </w:r>
          </w:p>
        </w:tc>
        <w:tc>
          <w:tcPr>
            <w:tcW w:w="882" w:type="dxa"/>
            <w:tcBorders>
              <w:right w:val="single" w:sz="4" w:space="0" w:color="0079C1"/>
            </w:tcBorders>
            <w:tcMar>
              <w:top w:w="0" w:type="dxa"/>
              <w:left w:w="108" w:type="dxa"/>
              <w:bottom w:w="0" w:type="dxa"/>
              <w:right w:w="108" w:type="dxa"/>
            </w:tcMar>
            <w:vAlign w:val="center"/>
          </w:tcPr>
          <w:p w14:paraId="24789A81" w14:textId="77777777" w:rsidR="00757B05" w:rsidRPr="009C3485" w:rsidRDefault="00757B05" w:rsidP="00B25C94">
            <w:pPr>
              <w:pStyle w:val="TableTextCentred"/>
              <w:rPr>
                <w:sz w:val="20"/>
                <w:szCs w:val="20"/>
              </w:rPr>
            </w:pPr>
            <w:r w:rsidRPr="009C3485">
              <w:rPr>
                <w:sz w:val="20"/>
                <w:szCs w:val="20"/>
              </w:rPr>
              <w:t>11.1%</w:t>
            </w:r>
          </w:p>
        </w:tc>
        <w:tc>
          <w:tcPr>
            <w:tcW w:w="635" w:type="dxa"/>
            <w:tcBorders>
              <w:left w:val="single" w:sz="4" w:space="0" w:color="0079C1"/>
            </w:tcBorders>
            <w:tcMar>
              <w:top w:w="0" w:type="dxa"/>
              <w:left w:w="108" w:type="dxa"/>
              <w:bottom w:w="0" w:type="dxa"/>
              <w:right w:w="108" w:type="dxa"/>
            </w:tcMar>
            <w:vAlign w:val="center"/>
          </w:tcPr>
          <w:p w14:paraId="41CC061A" w14:textId="77777777" w:rsidR="00757B05" w:rsidRPr="009C3485" w:rsidRDefault="00757B05" w:rsidP="00B25C94">
            <w:pPr>
              <w:pStyle w:val="TableTextCentred"/>
              <w:rPr>
                <w:sz w:val="20"/>
                <w:szCs w:val="20"/>
              </w:rPr>
            </w:pPr>
            <w:r w:rsidRPr="009C3485">
              <w:rPr>
                <w:sz w:val="20"/>
                <w:szCs w:val="20"/>
              </w:rPr>
              <w:t>3</w:t>
            </w:r>
          </w:p>
        </w:tc>
        <w:tc>
          <w:tcPr>
            <w:tcW w:w="993" w:type="dxa"/>
            <w:tcBorders>
              <w:right w:val="single" w:sz="4" w:space="0" w:color="0079C1"/>
            </w:tcBorders>
            <w:tcMar>
              <w:top w:w="0" w:type="dxa"/>
              <w:left w:w="108" w:type="dxa"/>
              <w:bottom w:w="0" w:type="dxa"/>
              <w:right w:w="108" w:type="dxa"/>
            </w:tcMar>
            <w:vAlign w:val="center"/>
          </w:tcPr>
          <w:p w14:paraId="4B12F8F9" w14:textId="77777777" w:rsidR="00757B05" w:rsidRPr="009C3485" w:rsidRDefault="00757B05" w:rsidP="00B25C94">
            <w:pPr>
              <w:pStyle w:val="TableTextCentred"/>
              <w:rPr>
                <w:sz w:val="20"/>
                <w:szCs w:val="20"/>
              </w:rPr>
            </w:pPr>
            <w:r w:rsidRPr="009C3485">
              <w:rPr>
                <w:sz w:val="20"/>
                <w:szCs w:val="20"/>
              </w:rPr>
              <w:t>4.1%</w:t>
            </w:r>
          </w:p>
        </w:tc>
        <w:tc>
          <w:tcPr>
            <w:tcW w:w="535" w:type="dxa"/>
            <w:tcBorders>
              <w:left w:val="single" w:sz="4" w:space="0" w:color="0079C1"/>
            </w:tcBorders>
            <w:tcMar>
              <w:top w:w="0" w:type="dxa"/>
              <w:left w:w="108" w:type="dxa"/>
              <w:bottom w:w="0" w:type="dxa"/>
              <w:right w:w="108" w:type="dxa"/>
            </w:tcMar>
            <w:vAlign w:val="center"/>
          </w:tcPr>
          <w:p w14:paraId="31E64705" w14:textId="77777777" w:rsidR="00757B05" w:rsidRPr="009C3485" w:rsidRDefault="00757B05" w:rsidP="00B25C94">
            <w:pPr>
              <w:pStyle w:val="TableTextCentred"/>
              <w:rPr>
                <w:sz w:val="20"/>
                <w:szCs w:val="20"/>
              </w:rPr>
            </w:pPr>
            <w:r w:rsidRPr="009C3485">
              <w:rPr>
                <w:sz w:val="20"/>
                <w:szCs w:val="20"/>
              </w:rPr>
              <w:t>1</w:t>
            </w:r>
          </w:p>
        </w:tc>
        <w:tc>
          <w:tcPr>
            <w:tcW w:w="1024" w:type="dxa"/>
            <w:tcBorders>
              <w:right w:val="single" w:sz="4" w:space="0" w:color="0079C1"/>
            </w:tcBorders>
            <w:tcMar>
              <w:top w:w="0" w:type="dxa"/>
              <w:left w:w="108" w:type="dxa"/>
              <w:bottom w:w="0" w:type="dxa"/>
              <w:right w:w="108" w:type="dxa"/>
            </w:tcMar>
            <w:vAlign w:val="center"/>
          </w:tcPr>
          <w:p w14:paraId="6A3F4722" w14:textId="77777777" w:rsidR="00757B05" w:rsidRPr="009C3485" w:rsidRDefault="00757B05" w:rsidP="00B25C94">
            <w:pPr>
              <w:pStyle w:val="TableTextCentred"/>
              <w:rPr>
                <w:sz w:val="20"/>
                <w:szCs w:val="20"/>
              </w:rPr>
            </w:pPr>
            <w:r w:rsidRPr="009C3485">
              <w:rPr>
                <w:sz w:val="20"/>
                <w:szCs w:val="20"/>
              </w:rPr>
              <w:t>5.3%</w:t>
            </w:r>
          </w:p>
        </w:tc>
        <w:tc>
          <w:tcPr>
            <w:tcW w:w="709" w:type="dxa"/>
            <w:tcBorders>
              <w:left w:val="single" w:sz="4" w:space="0" w:color="0079C1"/>
            </w:tcBorders>
            <w:tcMar>
              <w:top w:w="0" w:type="dxa"/>
              <w:left w:w="108" w:type="dxa"/>
              <w:bottom w:w="0" w:type="dxa"/>
              <w:right w:w="108" w:type="dxa"/>
            </w:tcMar>
            <w:vAlign w:val="center"/>
          </w:tcPr>
          <w:p w14:paraId="1898C5A9" w14:textId="77777777" w:rsidR="00757B05" w:rsidRPr="009C3485" w:rsidRDefault="00757B05" w:rsidP="00B25C94">
            <w:pPr>
              <w:pStyle w:val="TableTextCentred"/>
              <w:rPr>
                <w:sz w:val="20"/>
                <w:szCs w:val="20"/>
              </w:rPr>
            </w:pPr>
            <w:r w:rsidRPr="009C3485">
              <w:rPr>
                <w:sz w:val="20"/>
                <w:szCs w:val="20"/>
              </w:rPr>
              <w:t>2</w:t>
            </w:r>
          </w:p>
        </w:tc>
        <w:tc>
          <w:tcPr>
            <w:tcW w:w="992" w:type="dxa"/>
            <w:tcBorders>
              <w:right w:val="single" w:sz="4" w:space="0" w:color="0079C1"/>
            </w:tcBorders>
            <w:tcMar>
              <w:top w:w="0" w:type="dxa"/>
              <w:left w:w="108" w:type="dxa"/>
              <w:bottom w:w="0" w:type="dxa"/>
              <w:right w:w="108" w:type="dxa"/>
            </w:tcMar>
            <w:vAlign w:val="center"/>
          </w:tcPr>
          <w:p w14:paraId="37E3A3DC" w14:textId="77777777" w:rsidR="00757B05" w:rsidRPr="009C3485" w:rsidRDefault="00757B05" w:rsidP="00B25C94">
            <w:pPr>
              <w:pStyle w:val="TableTextCentred"/>
              <w:rPr>
                <w:sz w:val="20"/>
                <w:szCs w:val="20"/>
              </w:rPr>
            </w:pPr>
            <w:r w:rsidRPr="009C3485">
              <w:rPr>
                <w:sz w:val="20"/>
                <w:szCs w:val="20"/>
              </w:rPr>
              <w:t>10%</w:t>
            </w:r>
          </w:p>
        </w:tc>
        <w:tc>
          <w:tcPr>
            <w:tcW w:w="709" w:type="dxa"/>
            <w:tcBorders>
              <w:left w:val="single" w:sz="4" w:space="0" w:color="0079C1"/>
            </w:tcBorders>
            <w:tcMar>
              <w:top w:w="0" w:type="dxa"/>
              <w:left w:w="108" w:type="dxa"/>
              <w:bottom w:w="0" w:type="dxa"/>
              <w:right w:w="108" w:type="dxa"/>
            </w:tcMar>
            <w:vAlign w:val="center"/>
          </w:tcPr>
          <w:p w14:paraId="331202FE" w14:textId="77777777" w:rsidR="00757B05" w:rsidRPr="009C3485" w:rsidRDefault="00757B05" w:rsidP="00B25C94">
            <w:pPr>
              <w:pStyle w:val="TableTextCentred"/>
              <w:rPr>
                <w:rStyle w:val="Bold"/>
                <w:sz w:val="20"/>
                <w:szCs w:val="20"/>
              </w:rPr>
            </w:pPr>
            <w:r w:rsidRPr="009C3485">
              <w:rPr>
                <w:rStyle w:val="Bold"/>
                <w:sz w:val="20"/>
                <w:szCs w:val="20"/>
              </w:rPr>
              <w:t>18</w:t>
            </w:r>
          </w:p>
        </w:tc>
        <w:tc>
          <w:tcPr>
            <w:tcW w:w="999" w:type="dxa"/>
            <w:tcMar>
              <w:top w:w="0" w:type="dxa"/>
              <w:left w:w="108" w:type="dxa"/>
              <w:bottom w:w="0" w:type="dxa"/>
              <w:right w:w="108" w:type="dxa"/>
            </w:tcMar>
            <w:vAlign w:val="center"/>
          </w:tcPr>
          <w:p w14:paraId="55099C78" w14:textId="77777777" w:rsidR="00757B05" w:rsidRPr="009C3485" w:rsidRDefault="00757B05" w:rsidP="00B25C94">
            <w:pPr>
              <w:pStyle w:val="TableTextCentred"/>
              <w:rPr>
                <w:rStyle w:val="Bold"/>
                <w:sz w:val="20"/>
                <w:szCs w:val="20"/>
              </w:rPr>
            </w:pPr>
            <w:r w:rsidRPr="009C3485">
              <w:rPr>
                <w:rStyle w:val="Bold"/>
                <w:sz w:val="20"/>
                <w:szCs w:val="20"/>
              </w:rPr>
              <w:t>8.2%</w:t>
            </w:r>
          </w:p>
        </w:tc>
      </w:tr>
      <w:tr w:rsidR="00936695" w:rsidRPr="009C3485" w14:paraId="17DD5C93" w14:textId="77777777" w:rsidTr="009C3485">
        <w:tc>
          <w:tcPr>
            <w:tcW w:w="1318" w:type="dxa"/>
            <w:tcBorders>
              <w:right w:val="single" w:sz="4" w:space="0" w:color="0079C1"/>
            </w:tcBorders>
            <w:tcMar>
              <w:top w:w="0" w:type="dxa"/>
              <w:left w:w="108" w:type="dxa"/>
              <w:bottom w:w="0" w:type="dxa"/>
              <w:right w:w="108" w:type="dxa"/>
            </w:tcMar>
            <w:hideMark/>
          </w:tcPr>
          <w:p w14:paraId="4B249FCC" w14:textId="77777777" w:rsidR="00757B05" w:rsidRPr="009C3485" w:rsidRDefault="00757B05" w:rsidP="00B25C94">
            <w:pPr>
              <w:pStyle w:val="TableText"/>
              <w:rPr>
                <w:sz w:val="20"/>
                <w:szCs w:val="20"/>
              </w:rPr>
            </w:pPr>
            <w:r w:rsidRPr="009C3485">
              <w:rPr>
                <w:sz w:val="20"/>
                <w:szCs w:val="20"/>
              </w:rPr>
              <w:t xml:space="preserve">Not at all </w:t>
            </w:r>
          </w:p>
        </w:tc>
        <w:tc>
          <w:tcPr>
            <w:tcW w:w="567" w:type="dxa"/>
            <w:tcBorders>
              <w:left w:val="single" w:sz="4" w:space="0" w:color="0079C1"/>
            </w:tcBorders>
            <w:tcMar>
              <w:top w:w="0" w:type="dxa"/>
              <w:left w:w="108" w:type="dxa"/>
              <w:bottom w:w="0" w:type="dxa"/>
              <w:right w:w="108" w:type="dxa"/>
            </w:tcMar>
            <w:vAlign w:val="center"/>
          </w:tcPr>
          <w:p w14:paraId="5713238F" w14:textId="77777777" w:rsidR="00757B05" w:rsidRPr="009C3485" w:rsidRDefault="00757B05" w:rsidP="00B25C94">
            <w:pPr>
              <w:pStyle w:val="TableTextCentred"/>
              <w:rPr>
                <w:sz w:val="20"/>
                <w:szCs w:val="20"/>
              </w:rPr>
            </w:pPr>
            <w:r w:rsidRPr="009C3485">
              <w:rPr>
                <w:sz w:val="20"/>
                <w:szCs w:val="20"/>
              </w:rPr>
              <w:t>26</w:t>
            </w:r>
          </w:p>
        </w:tc>
        <w:tc>
          <w:tcPr>
            <w:tcW w:w="882" w:type="dxa"/>
            <w:tcBorders>
              <w:right w:val="single" w:sz="4" w:space="0" w:color="0079C1"/>
            </w:tcBorders>
            <w:tcMar>
              <w:top w:w="0" w:type="dxa"/>
              <w:left w:w="108" w:type="dxa"/>
              <w:bottom w:w="0" w:type="dxa"/>
              <w:right w:w="108" w:type="dxa"/>
            </w:tcMar>
            <w:vAlign w:val="center"/>
          </w:tcPr>
          <w:p w14:paraId="1448059C" w14:textId="77777777" w:rsidR="00757B05" w:rsidRPr="009C3485" w:rsidRDefault="00757B05" w:rsidP="00B25C94">
            <w:pPr>
              <w:pStyle w:val="TableTextCentred"/>
              <w:rPr>
                <w:sz w:val="20"/>
                <w:szCs w:val="20"/>
              </w:rPr>
            </w:pPr>
            <w:r w:rsidRPr="009C3485">
              <w:rPr>
                <w:sz w:val="20"/>
                <w:szCs w:val="20"/>
              </w:rPr>
              <w:t>24.1%</w:t>
            </w:r>
          </w:p>
        </w:tc>
        <w:tc>
          <w:tcPr>
            <w:tcW w:w="635" w:type="dxa"/>
            <w:tcBorders>
              <w:left w:val="single" w:sz="4" w:space="0" w:color="0079C1"/>
            </w:tcBorders>
            <w:tcMar>
              <w:top w:w="0" w:type="dxa"/>
              <w:left w:w="108" w:type="dxa"/>
              <w:bottom w:w="0" w:type="dxa"/>
              <w:right w:w="108" w:type="dxa"/>
            </w:tcMar>
            <w:vAlign w:val="center"/>
          </w:tcPr>
          <w:p w14:paraId="2A0BF14A" w14:textId="77777777" w:rsidR="00757B05" w:rsidRPr="009C3485" w:rsidRDefault="00757B05" w:rsidP="00B25C94">
            <w:pPr>
              <w:pStyle w:val="TableTextCentred"/>
              <w:rPr>
                <w:sz w:val="20"/>
                <w:szCs w:val="20"/>
              </w:rPr>
            </w:pPr>
            <w:r w:rsidRPr="009C3485">
              <w:rPr>
                <w:sz w:val="20"/>
                <w:szCs w:val="20"/>
              </w:rPr>
              <w:t>33</w:t>
            </w:r>
          </w:p>
        </w:tc>
        <w:tc>
          <w:tcPr>
            <w:tcW w:w="993" w:type="dxa"/>
            <w:tcBorders>
              <w:right w:val="single" w:sz="4" w:space="0" w:color="0079C1"/>
            </w:tcBorders>
            <w:tcMar>
              <w:top w:w="0" w:type="dxa"/>
              <w:left w:w="108" w:type="dxa"/>
              <w:bottom w:w="0" w:type="dxa"/>
              <w:right w:w="108" w:type="dxa"/>
            </w:tcMar>
            <w:vAlign w:val="center"/>
          </w:tcPr>
          <w:p w14:paraId="27345F87" w14:textId="77777777" w:rsidR="00757B05" w:rsidRPr="009C3485" w:rsidRDefault="00757B05" w:rsidP="00B25C94">
            <w:pPr>
              <w:pStyle w:val="TableTextCentred"/>
              <w:rPr>
                <w:sz w:val="20"/>
                <w:szCs w:val="20"/>
              </w:rPr>
            </w:pPr>
            <w:r w:rsidRPr="009C3485">
              <w:rPr>
                <w:sz w:val="20"/>
                <w:szCs w:val="20"/>
              </w:rPr>
              <w:t>45.2%</w:t>
            </w:r>
          </w:p>
        </w:tc>
        <w:tc>
          <w:tcPr>
            <w:tcW w:w="535" w:type="dxa"/>
            <w:tcBorders>
              <w:left w:val="single" w:sz="4" w:space="0" w:color="0079C1"/>
            </w:tcBorders>
            <w:tcMar>
              <w:top w:w="0" w:type="dxa"/>
              <w:left w:w="108" w:type="dxa"/>
              <w:bottom w:w="0" w:type="dxa"/>
              <w:right w:w="108" w:type="dxa"/>
            </w:tcMar>
            <w:vAlign w:val="center"/>
          </w:tcPr>
          <w:p w14:paraId="1F418800" w14:textId="77777777" w:rsidR="00757B05" w:rsidRPr="009C3485" w:rsidRDefault="00757B05" w:rsidP="00B25C94">
            <w:pPr>
              <w:pStyle w:val="TableTextCentred"/>
              <w:rPr>
                <w:sz w:val="20"/>
                <w:szCs w:val="20"/>
              </w:rPr>
            </w:pPr>
            <w:r w:rsidRPr="009C3485">
              <w:rPr>
                <w:sz w:val="20"/>
                <w:szCs w:val="20"/>
              </w:rPr>
              <w:t>11</w:t>
            </w:r>
          </w:p>
        </w:tc>
        <w:tc>
          <w:tcPr>
            <w:tcW w:w="1024" w:type="dxa"/>
            <w:tcBorders>
              <w:right w:val="single" w:sz="4" w:space="0" w:color="0079C1"/>
            </w:tcBorders>
            <w:tcMar>
              <w:top w:w="0" w:type="dxa"/>
              <w:left w:w="108" w:type="dxa"/>
              <w:bottom w:w="0" w:type="dxa"/>
              <w:right w:w="108" w:type="dxa"/>
            </w:tcMar>
            <w:vAlign w:val="center"/>
          </w:tcPr>
          <w:p w14:paraId="300B2631" w14:textId="77777777" w:rsidR="00757B05" w:rsidRPr="009C3485" w:rsidRDefault="00757B05" w:rsidP="00B25C94">
            <w:pPr>
              <w:pStyle w:val="TableTextCentred"/>
              <w:rPr>
                <w:sz w:val="20"/>
                <w:szCs w:val="20"/>
              </w:rPr>
            </w:pPr>
            <w:r w:rsidRPr="009C3485">
              <w:rPr>
                <w:sz w:val="20"/>
                <w:szCs w:val="20"/>
              </w:rPr>
              <w:t>57.9%</w:t>
            </w:r>
          </w:p>
        </w:tc>
        <w:tc>
          <w:tcPr>
            <w:tcW w:w="709" w:type="dxa"/>
            <w:tcBorders>
              <w:left w:val="single" w:sz="4" w:space="0" w:color="0079C1"/>
            </w:tcBorders>
            <w:tcMar>
              <w:top w:w="0" w:type="dxa"/>
              <w:left w:w="108" w:type="dxa"/>
              <w:bottom w:w="0" w:type="dxa"/>
              <w:right w:w="108" w:type="dxa"/>
            </w:tcMar>
            <w:vAlign w:val="center"/>
          </w:tcPr>
          <w:p w14:paraId="36C4F680" w14:textId="77777777" w:rsidR="00757B05" w:rsidRPr="009C3485" w:rsidRDefault="00757B05" w:rsidP="00B25C94">
            <w:pPr>
              <w:pStyle w:val="TableTextCentred"/>
              <w:rPr>
                <w:sz w:val="20"/>
                <w:szCs w:val="20"/>
              </w:rPr>
            </w:pPr>
            <w:r w:rsidRPr="009C3485">
              <w:rPr>
                <w:sz w:val="20"/>
                <w:szCs w:val="20"/>
              </w:rPr>
              <w:t>3</w:t>
            </w:r>
          </w:p>
        </w:tc>
        <w:tc>
          <w:tcPr>
            <w:tcW w:w="992" w:type="dxa"/>
            <w:tcBorders>
              <w:right w:val="single" w:sz="4" w:space="0" w:color="0079C1"/>
            </w:tcBorders>
            <w:tcMar>
              <w:top w:w="0" w:type="dxa"/>
              <w:left w:w="108" w:type="dxa"/>
              <w:bottom w:w="0" w:type="dxa"/>
              <w:right w:w="108" w:type="dxa"/>
            </w:tcMar>
            <w:vAlign w:val="center"/>
          </w:tcPr>
          <w:p w14:paraId="3D315807" w14:textId="77777777" w:rsidR="00757B05" w:rsidRPr="009C3485" w:rsidRDefault="00757B05" w:rsidP="00B25C94">
            <w:pPr>
              <w:pStyle w:val="TableTextCentred"/>
              <w:rPr>
                <w:sz w:val="20"/>
                <w:szCs w:val="20"/>
              </w:rPr>
            </w:pPr>
            <w:r w:rsidRPr="009C3485">
              <w:rPr>
                <w:sz w:val="20"/>
                <w:szCs w:val="20"/>
              </w:rPr>
              <w:t>15%</w:t>
            </w:r>
          </w:p>
        </w:tc>
        <w:tc>
          <w:tcPr>
            <w:tcW w:w="709" w:type="dxa"/>
            <w:tcBorders>
              <w:left w:val="single" w:sz="4" w:space="0" w:color="0079C1"/>
            </w:tcBorders>
            <w:tcMar>
              <w:top w:w="0" w:type="dxa"/>
              <w:left w:w="108" w:type="dxa"/>
              <w:bottom w:w="0" w:type="dxa"/>
              <w:right w:w="108" w:type="dxa"/>
            </w:tcMar>
            <w:vAlign w:val="center"/>
          </w:tcPr>
          <w:p w14:paraId="290AE1FB" w14:textId="77777777" w:rsidR="00757B05" w:rsidRPr="009C3485" w:rsidRDefault="00757B05" w:rsidP="00B25C94">
            <w:pPr>
              <w:pStyle w:val="TableTextCentred"/>
              <w:rPr>
                <w:rStyle w:val="Bold"/>
                <w:sz w:val="20"/>
                <w:szCs w:val="20"/>
              </w:rPr>
            </w:pPr>
            <w:r w:rsidRPr="009C3485">
              <w:rPr>
                <w:rStyle w:val="Bold"/>
                <w:sz w:val="20"/>
                <w:szCs w:val="20"/>
              </w:rPr>
              <w:t>73</w:t>
            </w:r>
          </w:p>
        </w:tc>
        <w:tc>
          <w:tcPr>
            <w:tcW w:w="999" w:type="dxa"/>
            <w:tcMar>
              <w:top w:w="0" w:type="dxa"/>
              <w:left w:w="108" w:type="dxa"/>
              <w:bottom w:w="0" w:type="dxa"/>
              <w:right w:w="108" w:type="dxa"/>
            </w:tcMar>
            <w:vAlign w:val="center"/>
          </w:tcPr>
          <w:p w14:paraId="218C2111" w14:textId="77777777" w:rsidR="00757B05" w:rsidRPr="009C3485" w:rsidRDefault="00757B05" w:rsidP="00B25C94">
            <w:pPr>
              <w:pStyle w:val="TableTextCentred"/>
              <w:rPr>
                <w:rStyle w:val="Bold"/>
                <w:sz w:val="20"/>
                <w:szCs w:val="20"/>
              </w:rPr>
            </w:pPr>
            <w:r w:rsidRPr="009C3485">
              <w:rPr>
                <w:rStyle w:val="Bold"/>
                <w:sz w:val="20"/>
                <w:szCs w:val="20"/>
              </w:rPr>
              <w:t>33.2%</w:t>
            </w:r>
          </w:p>
        </w:tc>
      </w:tr>
      <w:tr w:rsidR="00936695" w:rsidRPr="009C3485" w14:paraId="4DF76BA7" w14:textId="77777777" w:rsidTr="009C3485">
        <w:tc>
          <w:tcPr>
            <w:tcW w:w="1318" w:type="dxa"/>
            <w:tcBorders>
              <w:bottom w:val="single" w:sz="4" w:space="0" w:color="0079C1" w:themeColor="text2"/>
              <w:right w:val="single" w:sz="4" w:space="0" w:color="0079C1"/>
            </w:tcBorders>
            <w:tcMar>
              <w:top w:w="0" w:type="dxa"/>
              <w:left w:w="108" w:type="dxa"/>
              <w:bottom w:w="0" w:type="dxa"/>
              <w:right w:w="108" w:type="dxa"/>
            </w:tcMar>
            <w:hideMark/>
          </w:tcPr>
          <w:p w14:paraId="22352D40" w14:textId="77777777" w:rsidR="00757B05" w:rsidRPr="009C3485" w:rsidRDefault="00757B05" w:rsidP="00B25C94">
            <w:pPr>
              <w:pStyle w:val="TableText"/>
              <w:rPr>
                <w:sz w:val="20"/>
                <w:szCs w:val="20"/>
              </w:rPr>
            </w:pPr>
            <w:r w:rsidRPr="009C3485">
              <w:rPr>
                <w:sz w:val="20"/>
                <w:szCs w:val="20"/>
              </w:rPr>
              <w:t xml:space="preserve">Not stated/not applicable </w:t>
            </w:r>
          </w:p>
        </w:tc>
        <w:tc>
          <w:tcPr>
            <w:tcW w:w="567" w:type="dxa"/>
            <w:tcBorders>
              <w:left w:val="single" w:sz="4" w:space="0" w:color="0079C1"/>
              <w:bottom w:val="single" w:sz="4" w:space="0" w:color="0079C1" w:themeColor="text2"/>
            </w:tcBorders>
            <w:tcMar>
              <w:top w:w="0" w:type="dxa"/>
              <w:left w:w="108" w:type="dxa"/>
              <w:bottom w:w="0" w:type="dxa"/>
              <w:right w:w="108" w:type="dxa"/>
            </w:tcMar>
            <w:vAlign w:val="center"/>
          </w:tcPr>
          <w:p w14:paraId="6D15AC6A" w14:textId="77777777" w:rsidR="00757B05" w:rsidRPr="009C3485" w:rsidRDefault="00757B05" w:rsidP="00B25C94">
            <w:pPr>
              <w:pStyle w:val="TableTextCentred"/>
              <w:rPr>
                <w:sz w:val="20"/>
                <w:szCs w:val="20"/>
              </w:rPr>
            </w:pPr>
            <w:r w:rsidRPr="009C3485">
              <w:rPr>
                <w:sz w:val="20"/>
                <w:szCs w:val="20"/>
              </w:rPr>
              <w:t>18</w:t>
            </w:r>
          </w:p>
        </w:tc>
        <w:tc>
          <w:tcPr>
            <w:tcW w:w="882" w:type="dxa"/>
            <w:tcBorders>
              <w:bottom w:val="single" w:sz="4" w:space="0" w:color="0079C1" w:themeColor="text2"/>
              <w:right w:val="single" w:sz="4" w:space="0" w:color="0079C1"/>
            </w:tcBorders>
            <w:tcMar>
              <w:top w:w="0" w:type="dxa"/>
              <w:left w:w="108" w:type="dxa"/>
              <w:bottom w:w="0" w:type="dxa"/>
              <w:right w:w="108" w:type="dxa"/>
            </w:tcMar>
            <w:vAlign w:val="center"/>
          </w:tcPr>
          <w:p w14:paraId="7384593D" w14:textId="77777777" w:rsidR="00757B05" w:rsidRPr="009C3485" w:rsidRDefault="00757B05" w:rsidP="00B25C94">
            <w:pPr>
              <w:pStyle w:val="TableTextCentred"/>
              <w:rPr>
                <w:sz w:val="20"/>
                <w:szCs w:val="20"/>
              </w:rPr>
            </w:pPr>
            <w:r w:rsidRPr="009C3485">
              <w:rPr>
                <w:sz w:val="20"/>
                <w:szCs w:val="20"/>
              </w:rPr>
              <w:t>16.7%</w:t>
            </w:r>
          </w:p>
        </w:tc>
        <w:tc>
          <w:tcPr>
            <w:tcW w:w="635" w:type="dxa"/>
            <w:tcBorders>
              <w:left w:val="single" w:sz="4" w:space="0" w:color="0079C1"/>
              <w:bottom w:val="single" w:sz="4" w:space="0" w:color="0079C1" w:themeColor="text2"/>
            </w:tcBorders>
            <w:tcMar>
              <w:top w:w="0" w:type="dxa"/>
              <w:left w:w="108" w:type="dxa"/>
              <w:bottom w:w="0" w:type="dxa"/>
              <w:right w:w="108" w:type="dxa"/>
            </w:tcMar>
            <w:vAlign w:val="center"/>
          </w:tcPr>
          <w:p w14:paraId="3760673B" w14:textId="77777777" w:rsidR="00757B05" w:rsidRPr="009C3485" w:rsidRDefault="00757B05" w:rsidP="00B25C94">
            <w:pPr>
              <w:pStyle w:val="TableTextCentred"/>
              <w:rPr>
                <w:sz w:val="20"/>
                <w:szCs w:val="20"/>
              </w:rPr>
            </w:pPr>
            <w:r w:rsidRPr="009C3485">
              <w:rPr>
                <w:sz w:val="20"/>
                <w:szCs w:val="20"/>
              </w:rPr>
              <w:t>18</w:t>
            </w:r>
          </w:p>
        </w:tc>
        <w:tc>
          <w:tcPr>
            <w:tcW w:w="993" w:type="dxa"/>
            <w:tcBorders>
              <w:bottom w:val="single" w:sz="4" w:space="0" w:color="0079C1" w:themeColor="text2"/>
              <w:right w:val="single" w:sz="4" w:space="0" w:color="0079C1"/>
            </w:tcBorders>
            <w:tcMar>
              <w:top w:w="0" w:type="dxa"/>
              <w:left w:w="108" w:type="dxa"/>
              <w:bottom w:w="0" w:type="dxa"/>
              <w:right w:w="108" w:type="dxa"/>
            </w:tcMar>
            <w:vAlign w:val="center"/>
          </w:tcPr>
          <w:p w14:paraId="086515D5" w14:textId="77777777" w:rsidR="00757B05" w:rsidRPr="009C3485" w:rsidRDefault="00757B05" w:rsidP="00B25C94">
            <w:pPr>
              <w:pStyle w:val="TableTextCentred"/>
              <w:rPr>
                <w:sz w:val="20"/>
                <w:szCs w:val="20"/>
              </w:rPr>
            </w:pPr>
            <w:r w:rsidRPr="009C3485">
              <w:rPr>
                <w:sz w:val="20"/>
                <w:szCs w:val="20"/>
              </w:rPr>
              <w:t>24.7%</w:t>
            </w:r>
          </w:p>
        </w:tc>
        <w:tc>
          <w:tcPr>
            <w:tcW w:w="535" w:type="dxa"/>
            <w:tcBorders>
              <w:left w:val="single" w:sz="4" w:space="0" w:color="0079C1"/>
              <w:bottom w:val="single" w:sz="4" w:space="0" w:color="0079C1" w:themeColor="text2"/>
            </w:tcBorders>
            <w:tcMar>
              <w:top w:w="0" w:type="dxa"/>
              <w:left w:w="108" w:type="dxa"/>
              <w:bottom w:w="0" w:type="dxa"/>
              <w:right w:w="108" w:type="dxa"/>
            </w:tcMar>
            <w:vAlign w:val="center"/>
          </w:tcPr>
          <w:p w14:paraId="2903463A" w14:textId="77777777" w:rsidR="00757B05" w:rsidRPr="009C3485" w:rsidRDefault="00757B05" w:rsidP="00B25C94">
            <w:pPr>
              <w:pStyle w:val="TableTextCentred"/>
              <w:rPr>
                <w:sz w:val="20"/>
                <w:szCs w:val="20"/>
              </w:rPr>
            </w:pPr>
            <w:r w:rsidRPr="009C3485">
              <w:rPr>
                <w:sz w:val="20"/>
                <w:szCs w:val="20"/>
              </w:rPr>
              <w:t>2</w:t>
            </w:r>
          </w:p>
        </w:tc>
        <w:tc>
          <w:tcPr>
            <w:tcW w:w="1024" w:type="dxa"/>
            <w:tcBorders>
              <w:bottom w:val="single" w:sz="4" w:space="0" w:color="0079C1" w:themeColor="text2"/>
              <w:right w:val="single" w:sz="4" w:space="0" w:color="0079C1"/>
            </w:tcBorders>
            <w:tcMar>
              <w:top w:w="0" w:type="dxa"/>
              <w:left w:w="108" w:type="dxa"/>
              <w:bottom w:w="0" w:type="dxa"/>
              <w:right w:w="108" w:type="dxa"/>
            </w:tcMar>
            <w:vAlign w:val="center"/>
          </w:tcPr>
          <w:p w14:paraId="7DA9DB3C" w14:textId="77777777" w:rsidR="00757B05" w:rsidRPr="009C3485" w:rsidRDefault="00757B05" w:rsidP="00B25C94">
            <w:pPr>
              <w:pStyle w:val="TableTextCentred"/>
              <w:rPr>
                <w:sz w:val="20"/>
                <w:szCs w:val="20"/>
              </w:rPr>
            </w:pPr>
            <w:r w:rsidRPr="009C3485">
              <w:rPr>
                <w:sz w:val="20"/>
                <w:szCs w:val="20"/>
              </w:rPr>
              <w:t>10.5%</w:t>
            </w:r>
          </w:p>
        </w:tc>
        <w:tc>
          <w:tcPr>
            <w:tcW w:w="709" w:type="dxa"/>
            <w:tcBorders>
              <w:left w:val="single" w:sz="4" w:space="0" w:color="0079C1"/>
              <w:bottom w:val="single" w:sz="4" w:space="0" w:color="0079C1" w:themeColor="text2"/>
            </w:tcBorders>
            <w:tcMar>
              <w:top w:w="0" w:type="dxa"/>
              <w:left w:w="108" w:type="dxa"/>
              <w:bottom w:w="0" w:type="dxa"/>
              <w:right w:w="108" w:type="dxa"/>
            </w:tcMar>
            <w:vAlign w:val="center"/>
          </w:tcPr>
          <w:p w14:paraId="784C8787" w14:textId="77777777" w:rsidR="00757B05" w:rsidRPr="009C3485" w:rsidRDefault="00757B05" w:rsidP="00B25C94">
            <w:pPr>
              <w:pStyle w:val="TableTextCentred"/>
              <w:rPr>
                <w:sz w:val="20"/>
                <w:szCs w:val="20"/>
              </w:rPr>
            </w:pPr>
            <w:r w:rsidRPr="009C3485">
              <w:rPr>
                <w:sz w:val="20"/>
                <w:szCs w:val="20"/>
              </w:rPr>
              <w:t>6</w:t>
            </w:r>
          </w:p>
        </w:tc>
        <w:tc>
          <w:tcPr>
            <w:tcW w:w="992" w:type="dxa"/>
            <w:tcBorders>
              <w:bottom w:val="single" w:sz="4" w:space="0" w:color="0079C1" w:themeColor="text2"/>
              <w:right w:val="single" w:sz="4" w:space="0" w:color="0079C1"/>
            </w:tcBorders>
            <w:tcMar>
              <w:top w:w="0" w:type="dxa"/>
              <w:left w:w="108" w:type="dxa"/>
              <w:bottom w:w="0" w:type="dxa"/>
              <w:right w:w="108" w:type="dxa"/>
            </w:tcMar>
            <w:vAlign w:val="center"/>
          </w:tcPr>
          <w:p w14:paraId="2AF8341D" w14:textId="77777777" w:rsidR="00757B05" w:rsidRPr="009C3485" w:rsidRDefault="00757B05" w:rsidP="00B25C94">
            <w:pPr>
              <w:pStyle w:val="TableTextCentred"/>
              <w:rPr>
                <w:sz w:val="20"/>
                <w:szCs w:val="20"/>
              </w:rPr>
            </w:pPr>
            <w:r w:rsidRPr="009C3485">
              <w:rPr>
                <w:sz w:val="20"/>
                <w:szCs w:val="20"/>
              </w:rPr>
              <w:t>30%</w:t>
            </w:r>
          </w:p>
        </w:tc>
        <w:tc>
          <w:tcPr>
            <w:tcW w:w="709" w:type="dxa"/>
            <w:tcBorders>
              <w:left w:val="single" w:sz="4" w:space="0" w:color="0079C1"/>
              <w:bottom w:val="single" w:sz="4" w:space="0" w:color="0079C1" w:themeColor="text2"/>
            </w:tcBorders>
            <w:tcMar>
              <w:top w:w="0" w:type="dxa"/>
              <w:left w:w="108" w:type="dxa"/>
              <w:bottom w:w="0" w:type="dxa"/>
              <w:right w:w="108" w:type="dxa"/>
            </w:tcMar>
            <w:vAlign w:val="center"/>
          </w:tcPr>
          <w:p w14:paraId="0EF40FEF" w14:textId="77777777" w:rsidR="00757B05" w:rsidRPr="009C3485" w:rsidRDefault="00757B05" w:rsidP="00B25C94">
            <w:pPr>
              <w:pStyle w:val="TableTextCentred"/>
              <w:rPr>
                <w:rStyle w:val="Bold"/>
                <w:sz w:val="20"/>
                <w:szCs w:val="20"/>
              </w:rPr>
            </w:pPr>
            <w:r w:rsidRPr="009C3485">
              <w:rPr>
                <w:rStyle w:val="Bold"/>
                <w:sz w:val="20"/>
                <w:szCs w:val="20"/>
              </w:rPr>
              <w:t>44</w:t>
            </w:r>
          </w:p>
        </w:tc>
        <w:tc>
          <w:tcPr>
            <w:tcW w:w="999" w:type="dxa"/>
            <w:tcBorders>
              <w:bottom w:val="single" w:sz="4" w:space="0" w:color="0079C1" w:themeColor="text2"/>
            </w:tcBorders>
            <w:tcMar>
              <w:top w:w="0" w:type="dxa"/>
              <w:left w:w="108" w:type="dxa"/>
              <w:bottom w:w="0" w:type="dxa"/>
              <w:right w:w="108" w:type="dxa"/>
            </w:tcMar>
            <w:vAlign w:val="center"/>
          </w:tcPr>
          <w:p w14:paraId="4413FDAB" w14:textId="77777777" w:rsidR="00757B05" w:rsidRPr="009C3485" w:rsidRDefault="00757B05" w:rsidP="00B25C94">
            <w:pPr>
              <w:pStyle w:val="TableTextCentred"/>
              <w:rPr>
                <w:rStyle w:val="Bold"/>
                <w:sz w:val="20"/>
                <w:szCs w:val="20"/>
              </w:rPr>
            </w:pPr>
            <w:r w:rsidRPr="009C3485">
              <w:rPr>
                <w:rStyle w:val="Bold"/>
                <w:sz w:val="20"/>
                <w:szCs w:val="20"/>
              </w:rPr>
              <w:t>20.0%</w:t>
            </w:r>
          </w:p>
        </w:tc>
      </w:tr>
      <w:tr w:rsidR="00B25C94" w:rsidRPr="009C3485" w14:paraId="6199EFE4" w14:textId="77777777" w:rsidTr="009C3485">
        <w:tc>
          <w:tcPr>
            <w:tcW w:w="1318" w:type="dxa"/>
            <w:tcBorders>
              <w:top w:val="single" w:sz="4" w:space="0" w:color="0079C1" w:themeColor="text2"/>
              <w:bottom w:val="single" w:sz="4" w:space="0" w:color="0079C1" w:themeColor="text2"/>
              <w:right w:val="single" w:sz="4" w:space="0" w:color="0079C1"/>
            </w:tcBorders>
            <w:shd w:val="clear" w:color="auto" w:fill="E2F4FF" w:themeFill="accent1" w:themeFillTint="33"/>
            <w:tcMar>
              <w:top w:w="0" w:type="dxa"/>
              <w:left w:w="108" w:type="dxa"/>
              <w:bottom w:w="0" w:type="dxa"/>
              <w:right w:w="108" w:type="dxa"/>
            </w:tcMar>
            <w:hideMark/>
          </w:tcPr>
          <w:p w14:paraId="27E9BA0A" w14:textId="77777777" w:rsidR="00757B05" w:rsidRPr="009C3485" w:rsidRDefault="00757B05" w:rsidP="00B25C94">
            <w:pPr>
              <w:pStyle w:val="TableText"/>
              <w:rPr>
                <w:rStyle w:val="Bold"/>
                <w:sz w:val="20"/>
                <w:szCs w:val="20"/>
              </w:rPr>
            </w:pPr>
            <w:r w:rsidRPr="009C3485">
              <w:rPr>
                <w:rStyle w:val="Bold"/>
                <w:sz w:val="20"/>
                <w:szCs w:val="20"/>
              </w:rPr>
              <w:t xml:space="preserve">Total </w:t>
            </w:r>
          </w:p>
        </w:tc>
        <w:tc>
          <w:tcPr>
            <w:tcW w:w="567" w:type="dxa"/>
            <w:tcBorders>
              <w:top w:val="single" w:sz="4" w:space="0" w:color="0079C1" w:themeColor="text2"/>
              <w:left w:val="single" w:sz="4" w:space="0" w:color="0079C1"/>
              <w:bottom w:val="single" w:sz="4" w:space="0" w:color="0079C1" w:themeColor="text2"/>
            </w:tcBorders>
            <w:shd w:val="clear" w:color="auto" w:fill="E2F4FF" w:themeFill="accent1" w:themeFillTint="33"/>
            <w:tcMar>
              <w:top w:w="0" w:type="dxa"/>
              <w:left w:w="108" w:type="dxa"/>
              <w:bottom w:w="0" w:type="dxa"/>
              <w:right w:w="108" w:type="dxa"/>
            </w:tcMar>
            <w:hideMark/>
          </w:tcPr>
          <w:p w14:paraId="4C92D957" w14:textId="77777777" w:rsidR="00757B05" w:rsidRPr="009C3485" w:rsidRDefault="00757B05" w:rsidP="00B25C94">
            <w:pPr>
              <w:pStyle w:val="TableTextCentred"/>
              <w:rPr>
                <w:rStyle w:val="Bold"/>
                <w:sz w:val="20"/>
                <w:szCs w:val="20"/>
              </w:rPr>
            </w:pPr>
            <w:r w:rsidRPr="009C3485">
              <w:rPr>
                <w:rStyle w:val="Bold"/>
                <w:sz w:val="20"/>
                <w:szCs w:val="20"/>
              </w:rPr>
              <w:t>108</w:t>
            </w:r>
          </w:p>
        </w:tc>
        <w:tc>
          <w:tcPr>
            <w:tcW w:w="882" w:type="dxa"/>
            <w:tcBorders>
              <w:top w:val="single" w:sz="4" w:space="0" w:color="0079C1" w:themeColor="text2"/>
              <w:bottom w:val="single" w:sz="4" w:space="0" w:color="0079C1" w:themeColor="text2"/>
              <w:right w:val="single" w:sz="4" w:space="0" w:color="0079C1"/>
            </w:tcBorders>
            <w:shd w:val="clear" w:color="auto" w:fill="E2F4FF" w:themeFill="accent1" w:themeFillTint="33"/>
            <w:tcMar>
              <w:top w:w="0" w:type="dxa"/>
              <w:left w:w="108" w:type="dxa"/>
              <w:bottom w:w="0" w:type="dxa"/>
              <w:right w:w="108" w:type="dxa"/>
            </w:tcMar>
            <w:hideMark/>
          </w:tcPr>
          <w:p w14:paraId="38A8B1ED" w14:textId="77777777" w:rsidR="00757B05" w:rsidRPr="009C3485" w:rsidRDefault="00757B05" w:rsidP="00B25C94">
            <w:pPr>
              <w:pStyle w:val="TableTextCentred"/>
              <w:rPr>
                <w:rStyle w:val="Bold"/>
                <w:sz w:val="20"/>
                <w:szCs w:val="20"/>
              </w:rPr>
            </w:pPr>
            <w:r w:rsidRPr="009C3485">
              <w:rPr>
                <w:rStyle w:val="Bold"/>
                <w:sz w:val="20"/>
                <w:szCs w:val="20"/>
              </w:rPr>
              <w:t>100.0%</w:t>
            </w:r>
          </w:p>
        </w:tc>
        <w:tc>
          <w:tcPr>
            <w:tcW w:w="635" w:type="dxa"/>
            <w:tcBorders>
              <w:top w:val="single" w:sz="4" w:space="0" w:color="0079C1" w:themeColor="text2"/>
              <w:left w:val="single" w:sz="4" w:space="0" w:color="0079C1"/>
              <w:bottom w:val="single" w:sz="4" w:space="0" w:color="0079C1" w:themeColor="text2"/>
            </w:tcBorders>
            <w:shd w:val="clear" w:color="auto" w:fill="E2F4FF" w:themeFill="accent1" w:themeFillTint="33"/>
            <w:tcMar>
              <w:top w:w="0" w:type="dxa"/>
              <w:left w:w="108" w:type="dxa"/>
              <w:bottom w:w="0" w:type="dxa"/>
              <w:right w:w="108" w:type="dxa"/>
            </w:tcMar>
          </w:tcPr>
          <w:p w14:paraId="3ABEAA57" w14:textId="77777777" w:rsidR="00757B05" w:rsidRPr="009C3485" w:rsidRDefault="00757B05" w:rsidP="00B25C94">
            <w:pPr>
              <w:pStyle w:val="TableTextCentred"/>
              <w:rPr>
                <w:rStyle w:val="Bold"/>
                <w:sz w:val="20"/>
                <w:szCs w:val="20"/>
              </w:rPr>
            </w:pPr>
            <w:r w:rsidRPr="009C3485">
              <w:rPr>
                <w:rStyle w:val="Bold"/>
                <w:sz w:val="20"/>
                <w:szCs w:val="20"/>
              </w:rPr>
              <w:t>19</w:t>
            </w:r>
          </w:p>
        </w:tc>
        <w:tc>
          <w:tcPr>
            <w:tcW w:w="993" w:type="dxa"/>
            <w:tcBorders>
              <w:top w:val="single" w:sz="4" w:space="0" w:color="0079C1" w:themeColor="text2"/>
              <w:bottom w:val="single" w:sz="4" w:space="0" w:color="0079C1" w:themeColor="text2"/>
              <w:right w:val="single" w:sz="4" w:space="0" w:color="0079C1"/>
            </w:tcBorders>
            <w:shd w:val="clear" w:color="auto" w:fill="E2F4FF" w:themeFill="accent1" w:themeFillTint="33"/>
            <w:tcMar>
              <w:top w:w="0" w:type="dxa"/>
              <w:left w:w="108" w:type="dxa"/>
              <w:bottom w:w="0" w:type="dxa"/>
              <w:right w:w="108" w:type="dxa"/>
            </w:tcMar>
          </w:tcPr>
          <w:p w14:paraId="3F998BE5" w14:textId="77777777" w:rsidR="00757B05" w:rsidRPr="009C3485" w:rsidRDefault="00757B05" w:rsidP="00B25C94">
            <w:pPr>
              <w:pStyle w:val="TableTextCentred"/>
              <w:rPr>
                <w:rStyle w:val="Bold"/>
                <w:sz w:val="20"/>
                <w:szCs w:val="20"/>
              </w:rPr>
            </w:pPr>
            <w:r w:rsidRPr="009C3485">
              <w:rPr>
                <w:rStyle w:val="Bold"/>
                <w:sz w:val="20"/>
                <w:szCs w:val="20"/>
              </w:rPr>
              <w:t>100.0%</w:t>
            </w:r>
          </w:p>
        </w:tc>
        <w:tc>
          <w:tcPr>
            <w:tcW w:w="535" w:type="dxa"/>
            <w:tcBorders>
              <w:top w:val="single" w:sz="4" w:space="0" w:color="0079C1" w:themeColor="text2"/>
              <w:left w:val="single" w:sz="4" w:space="0" w:color="0079C1"/>
              <w:bottom w:val="single" w:sz="4" w:space="0" w:color="0079C1" w:themeColor="text2"/>
            </w:tcBorders>
            <w:shd w:val="clear" w:color="auto" w:fill="E2F4FF" w:themeFill="accent1" w:themeFillTint="33"/>
            <w:tcMar>
              <w:top w:w="0" w:type="dxa"/>
              <w:left w:w="108" w:type="dxa"/>
              <w:bottom w:w="0" w:type="dxa"/>
              <w:right w:w="108" w:type="dxa"/>
            </w:tcMar>
          </w:tcPr>
          <w:p w14:paraId="0098A431" w14:textId="77777777" w:rsidR="00757B05" w:rsidRPr="009C3485" w:rsidRDefault="00757B05" w:rsidP="00B25C94">
            <w:pPr>
              <w:pStyle w:val="TableTextCentred"/>
              <w:rPr>
                <w:rStyle w:val="Bold"/>
                <w:sz w:val="20"/>
                <w:szCs w:val="20"/>
              </w:rPr>
            </w:pPr>
            <w:r w:rsidRPr="009C3485">
              <w:rPr>
                <w:rStyle w:val="Bold"/>
                <w:sz w:val="20"/>
                <w:szCs w:val="20"/>
              </w:rPr>
              <w:t>73</w:t>
            </w:r>
          </w:p>
        </w:tc>
        <w:tc>
          <w:tcPr>
            <w:tcW w:w="1024" w:type="dxa"/>
            <w:tcBorders>
              <w:top w:val="single" w:sz="4" w:space="0" w:color="0079C1" w:themeColor="text2"/>
              <w:bottom w:val="single" w:sz="4" w:space="0" w:color="0079C1" w:themeColor="text2"/>
              <w:right w:val="single" w:sz="4" w:space="0" w:color="0079C1"/>
            </w:tcBorders>
            <w:shd w:val="clear" w:color="auto" w:fill="E2F4FF" w:themeFill="accent1" w:themeFillTint="33"/>
            <w:tcMar>
              <w:top w:w="0" w:type="dxa"/>
              <w:left w:w="108" w:type="dxa"/>
              <w:bottom w:w="0" w:type="dxa"/>
              <w:right w:w="108" w:type="dxa"/>
            </w:tcMar>
          </w:tcPr>
          <w:p w14:paraId="7ADF90AA" w14:textId="77777777" w:rsidR="00757B05" w:rsidRPr="009C3485" w:rsidRDefault="00757B05" w:rsidP="00B25C94">
            <w:pPr>
              <w:pStyle w:val="TableTextCentred"/>
              <w:rPr>
                <w:rStyle w:val="Bold"/>
                <w:sz w:val="20"/>
                <w:szCs w:val="20"/>
              </w:rPr>
            </w:pPr>
            <w:r w:rsidRPr="009C3485">
              <w:rPr>
                <w:rStyle w:val="Bold"/>
                <w:sz w:val="20"/>
                <w:szCs w:val="20"/>
              </w:rPr>
              <w:t>100.0%</w:t>
            </w:r>
          </w:p>
        </w:tc>
        <w:tc>
          <w:tcPr>
            <w:tcW w:w="709" w:type="dxa"/>
            <w:tcBorders>
              <w:top w:val="single" w:sz="4" w:space="0" w:color="0079C1" w:themeColor="text2"/>
              <w:left w:val="single" w:sz="4" w:space="0" w:color="0079C1"/>
              <w:bottom w:val="single" w:sz="4" w:space="0" w:color="0079C1" w:themeColor="text2"/>
            </w:tcBorders>
            <w:shd w:val="clear" w:color="auto" w:fill="E2F4FF" w:themeFill="accent1" w:themeFillTint="33"/>
            <w:tcMar>
              <w:top w:w="0" w:type="dxa"/>
              <w:left w:w="108" w:type="dxa"/>
              <w:bottom w:w="0" w:type="dxa"/>
              <w:right w:w="108" w:type="dxa"/>
            </w:tcMar>
            <w:hideMark/>
          </w:tcPr>
          <w:p w14:paraId="6DBDB1AF" w14:textId="77777777" w:rsidR="00757B05" w:rsidRPr="009C3485" w:rsidRDefault="00757B05" w:rsidP="00B25C94">
            <w:pPr>
              <w:pStyle w:val="TableTextCentred"/>
              <w:rPr>
                <w:rStyle w:val="Bold"/>
                <w:sz w:val="20"/>
                <w:szCs w:val="20"/>
              </w:rPr>
            </w:pPr>
            <w:r w:rsidRPr="009C3485">
              <w:rPr>
                <w:rStyle w:val="Bold"/>
                <w:sz w:val="20"/>
                <w:szCs w:val="20"/>
              </w:rPr>
              <w:t>20</w:t>
            </w:r>
          </w:p>
        </w:tc>
        <w:tc>
          <w:tcPr>
            <w:tcW w:w="992" w:type="dxa"/>
            <w:tcBorders>
              <w:top w:val="single" w:sz="4" w:space="0" w:color="0079C1" w:themeColor="text2"/>
              <w:bottom w:val="single" w:sz="4" w:space="0" w:color="0079C1" w:themeColor="text2"/>
              <w:right w:val="single" w:sz="4" w:space="0" w:color="0079C1"/>
            </w:tcBorders>
            <w:shd w:val="clear" w:color="auto" w:fill="E2F4FF" w:themeFill="accent1" w:themeFillTint="33"/>
            <w:tcMar>
              <w:top w:w="0" w:type="dxa"/>
              <w:left w:w="108" w:type="dxa"/>
              <w:bottom w:w="0" w:type="dxa"/>
              <w:right w:w="108" w:type="dxa"/>
            </w:tcMar>
            <w:hideMark/>
          </w:tcPr>
          <w:p w14:paraId="21566968" w14:textId="77777777" w:rsidR="00757B05" w:rsidRPr="009C3485" w:rsidRDefault="00757B05" w:rsidP="00B25C94">
            <w:pPr>
              <w:pStyle w:val="TableTextCentred"/>
              <w:rPr>
                <w:rStyle w:val="Bold"/>
                <w:sz w:val="20"/>
                <w:szCs w:val="20"/>
              </w:rPr>
            </w:pPr>
            <w:r w:rsidRPr="009C3485">
              <w:rPr>
                <w:rStyle w:val="Bold"/>
                <w:sz w:val="20"/>
                <w:szCs w:val="20"/>
              </w:rPr>
              <w:t>100.0%</w:t>
            </w:r>
          </w:p>
        </w:tc>
        <w:tc>
          <w:tcPr>
            <w:tcW w:w="709" w:type="dxa"/>
            <w:tcBorders>
              <w:top w:val="single" w:sz="4" w:space="0" w:color="0079C1" w:themeColor="text2"/>
              <w:left w:val="single" w:sz="4" w:space="0" w:color="0079C1"/>
              <w:bottom w:val="single" w:sz="4" w:space="0" w:color="0079C1" w:themeColor="text2"/>
            </w:tcBorders>
            <w:shd w:val="clear" w:color="auto" w:fill="E2F4FF" w:themeFill="accent1" w:themeFillTint="33"/>
            <w:tcMar>
              <w:top w:w="0" w:type="dxa"/>
              <w:left w:w="108" w:type="dxa"/>
              <w:bottom w:w="0" w:type="dxa"/>
              <w:right w:w="108" w:type="dxa"/>
            </w:tcMar>
            <w:hideMark/>
          </w:tcPr>
          <w:p w14:paraId="0B1684BD" w14:textId="77777777" w:rsidR="00757B05" w:rsidRPr="009C3485" w:rsidRDefault="00757B05" w:rsidP="00B25C94">
            <w:pPr>
              <w:pStyle w:val="TableTextCentred"/>
              <w:rPr>
                <w:rStyle w:val="Bold"/>
                <w:sz w:val="20"/>
                <w:szCs w:val="20"/>
              </w:rPr>
            </w:pPr>
            <w:r w:rsidRPr="009C3485">
              <w:rPr>
                <w:rStyle w:val="Bold"/>
                <w:sz w:val="20"/>
                <w:szCs w:val="20"/>
              </w:rPr>
              <w:t>220</w:t>
            </w:r>
          </w:p>
        </w:tc>
        <w:tc>
          <w:tcPr>
            <w:tcW w:w="999" w:type="dxa"/>
            <w:tcBorders>
              <w:top w:val="single" w:sz="4" w:space="0" w:color="0079C1" w:themeColor="text2"/>
              <w:bottom w:val="single" w:sz="4" w:space="0" w:color="0079C1" w:themeColor="text2"/>
            </w:tcBorders>
            <w:shd w:val="clear" w:color="auto" w:fill="E2F4FF" w:themeFill="accent1" w:themeFillTint="33"/>
            <w:tcMar>
              <w:top w:w="0" w:type="dxa"/>
              <w:left w:w="108" w:type="dxa"/>
              <w:bottom w:w="0" w:type="dxa"/>
              <w:right w:w="108" w:type="dxa"/>
            </w:tcMar>
            <w:hideMark/>
          </w:tcPr>
          <w:p w14:paraId="79EF04D9" w14:textId="77777777" w:rsidR="00757B05" w:rsidRPr="009C3485" w:rsidRDefault="00757B05" w:rsidP="00B25C94">
            <w:pPr>
              <w:pStyle w:val="TableTextCentred"/>
              <w:rPr>
                <w:rStyle w:val="Bold"/>
                <w:sz w:val="20"/>
                <w:szCs w:val="20"/>
              </w:rPr>
            </w:pPr>
            <w:r w:rsidRPr="009C3485">
              <w:rPr>
                <w:rStyle w:val="Bold"/>
                <w:sz w:val="20"/>
                <w:szCs w:val="20"/>
              </w:rPr>
              <w:t>100.0%</w:t>
            </w:r>
          </w:p>
        </w:tc>
      </w:tr>
    </w:tbl>
    <w:p w14:paraId="6994EFCB" w14:textId="2FB678A3" w:rsidR="00757B05" w:rsidRPr="00B61E21" w:rsidRDefault="00757B05" w:rsidP="001D4B16">
      <w:pPr>
        <w:pStyle w:val="ParagraphKeep"/>
      </w:pPr>
      <w:r w:rsidRPr="00CB53C5">
        <w:rPr>
          <w:rStyle w:val="Strong"/>
        </w:rPr>
        <w:t>Commonwealth stakeholders</w:t>
      </w:r>
      <w:r w:rsidRPr="00B61E21">
        <w:t xml:space="preserve">’ view on IAA‘s capacity to make ICA experiences more positive were mixed.  Service provision by skilled social workers was seen </w:t>
      </w:r>
      <w:r w:rsidR="00E461F7">
        <w:t xml:space="preserve">to </w:t>
      </w:r>
      <w:r w:rsidRPr="00B61E21">
        <w:t>be advantageous, in two ways</w:t>
      </w:r>
      <w:r>
        <w:t xml:space="preserve">, because of the </w:t>
      </w:r>
      <w:r w:rsidR="00BA0991">
        <w:t xml:space="preserve">complex </w:t>
      </w:r>
      <w:r>
        <w:t>nature of the ICA process</w:t>
      </w:r>
      <w:r w:rsidRPr="00B61E21">
        <w:t>:</w:t>
      </w:r>
    </w:p>
    <w:p w14:paraId="11C02327" w14:textId="0F41F3F6" w:rsidR="00757B05" w:rsidRPr="001D4B16" w:rsidRDefault="00757B05" w:rsidP="001D4B16">
      <w:pPr>
        <w:pStyle w:val="Bullet1"/>
      </w:pPr>
      <w:r w:rsidRPr="001D4B16">
        <w:t xml:space="preserve">They have the ability to deal with clients in a </w:t>
      </w:r>
      <w:r w:rsidR="00BA0991">
        <w:t>challenging</w:t>
      </w:r>
      <w:r w:rsidRPr="001D4B16">
        <w:t xml:space="preserve"> state:</w:t>
      </w:r>
    </w:p>
    <w:p w14:paraId="131151EF" w14:textId="77777777" w:rsidR="00757B05" w:rsidRPr="00B61E21" w:rsidRDefault="00757B05" w:rsidP="001D4B16">
      <w:pPr>
        <w:pStyle w:val="Quote"/>
      </w:pPr>
      <w:r w:rsidRPr="00B61E21">
        <w:t>“IAA is better at delivering the bad news”</w:t>
      </w:r>
    </w:p>
    <w:p w14:paraId="1A80EB3C" w14:textId="77777777" w:rsidR="00757B05" w:rsidRPr="00B61E21" w:rsidRDefault="00757B05" w:rsidP="001D4B16">
      <w:pPr>
        <w:pStyle w:val="Quote"/>
      </w:pPr>
      <w:r w:rsidRPr="00B61E21">
        <w:t>“We can be as sensitive as we can but no one wants to hear what we have to say, doesn’t matter which way we explain it”.</w:t>
      </w:r>
    </w:p>
    <w:p w14:paraId="5ECD131E" w14:textId="1F4194AC" w:rsidR="00757B05" w:rsidRPr="001D4B16" w:rsidRDefault="00757B05" w:rsidP="001D4B16">
      <w:pPr>
        <w:pStyle w:val="Bullet1"/>
      </w:pPr>
      <w:r w:rsidRPr="001D4B16">
        <w:t xml:space="preserve">IAA represents a neutral/independent source of information and advice for </w:t>
      </w:r>
      <w:r w:rsidR="004D4648">
        <w:t>prospective adoptive parents</w:t>
      </w:r>
      <w:r w:rsidRPr="001D4B16">
        <w:t xml:space="preserve"> without compromising confidentiality.  This allows clients to more freely express their concerns:</w:t>
      </w:r>
    </w:p>
    <w:p w14:paraId="7C635A2F" w14:textId="77777777" w:rsidR="00757B05" w:rsidRPr="00B61E21" w:rsidRDefault="00757B05" w:rsidP="001D4B16">
      <w:pPr>
        <w:pStyle w:val="Quote"/>
      </w:pPr>
      <w:r w:rsidRPr="00B61E21">
        <w:t xml:space="preserve">“People don’t like to tell us that they’re depressed ...they think I might take their child away”. </w:t>
      </w:r>
    </w:p>
    <w:p w14:paraId="0A87B9AF" w14:textId="3BA0F945" w:rsidR="00757B05" w:rsidRPr="00B61E21" w:rsidRDefault="00757B05" w:rsidP="001D4B16">
      <w:pPr>
        <w:pStyle w:val="ParagraphKeep"/>
        <w:rPr>
          <w:lang w:eastAsia="en-AU"/>
        </w:rPr>
      </w:pPr>
      <w:r w:rsidRPr="00B61E21">
        <w:rPr>
          <w:lang w:eastAsia="en-AU"/>
        </w:rPr>
        <w:lastRenderedPageBreak/>
        <w:t xml:space="preserve">A number of </w:t>
      </w:r>
      <w:r w:rsidRPr="00CB53C5">
        <w:rPr>
          <w:rStyle w:val="Strong"/>
        </w:rPr>
        <w:t>STCAs</w:t>
      </w:r>
      <w:r w:rsidRPr="00B61E21">
        <w:rPr>
          <w:lang w:eastAsia="en-AU"/>
        </w:rPr>
        <w:t xml:space="preserve"> spoke to the fundamental difficulty in defining a positive experience of ICA and questioned the viability of assessing IAA’s contribution to positive ICA processes because of the emotionally-fraught nature of ICA itself:</w:t>
      </w:r>
    </w:p>
    <w:p w14:paraId="13EB24C0" w14:textId="77777777" w:rsidR="00757B05" w:rsidRPr="00B61E21" w:rsidRDefault="00757B05" w:rsidP="001D4B16">
      <w:pPr>
        <w:pStyle w:val="Quote"/>
        <w:rPr>
          <w:lang w:eastAsia="en-AU"/>
        </w:rPr>
      </w:pPr>
      <w:r w:rsidRPr="00B61E21">
        <w:rPr>
          <w:lang w:eastAsia="en-AU"/>
        </w:rPr>
        <w:t>“For most people, it’s [ICA] not going to be a positive process by virtue of the fact that they may not be eligible.  From our perspective, it’s important to be honest from the first phone call and not in a horrible way, give them the info that they need... which probably isn’t peoples’ idea of a positive experience.  It’s hard to say what a positive experience of ICA is”.</w:t>
      </w:r>
    </w:p>
    <w:p w14:paraId="3EED99BD" w14:textId="65047FA8" w:rsidR="00757B05" w:rsidRPr="00B61E21" w:rsidRDefault="00757B05" w:rsidP="001D4B16">
      <w:pPr>
        <w:pStyle w:val="ParagraphKeep"/>
      </w:pPr>
      <w:r w:rsidRPr="00B61E21">
        <w:t>Some STCAs acknowledged the potential of IAA to assist parents with nav</w:t>
      </w:r>
      <w:r w:rsidR="00E461F7">
        <w:t>igating the complex system of IC</w:t>
      </w:r>
      <w:r w:rsidRPr="00B61E21">
        <w:t xml:space="preserve">A, which could in turn contribute to a more positive experience of IAA than was possible prior to the service’s inception: </w:t>
      </w:r>
    </w:p>
    <w:p w14:paraId="3C2FC625" w14:textId="77777777" w:rsidR="00757B05" w:rsidRPr="00B61E21" w:rsidRDefault="00757B05" w:rsidP="00757B05">
      <w:pPr>
        <w:pStyle w:val="Quote"/>
      </w:pPr>
      <w:r w:rsidRPr="00B61E21">
        <w:t xml:space="preserve">“I think the issue is that at the end of the day the IAA staff might give people some help about things like eligibility which might be helpful but in terms of how to navigate and get to know the service of the state, then the couple gets that through the state office. </w:t>
      </w:r>
      <w:r>
        <w:t xml:space="preserve"> </w:t>
      </w:r>
      <w:r w:rsidRPr="00B61E21">
        <w:t>It’s like chipping away, there is no one conversation</w:t>
      </w:r>
      <w:r>
        <w:t>…</w:t>
      </w:r>
      <w:r w:rsidRPr="00B61E21">
        <w:t xml:space="preserve"> </w:t>
      </w:r>
      <w:r>
        <w:t xml:space="preserve"> </w:t>
      </w:r>
      <w:r w:rsidRPr="00B61E21">
        <w:t>People only hear what they want to hear, people can get very grumpy, it’s up to a country whether they want their children adopted, it’s up to Australia to decide if the project should be developed and run in a way that everyone agrees is the right way.</w:t>
      </w:r>
      <w:r>
        <w:t xml:space="preserve"> </w:t>
      </w:r>
      <w:r w:rsidRPr="00B61E21">
        <w:t xml:space="preserve"> People don’t understand there aren’t that many children that need adoption. </w:t>
      </w:r>
      <w:r>
        <w:t xml:space="preserve"> </w:t>
      </w:r>
      <w:r w:rsidRPr="00B61E21">
        <w:t>There are other ways to care for a child rather than sending a child for adoption overseas”.</w:t>
      </w:r>
    </w:p>
    <w:p w14:paraId="0FD15528" w14:textId="77777777" w:rsidR="00757B05" w:rsidRDefault="00757B05" w:rsidP="001D4B16">
      <w:pPr>
        <w:pStyle w:val="ParagraphKeep"/>
      </w:pPr>
      <w:r>
        <w:t xml:space="preserve">The </w:t>
      </w:r>
      <w:r w:rsidRPr="004A020E">
        <w:rPr>
          <w:rStyle w:val="Strong"/>
        </w:rPr>
        <w:t>advocacy and support group</w:t>
      </w:r>
      <w:r>
        <w:t xml:space="preserve"> representatives </w:t>
      </w:r>
      <w:r>
        <w:rPr>
          <w:lang w:eastAsia="en-AU"/>
        </w:rPr>
        <w:t>reported knowledge of the IAA service from both personal experience and consistent positive feedback from members.  They</w:t>
      </w:r>
      <w:r>
        <w:t xml:space="preserve"> were particularly appreciative of the social workers involved in the 1800 information line because of their capacity to:</w:t>
      </w:r>
    </w:p>
    <w:p w14:paraId="6CBC9F98" w14:textId="13A71005" w:rsidR="00757B05" w:rsidRPr="001D4B16" w:rsidRDefault="00757B05" w:rsidP="001D4B16">
      <w:pPr>
        <w:pStyle w:val="Bullet1"/>
      </w:pPr>
      <w:r>
        <w:t xml:space="preserve">Refer people to </w:t>
      </w:r>
      <w:r w:rsidRPr="001D4B16">
        <w:t>psychologist</w:t>
      </w:r>
      <w:r w:rsidR="00E461F7">
        <w:t>s</w:t>
      </w:r>
      <w:r w:rsidRPr="001D4B16">
        <w:t xml:space="preserve"> who specialise in adoption, especially in jurisdictions where such psychologists were difficult to access </w:t>
      </w:r>
    </w:p>
    <w:p w14:paraId="1B436FAD" w14:textId="77777777" w:rsidR="00757B05" w:rsidRPr="004D4648" w:rsidRDefault="00757B05" w:rsidP="001D4B16">
      <w:pPr>
        <w:pStyle w:val="Bullet1"/>
        <w:rPr>
          <w:rStyle w:val="Emphasis"/>
          <w:iCs w:val="0"/>
        </w:rPr>
      </w:pPr>
      <w:r w:rsidRPr="004D4648">
        <w:rPr>
          <w:rStyle w:val="Emphasis"/>
          <w:iCs w:val="0"/>
        </w:rPr>
        <w:t>“Deal with issues in a sensitive manner”</w:t>
      </w:r>
    </w:p>
    <w:p w14:paraId="051FF114" w14:textId="043AD300" w:rsidR="00757B05" w:rsidRDefault="00757B05" w:rsidP="001D4B16">
      <w:pPr>
        <w:pStyle w:val="Bullet1"/>
      </w:pPr>
      <w:r w:rsidRPr="001D4B16">
        <w:t>One group said</w:t>
      </w:r>
      <w:r>
        <w:t xml:space="preserve"> </w:t>
      </w:r>
      <w:r w:rsidRPr="000978FC">
        <w:rPr>
          <w:rStyle w:val="QuoteChar"/>
        </w:rPr>
        <w:t>“We can’t speak highly enough of the IAA service”</w:t>
      </w:r>
      <w:r w:rsidR="00E461F7">
        <w:rPr>
          <w:rStyle w:val="QuoteChar"/>
        </w:rPr>
        <w:t>.</w:t>
      </w:r>
    </w:p>
    <w:p w14:paraId="35704CB4" w14:textId="77777777" w:rsidR="00757B05" w:rsidRDefault="00757B05" w:rsidP="001D4B16">
      <w:pPr>
        <w:pStyle w:val="ParagraphKeep"/>
        <w:rPr>
          <w:lang w:eastAsia="en-AU"/>
        </w:rPr>
      </w:pPr>
      <w:r>
        <w:rPr>
          <w:lang w:eastAsia="en-AU"/>
        </w:rPr>
        <w:t xml:space="preserve">The three groups who had used the IAA service agreed that it has improved the experience of ICA in the following ways:  </w:t>
      </w:r>
    </w:p>
    <w:p w14:paraId="303B7753" w14:textId="77777777" w:rsidR="00757B05" w:rsidRPr="001D4B16" w:rsidRDefault="00757B05" w:rsidP="001D4B16">
      <w:pPr>
        <w:pStyle w:val="Bullet1"/>
      </w:pPr>
      <w:r w:rsidRPr="001D4B16">
        <w:t>The access to social workers was seen as a key positive development:  Their empathetic approach means, “</w:t>
      </w:r>
      <w:r w:rsidRPr="004D4648">
        <w:rPr>
          <w:rStyle w:val="Emphasis"/>
          <w:iCs w:val="0"/>
        </w:rPr>
        <w:t>They genuinely want to help minimise any stress for the callers</w:t>
      </w:r>
      <w:r w:rsidRPr="004D4648">
        <w:t>”</w:t>
      </w:r>
    </w:p>
    <w:p w14:paraId="745D6E23" w14:textId="77777777" w:rsidR="00757B05" w:rsidRDefault="00757B05" w:rsidP="001D4B16">
      <w:pPr>
        <w:pStyle w:val="Bullet1"/>
      </w:pPr>
      <w:r w:rsidRPr="001D4B16">
        <w:t>The IAA’s</w:t>
      </w:r>
      <w:r>
        <w:t xml:space="preserve"> role as an independent agency was seen as very important.</w:t>
      </w:r>
    </w:p>
    <w:p w14:paraId="3F571D64" w14:textId="77777777" w:rsidR="00757B05" w:rsidRDefault="00757B05" w:rsidP="00757B05">
      <w:pPr>
        <w:pStyle w:val="Quote"/>
      </w:pPr>
      <w:r>
        <w:t>“It’s nice to know you can talk to the IAA if you want to as an avenue for dealing with the state department, so I think this federal hotline has achieved its aim.  If you have problems with the CA at least you have somewhere else to go and voice it.”</w:t>
      </w:r>
    </w:p>
    <w:p w14:paraId="0C0F55BB" w14:textId="77777777" w:rsidR="00757B05" w:rsidRPr="00BC5592" w:rsidRDefault="00757B05" w:rsidP="001D4B16">
      <w:pPr>
        <w:pStyle w:val="Paragraph"/>
      </w:pPr>
      <w:r w:rsidRPr="004A020E">
        <w:rPr>
          <w:rStyle w:val="Strong"/>
        </w:rPr>
        <w:t>Academic informants</w:t>
      </w:r>
      <w:r w:rsidRPr="00BC5592">
        <w:t xml:space="preserve"> considered it </w:t>
      </w:r>
      <w:r w:rsidRPr="00F352B5">
        <w:rPr>
          <w:i/>
          <w:iCs/>
        </w:rPr>
        <w:t>“highly positive that the people employed by the IAA service are social workers</w:t>
      </w:r>
      <w:r w:rsidRPr="00BC5592">
        <w:t>“, citing</w:t>
      </w:r>
      <w:r w:rsidRPr="00F352B5">
        <w:rPr>
          <w:i/>
          <w:iCs/>
        </w:rPr>
        <w:t xml:space="preserve"> </w:t>
      </w:r>
      <w:r w:rsidRPr="00BC5592">
        <w:t xml:space="preserve">this as one of the key mechanisms for making the ICA process more positive.  </w:t>
      </w:r>
      <w:r>
        <w:t xml:space="preserve">They also pointed out that: </w:t>
      </w:r>
      <w:r w:rsidRPr="00F352B5">
        <w:rPr>
          <w:i/>
          <w:iCs/>
        </w:rPr>
        <w:t>“Most PAPs feel that they have to be perfect and always in control”</w:t>
      </w:r>
      <w:r w:rsidRPr="00BC5592">
        <w:t>.  Consequently, fear of jeopardising their application with the STCAs may make</w:t>
      </w:r>
      <w:r>
        <w:t xml:space="preserve"> clients</w:t>
      </w:r>
      <w:r w:rsidRPr="00BC5592">
        <w:t xml:space="preserve"> reluctant to seek help or talk about the negative aspects of the journey.  IAA’s independence from the process was seen as an important contributor to reducing parental stress and improving their experiences of ICA. </w:t>
      </w:r>
    </w:p>
    <w:p w14:paraId="43589697" w14:textId="0831FBE7" w:rsidR="00757B05" w:rsidRDefault="00757B05" w:rsidP="001D4B16">
      <w:pPr>
        <w:pStyle w:val="Paragraph"/>
      </w:pPr>
      <w:r>
        <w:t>The consensus</w:t>
      </w:r>
      <w:r w:rsidRPr="004441E4">
        <w:rPr>
          <w:rStyle w:val="Strong"/>
        </w:rPr>
        <w:t xml:space="preserve"> within IAA</w:t>
      </w:r>
      <w:r>
        <w:t xml:space="preserve"> </w:t>
      </w:r>
      <w:r w:rsidR="00E461F7">
        <w:t xml:space="preserve">service </w:t>
      </w:r>
      <w:r>
        <w:t xml:space="preserve">was that the service has made it easier for people considering adoption and adoptive parents to access information; a view that was supported by feedback from </w:t>
      </w:r>
      <w:r w:rsidR="00EA0E41">
        <w:lastRenderedPageBreak/>
        <w:t>client</w:t>
      </w:r>
      <w:r>
        <w:t xml:space="preserve">s that </w:t>
      </w:r>
      <w:r w:rsidRPr="004441E4">
        <w:rPr>
          <w:rStyle w:val="Emphasis"/>
        </w:rPr>
        <w:t>“it’s good tha</w:t>
      </w:r>
      <w:r w:rsidR="00E461F7">
        <w:rPr>
          <w:rStyle w:val="Emphasis"/>
        </w:rPr>
        <w:t>t all the information is in one</w:t>
      </w:r>
      <w:r w:rsidR="004D4648">
        <w:rPr>
          <w:rStyle w:val="Emphasis"/>
        </w:rPr>
        <w:t xml:space="preserve"> </w:t>
      </w:r>
      <w:r w:rsidRPr="004441E4">
        <w:rPr>
          <w:rStyle w:val="Emphasis"/>
        </w:rPr>
        <w:t>spot with links to all relevant people in the ICA space”</w:t>
      </w:r>
      <w:r>
        <w:t xml:space="preserve">.  </w:t>
      </w:r>
    </w:p>
    <w:p w14:paraId="3895E66A" w14:textId="77777777" w:rsidR="00757B05" w:rsidRDefault="00757B05" w:rsidP="001D4B16">
      <w:pPr>
        <w:pStyle w:val="Paragraph"/>
      </w:pPr>
      <w:r>
        <w:t xml:space="preserve">Additionally, the service’s capacity to refer clients was seen by IAA staff as a further key benefit of the service. </w:t>
      </w:r>
    </w:p>
    <w:p w14:paraId="69B535E4" w14:textId="77777777" w:rsidR="00757B05" w:rsidRPr="004441E4" w:rsidRDefault="00757B05" w:rsidP="00757B05">
      <w:pPr>
        <w:pStyle w:val="Paragraph"/>
        <w:ind w:left="720"/>
        <w:rPr>
          <w:rStyle w:val="Emphasis"/>
        </w:rPr>
      </w:pPr>
      <w:r w:rsidRPr="004441E4">
        <w:rPr>
          <w:rStyle w:val="Emphasis"/>
        </w:rPr>
        <w:t>“I think the greatest success is the way we work with the callers.  We’re able to connect them to the right people, able to engage with them if there are emotional issues as we’re social workers, and to provide a neutral place…We can listen to what they say then move them to the right people. We can’t advocate but we can talk to the states to see what needs to happen, and see how we can work best with the client.”</w:t>
      </w:r>
    </w:p>
    <w:p w14:paraId="67E14D4F" w14:textId="77777777" w:rsidR="00757B05" w:rsidRDefault="00757B05" w:rsidP="00757B05">
      <w:pPr>
        <w:pStyle w:val="Paragraph"/>
      </w:pPr>
      <w:r>
        <w:t xml:space="preserve">From the IAA staff perspective, the stakeholders that were seen to benefit most from IAA’s role as a central point were those interested in expatriate adoptions.  </w:t>
      </w:r>
    </w:p>
    <w:p w14:paraId="495FB59A" w14:textId="1A632BD8" w:rsidR="00757B05" w:rsidRDefault="00757B05" w:rsidP="00757B05">
      <w:pPr>
        <w:pStyle w:val="Paragraph"/>
        <w:ind w:left="720"/>
        <w:rPr>
          <w:rStyle w:val="Emphasis"/>
        </w:rPr>
      </w:pPr>
      <w:r w:rsidRPr="000253AA">
        <w:rPr>
          <w:rStyle w:val="Emphasis"/>
        </w:rPr>
        <w:t>“Before IAA existed there was never a central point for someone thinking about the pros and cons of expatriate adoption could go to for information and advice.  For me, that’s a critical one because we know that’s [expatriate adoptions] a widely used pathway</w:t>
      </w:r>
      <w:r w:rsidR="002536F7">
        <w:rPr>
          <w:rStyle w:val="Emphasis"/>
        </w:rPr>
        <w:t>.</w:t>
      </w:r>
      <w:r w:rsidR="002536F7" w:rsidRPr="002536F7">
        <w:rPr>
          <w:rStyle w:val="Emphasis"/>
          <w:shd w:val="clear" w:color="auto" w:fill="FFFFFF" w:themeFill="background1"/>
        </w:rPr>
        <w:t>…</w:t>
      </w:r>
      <w:r w:rsidRPr="002536F7">
        <w:rPr>
          <w:rStyle w:val="Emphasis"/>
          <w:shd w:val="clear" w:color="auto" w:fill="FFFFFF" w:themeFill="background1"/>
        </w:rPr>
        <w:t xml:space="preserve">  There are</w:t>
      </w:r>
      <w:r w:rsidRPr="000253AA">
        <w:rPr>
          <w:rStyle w:val="Emphasis"/>
        </w:rPr>
        <w:t xml:space="preserve"> significant risks associated with </w:t>
      </w:r>
      <w:r w:rsidR="004D4648">
        <w:rPr>
          <w:rStyle w:val="Emphasis"/>
        </w:rPr>
        <w:t>th</w:t>
      </w:r>
      <w:r w:rsidRPr="000253AA">
        <w:rPr>
          <w:rStyle w:val="Emphasis"/>
        </w:rPr>
        <w:t>is and the staff are now informed about the risks of that pathway - there is no screening of PAPs… people are potentially dealing with trafficking. “</w:t>
      </w:r>
    </w:p>
    <w:p w14:paraId="77C6AFFB" w14:textId="3507AA42" w:rsidR="00757B05" w:rsidRPr="00BC5592" w:rsidRDefault="00E461F7" w:rsidP="003B07DF">
      <w:pPr>
        <w:pStyle w:val="Paragraph"/>
        <w:rPr>
          <w:lang w:eastAsia="en-AU"/>
        </w:rPr>
      </w:pPr>
      <w:r>
        <w:rPr>
          <w:lang w:eastAsia="en-AU"/>
        </w:rPr>
        <w:t>Four</w:t>
      </w:r>
      <w:r w:rsidR="00757B05" w:rsidRPr="00BC5592">
        <w:rPr>
          <w:lang w:eastAsia="en-AU"/>
        </w:rPr>
        <w:t xml:space="preserve"> key characteristic</w:t>
      </w:r>
      <w:r w:rsidR="004D4648">
        <w:rPr>
          <w:lang w:eastAsia="en-AU"/>
        </w:rPr>
        <w:t>s</w:t>
      </w:r>
      <w:r w:rsidR="00757B05" w:rsidRPr="00BC5592">
        <w:rPr>
          <w:lang w:eastAsia="en-AU"/>
        </w:rPr>
        <w:t xml:space="preserve"> of the IAA service were listed by</w:t>
      </w:r>
      <w:r w:rsidR="00757B05">
        <w:rPr>
          <w:lang w:eastAsia="en-AU"/>
        </w:rPr>
        <w:t xml:space="preserve"> IAA stakeholders </w:t>
      </w:r>
      <w:r w:rsidR="00757B05" w:rsidRPr="00BC5592">
        <w:rPr>
          <w:lang w:eastAsia="en-AU"/>
        </w:rPr>
        <w:t>to support their view that IAA had improved clients’ experience of ICA:</w:t>
      </w:r>
    </w:p>
    <w:p w14:paraId="1C5A24A0" w14:textId="35103EDC" w:rsidR="00757B05" w:rsidRPr="00BC5592" w:rsidRDefault="00757B05" w:rsidP="003B07DF">
      <w:pPr>
        <w:pStyle w:val="Bullet1"/>
      </w:pPr>
      <w:r w:rsidRPr="00BC5592">
        <w:t xml:space="preserve">Capacity to manage client expectations.  </w:t>
      </w:r>
      <w:r w:rsidRPr="004D4648">
        <w:rPr>
          <w:i/>
        </w:rPr>
        <w:t>“Managing expectations is the underlying issue.  Whoever you’re speaking to, grief and loss is always the undercurrent</w:t>
      </w:r>
      <w:r w:rsidR="004D4648" w:rsidRPr="004D4648">
        <w:rPr>
          <w:i/>
        </w:rPr>
        <w:t>,</w:t>
      </w:r>
      <w:r w:rsidRPr="004D4648">
        <w:rPr>
          <w:i/>
        </w:rPr>
        <w:t xml:space="preserve"> always part of what brings people to contact us.</w:t>
      </w:r>
      <w:r w:rsidR="004D4648" w:rsidRPr="004D4648">
        <w:rPr>
          <w:i/>
        </w:rPr>
        <w:t>”</w:t>
      </w:r>
      <w:r w:rsidRPr="004D4648">
        <w:rPr>
          <w:i/>
        </w:rPr>
        <w:t xml:space="preserve">  </w:t>
      </w:r>
    </w:p>
    <w:p w14:paraId="493BCBF1" w14:textId="77777777" w:rsidR="00757B05" w:rsidRPr="00BC5592" w:rsidRDefault="00757B05" w:rsidP="003B07DF">
      <w:pPr>
        <w:pStyle w:val="Bullet1"/>
      </w:pPr>
      <w:r w:rsidRPr="00BC5592">
        <w:t>Capacity to provide a non-time-limited therapeutic response:</w:t>
      </w:r>
    </w:p>
    <w:p w14:paraId="160BB0C6" w14:textId="77777777" w:rsidR="00757B05" w:rsidRPr="00BC5592" w:rsidRDefault="00757B05" w:rsidP="003B07DF">
      <w:pPr>
        <w:pStyle w:val="Quote"/>
      </w:pPr>
      <w:r w:rsidRPr="00BC5592">
        <w:t>”A lot of those people want to go into detail about the struggle and the CAs are very stretched anyway.  It’s good to have somewhere else to send those people to have a chance to have that conversation that they need to have - they might not get that time and space in stretched services that are there for a really specific purpose.”</w:t>
      </w:r>
    </w:p>
    <w:p w14:paraId="598955B3" w14:textId="77777777" w:rsidR="00757B05" w:rsidRPr="00BC5592" w:rsidRDefault="00757B05" w:rsidP="003B07DF">
      <w:pPr>
        <w:pStyle w:val="Quote"/>
      </w:pPr>
      <w:r w:rsidRPr="00BC5592">
        <w:t>“Because we all come from health professional backgrounds we try and assist people to the best of our ability, if that means spending an hour discussing their fertility issues and the grief associated with that, on a professional level that has been really important to offer”.</w:t>
      </w:r>
    </w:p>
    <w:p w14:paraId="04A98F98" w14:textId="77777777" w:rsidR="00757B05" w:rsidRPr="004D4648" w:rsidRDefault="00757B05" w:rsidP="003B07DF">
      <w:pPr>
        <w:pStyle w:val="Bullet1"/>
        <w:rPr>
          <w:i/>
        </w:rPr>
      </w:pPr>
      <w:r w:rsidRPr="00BC5592">
        <w:t>IAA’s neutrality in the ICA process.  “</w:t>
      </w:r>
      <w:r w:rsidRPr="004D4648">
        <w:rPr>
          <w:i/>
        </w:rPr>
        <w:t xml:space="preserve">We’re a pretty safe ear to vent on, or people come to us to try and get a different answer as well.” </w:t>
      </w:r>
    </w:p>
    <w:p w14:paraId="77F66C58" w14:textId="77777777" w:rsidR="00757B05" w:rsidRPr="004D4648" w:rsidRDefault="00757B05" w:rsidP="003B07DF">
      <w:pPr>
        <w:pStyle w:val="Bullet1"/>
        <w:rPr>
          <w:i/>
        </w:rPr>
      </w:pPr>
      <w:r w:rsidRPr="00BC5592">
        <w:t>Capacity to assist clients through the complexities of ICA processes</w:t>
      </w:r>
      <w:r w:rsidRPr="004D4648">
        <w:rPr>
          <w:i/>
        </w:rPr>
        <w:t>.  “IAA provides a really important service to assist in better coordination for people going through the formal process.”</w:t>
      </w:r>
    </w:p>
    <w:p w14:paraId="43A759AA" w14:textId="77777777" w:rsidR="00757B05" w:rsidRDefault="00757B05" w:rsidP="00757B05">
      <w:pPr>
        <w:pStyle w:val="Paragraph"/>
        <w:rPr>
          <w:lang w:eastAsia="en-AU"/>
        </w:rPr>
      </w:pPr>
      <w:r w:rsidRPr="00BC5592">
        <w:rPr>
          <w:lang w:eastAsia="en-AU"/>
        </w:rPr>
        <w:t>Anecdotal evidence was also cited from informal client feedback.  “</w:t>
      </w:r>
      <w:r w:rsidRPr="00A2582D">
        <w:rPr>
          <w:rStyle w:val="Emphasis"/>
        </w:rPr>
        <w:t>99% of people I speak with tell me how helpful it’s been</w:t>
      </w:r>
      <w:r w:rsidRPr="00BC5592">
        <w:rPr>
          <w:lang w:eastAsia="en-AU"/>
        </w:rPr>
        <w:t>.” “</w:t>
      </w:r>
      <w:r w:rsidRPr="00A2582D">
        <w:rPr>
          <w:rStyle w:val="Emphasis"/>
        </w:rPr>
        <w:t>No one has cared like you do</w:t>
      </w:r>
      <w:r w:rsidRPr="00BC5592">
        <w:rPr>
          <w:lang w:eastAsia="en-AU"/>
        </w:rPr>
        <w:t>.”</w:t>
      </w:r>
    </w:p>
    <w:p w14:paraId="0627A59B" w14:textId="77777777" w:rsidR="00757B05" w:rsidRDefault="00757B05" w:rsidP="003B07DF">
      <w:pPr>
        <w:pStyle w:val="Paragraph"/>
      </w:pPr>
      <w:r w:rsidRPr="000253AA">
        <w:rPr>
          <w:rStyle w:val="Strong"/>
        </w:rPr>
        <w:t>All stakeholders</w:t>
      </w:r>
      <w:r>
        <w:rPr>
          <w:rStyle w:val="Strong"/>
        </w:rPr>
        <w:t xml:space="preserve"> </w:t>
      </w:r>
      <w:r>
        <w:t xml:space="preserve">highlighted the emotive nature of ICA and the stress incurred by the long timeframes associated with the process, both of which impact on clients’ experiences of ICA.  The fact that the key sources of potentially negative experience are related to the application process, led some stakeholders </w:t>
      </w:r>
      <w:r>
        <w:lastRenderedPageBreak/>
        <w:t xml:space="preserve">to question the extent to which IAA could practically influence services users’ experience of the ICA process: </w:t>
      </w:r>
    </w:p>
    <w:p w14:paraId="3A08CC6D" w14:textId="77777777" w:rsidR="00757B05" w:rsidRPr="000253AA" w:rsidRDefault="00757B05" w:rsidP="003B07DF">
      <w:pPr>
        <w:pStyle w:val="Quote"/>
        <w:rPr>
          <w:rStyle w:val="Emphasis"/>
        </w:rPr>
      </w:pPr>
      <w:r w:rsidRPr="004D4648">
        <w:rPr>
          <w:i w:val="0"/>
        </w:rPr>
        <w:t>“</w:t>
      </w:r>
      <w:r w:rsidRPr="004D4648">
        <w:rPr>
          <w:rStyle w:val="Emphasis"/>
          <w:i/>
        </w:rPr>
        <w:t>Some people might feel more supported now that there is a caring ear but …IAA can’t help speeding up files and they can’t open a new program”</w:t>
      </w:r>
      <w:r>
        <w:rPr>
          <w:rStyle w:val="Emphasis"/>
        </w:rPr>
        <w:t xml:space="preserve"> </w:t>
      </w:r>
      <w:r w:rsidRPr="000253AA">
        <w:rPr>
          <w:rStyle w:val="ParagraphChar"/>
        </w:rPr>
        <w:t>(Commonwealth stakeholder)</w:t>
      </w:r>
    </w:p>
    <w:p w14:paraId="7E97565F" w14:textId="452E8555" w:rsidR="00757B05" w:rsidRPr="00B61E21" w:rsidRDefault="00757B05" w:rsidP="003B07DF">
      <w:pPr>
        <w:pStyle w:val="Quote"/>
      </w:pPr>
      <w:r w:rsidRPr="00B61E21">
        <w:t>“It’s a very challenging space for IAA to do a lot more than provide information because DSS has no control over any of the states and territories, so it’s very difficult</w:t>
      </w:r>
      <w:r w:rsidR="004D4648">
        <w:t>,</w:t>
      </w:r>
      <w:r w:rsidRPr="00B61E21">
        <w:t xml:space="preserve"> in some ways their hands are tied in what support they can actually provide apart from information”</w:t>
      </w:r>
      <w:r>
        <w:t xml:space="preserve"> </w:t>
      </w:r>
      <w:r w:rsidRPr="00C477AD">
        <w:rPr>
          <w:rStyle w:val="ParagraphChar"/>
        </w:rPr>
        <w:t xml:space="preserve">(STCA) </w:t>
      </w:r>
    </w:p>
    <w:p w14:paraId="0ED9867B" w14:textId="77777777" w:rsidR="00757B05" w:rsidRPr="00B61E21" w:rsidRDefault="00757B05" w:rsidP="003B07DF">
      <w:pPr>
        <w:pStyle w:val="Quote"/>
      </w:pPr>
      <w:r w:rsidRPr="00B61E21">
        <w:t>“I don’t know if IAA has benefited PAPs.  I find that people know it’s there and probably look at the website and we encourage them to, but because we deliver the service and they have easy access to talk to us and need to be referred back to us anyway I’m not sure how much it has benefitted PAPs as they could contact us anyway...at the end of the day they need to go t</w:t>
      </w:r>
      <w:r>
        <w:t xml:space="preserve">o the state department anyway” </w:t>
      </w:r>
      <w:r w:rsidRPr="00C477AD">
        <w:rPr>
          <w:rStyle w:val="ParagraphChar"/>
        </w:rPr>
        <w:t>(STCA).</w:t>
      </w:r>
    </w:p>
    <w:p w14:paraId="4A08DBD9" w14:textId="73A1816C" w:rsidR="00757B05" w:rsidRPr="003B07DF" w:rsidRDefault="00757B05" w:rsidP="003B07DF">
      <w:pPr>
        <w:pStyle w:val="Paragraph"/>
      </w:pPr>
      <w:r w:rsidRPr="003B07DF">
        <w:t xml:space="preserve">Some stakeholders reported that the IAA service has added another unnecessary layer and barrier to ICA. </w:t>
      </w:r>
    </w:p>
    <w:tbl>
      <w:tblPr>
        <w:tblStyle w:val="TableGrid"/>
        <w:tblW w:w="9392" w:type="dxa"/>
        <w:tblInd w:w="108" w:type="dxa"/>
        <w:tblBorders>
          <w:top w:val="single" w:sz="4" w:space="0" w:color="0079C1" w:themeColor="text2"/>
          <w:left w:val="single" w:sz="4" w:space="0" w:color="0079C1" w:themeColor="text2"/>
          <w:bottom w:val="single" w:sz="4" w:space="0" w:color="0079C1" w:themeColor="text2"/>
          <w:right w:val="single" w:sz="4" w:space="0" w:color="0079C1" w:themeColor="text2"/>
          <w:insideH w:val="none" w:sz="0" w:space="0" w:color="auto"/>
          <w:insideV w:val="none" w:sz="0" w:space="0" w:color="auto"/>
        </w:tblBorders>
        <w:shd w:val="clear" w:color="auto" w:fill="E2F4FF" w:themeFill="accent1" w:themeFillTint="33"/>
        <w:tblLook w:val="04A0" w:firstRow="1" w:lastRow="0" w:firstColumn="1" w:lastColumn="0" w:noHBand="0" w:noVBand="1"/>
        <w:tblDescription w:val="Key findings:&#10;• In the survey, only 12.2% parental stakeholders reported that their experience had improved as a result of IAA.  This is despite 131/220 respondents (59.5%) have having reported using the website and 42/220 respondents (19.1%) reporting having used the 1800 information line. This low ranking may be attributable to the fact that more than half of all parental respondents (51.3%) commenced engagement with the ICA process prior to the establishment of IAA and a further 21.3% did not provide date details&#10;• All other non-parental stakeholders highlighted the complex nature of ICA and the stress incurred by the long timeframes associated with the process, both of which impact on clients’ experiences of ICA&#10;• IAA’s capacity to practically influence services users’ experience of the application process at STCA or partner country level, which is a key source of negative experience for parents, was seen as limited&#10;• Key aspects of the IAA’s role that were seen to improve parents’ experiences were:&#10; The therapeutic, empathetic and supportive role of IAA social workers &#10; IAA’s role as an independent agency.&#10;"/>
      </w:tblPr>
      <w:tblGrid>
        <w:gridCol w:w="9392"/>
      </w:tblGrid>
      <w:tr w:rsidR="009B41A3" w14:paraId="247A4483" w14:textId="77777777" w:rsidTr="004E43C8">
        <w:trPr>
          <w:cantSplit/>
          <w:tblHeader/>
        </w:trPr>
        <w:tc>
          <w:tcPr>
            <w:tcW w:w="9392" w:type="dxa"/>
            <w:shd w:val="clear" w:color="auto" w:fill="E2F4FF" w:themeFill="accent1" w:themeFillTint="33"/>
          </w:tcPr>
          <w:p w14:paraId="3F3AF0F9" w14:textId="488125CD" w:rsidR="009B41A3" w:rsidRPr="008A1452" w:rsidRDefault="009B41A3" w:rsidP="00D2747A">
            <w:pPr>
              <w:pStyle w:val="TableHeading2Row"/>
              <w:rPr>
                <w:color w:val="auto"/>
                <w:lang w:val="en-AU"/>
              </w:rPr>
            </w:pPr>
            <w:r w:rsidRPr="008A1452">
              <w:rPr>
                <w:color w:val="auto"/>
                <w:lang w:val="en-AU"/>
              </w:rPr>
              <w:t>Key findings:</w:t>
            </w:r>
          </w:p>
          <w:p w14:paraId="409BCD34" w14:textId="288DCF74" w:rsidR="00F36F4E" w:rsidRDefault="00207E8C" w:rsidP="00812019">
            <w:pPr>
              <w:pStyle w:val="Bullet1"/>
              <w:rPr>
                <w:lang w:val="en-AU"/>
              </w:rPr>
            </w:pPr>
            <w:r w:rsidRPr="00207E8C">
              <w:rPr>
                <w:lang w:val="en-AU"/>
              </w:rPr>
              <w:t>In the survey, only 12.2% parental stakeholders reported that their experience had improved as a resul</w:t>
            </w:r>
            <w:r w:rsidR="00E461F7">
              <w:rPr>
                <w:lang w:val="en-AU"/>
              </w:rPr>
              <w:t xml:space="preserve">t of IAA.  </w:t>
            </w:r>
            <w:r w:rsidR="005D55BC">
              <w:rPr>
                <w:lang w:val="en-AU"/>
              </w:rPr>
              <w:t>T</w:t>
            </w:r>
            <w:r w:rsidR="005D55BC" w:rsidRPr="005D55BC">
              <w:rPr>
                <w:lang w:val="en-AU"/>
              </w:rPr>
              <w:t>his is despite 131/220 respondents (59.5%) have having reported using the website and 42/220 respondents (19.1%) reporting having used the 1800 information line.</w:t>
            </w:r>
            <w:r w:rsidR="005D55BC">
              <w:rPr>
                <w:lang w:val="en-AU"/>
              </w:rPr>
              <w:t xml:space="preserve"> </w:t>
            </w:r>
            <w:r w:rsidR="00E461F7">
              <w:rPr>
                <w:lang w:val="en-AU"/>
              </w:rPr>
              <w:t>This low ranking may</w:t>
            </w:r>
            <w:r w:rsidRPr="00207E8C">
              <w:rPr>
                <w:lang w:val="en-AU"/>
              </w:rPr>
              <w:t xml:space="preserve"> be attributable to the fact that more than half of all parental respondents (51.3%) commenced engagement with the ICA process prior to the establishment of IAA and a further 21.3% did not provide date details</w:t>
            </w:r>
          </w:p>
          <w:p w14:paraId="353FB90F" w14:textId="33B74893" w:rsidR="00207E8C" w:rsidRDefault="00207E8C" w:rsidP="00812019">
            <w:pPr>
              <w:pStyle w:val="Bullet1"/>
              <w:rPr>
                <w:lang w:val="en-AU"/>
              </w:rPr>
            </w:pPr>
            <w:r w:rsidRPr="00207E8C">
              <w:rPr>
                <w:lang w:val="en-AU"/>
              </w:rPr>
              <w:t xml:space="preserve">All </w:t>
            </w:r>
            <w:r w:rsidR="00F36F4E">
              <w:rPr>
                <w:lang w:val="en-AU"/>
              </w:rPr>
              <w:t xml:space="preserve">other </w:t>
            </w:r>
            <w:r w:rsidR="00C6470F">
              <w:rPr>
                <w:lang w:val="en-AU"/>
              </w:rPr>
              <w:t xml:space="preserve">non-parental </w:t>
            </w:r>
            <w:r w:rsidRPr="00207E8C">
              <w:rPr>
                <w:lang w:val="en-AU"/>
              </w:rPr>
              <w:t xml:space="preserve">stakeholders highlighted the </w:t>
            </w:r>
            <w:r w:rsidR="00BA0991">
              <w:rPr>
                <w:lang w:val="en-AU"/>
              </w:rPr>
              <w:t>complex</w:t>
            </w:r>
            <w:r w:rsidR="00BA0991" w:rsidRPr="00207E8C">
              <w:rPr>
                <w:lang w:val="en-AU"/>
              </w:rPr>
              <w:t xml:space="preserve"> </w:t>
            </w:r>
            <w:r w:rsidRPr="00207E8C">
              <w:rPr>
                <w:lang w:val="en-AU"/>
              </w:rPr>
              <w:t>nature of ICA and the stress incurred by the long timeframes associated with the process, both of which impact on clients’ experiences of ICA</w:t>
            </w:r>
          </w:p>
          <w:p w14:paraId="043DBEB4" w14:textId="77777777" w:rsidR="009B41A3" w:rsidRDefault="00207E8C" w:rsidP="00812019">
            <w:pPr>
              <w:pStyle w:val="Bullet1"/>
              <w:rPr>
                <w:lang w:val="en-AU"/>
              </w:rPr>
            </w:pPr>
            <w:r w:rsidRPr="00207E8C">
              <w:rPr>
                <w:lang w:val="en-AU"/>
              </w:rPr>
              <w:t>IAA</w:t>
            </w:r>
            <w:r>
              <w:rPr>
                <w:lang w:val="en-AU"/>
              </w:rPr>
              <w:t xml:space="preserve">’s capacity to </w:t>
            </w:r>
            <w:r w:rsidRPr="00207E8C">
              <w:rPr>
                <w:lang w:val="en-AU"/>
              </w:rPr>
              <w:t>practically influence services users’ experience of the</w:t>
            </w:r>
            <w:r>
              <w:rPr>
                <w:lang w:val="en-AU"/>
              </w:rPr>
              <w:t xml:space="preserve"> application process at STCA or partner country level, which is a key source of negative experience for parents, was seen as limited</w:t>
            </w:r>
          </w:p>
          <w:p w14:paraId="0CCDA6B5" w14:textId="77777777" w:rsidR="00F36F4E" w:rsidRDefault="00F36F4E" w:rsidP="00812019">
            <w:pPr>
              <w:pStyle w:val="Bullet1"/>
              <w:rPr>
                <w:lang w:val="en-AU"/>
              </w:rPr>
            </w:pPr>
            <w:r>
              <w:rPr>
                <w:lang w:val="en-AU"/>
              </w:rPr>
              <w:t xml:space="preserve">Key aspects of the IAA’s role that were seen to </w:t>
            </w:r>
            <w:r w:rsidRPr="00F36F4E">
              <w:rPr>
                <w:lang w:val="en-AU"/>
              </w:rPr>
              <w:t>improv</w:t>
            </w:r>
            <w:r>
              <w:rPr>
                <w:lang w:val="en-AU"/>
              </w:rPr>
              <w:t>e</w:t>
            </w:r>
            <w:r w:rsidRPr="00F36F4E">
              <w:rPr>
                <w:lang w:val="en-AU"/>
              </w:rPr>
              <w:t xml:space="preserve"> parents’ experiences</w:t>
            </w:r>
            <w:r>
              <w:rPr>
                <w:lang w:val="en-AU"/>
              </w:rPr>
              <w:t xml:space="preserve"> were:</w:t>
            </w:r>
          </w:p>
          <w:p w14:paraId="48B208F9" w14:textId="39A2851C" w:rsidR="00207E8C" w:rsidRDefault="00F36F4E" w:rsidP="00F36F4E">
            <w:pPr>
              <w:pStyle w:val="Bullet2"/>
              <w:rPr>
                <w:lang w:val="en-AU"/>
              </w:rPr>
            </w:pPr>
            <w:r>
              <w:rPr>
                <w:lang w:val="en-AU"/>
              </w:rPr>
              <w:t xml:space="preserve">The therapeutic, </w:t>
            </w:r>
            <w:r w:rsidR="003B07DF">
              <w:rPr>
                <w:lang w:val="en-AU"/>
              </w:rPr>
              <w:t>empathetic and</w:t>
            </w:r>
            <w:r>
              <w:rPr>
                <w:lang w:val="en-AU"/>
              </w:rPr>
              <w:t xml:space="preserve"> supportive role of IAA social workers </w:t>
            </w:r>
          </w:p>
          <w:p w14:paraId="533B495D" w14:textId="06EAB4E3" w:rsidR="00F36F4E" w:rsidRDefault="00F36F4E" w:rsidP="00F36F4E">
            <w:pPr>
              <w:pStyle w:val="Bullet2"/>
              <w:rPr>
                <w:lang w:val="en-AU"/>
              </w:rPr>
            </w:pPr>
            <w:r>
              <w:rPr>
                <w:lang w:val="en-AU"/>
              </w:rPr>
              <w:t>IAA’s</w:t>
            </w:r>
            <w:r w:rsidRPr="00F36F4E">
              <w:rPr>
                <w:lang w:val="en-AU"/>
              </w:rPr>
              <w:t xml:space="preserve"> role as an independent agency</w:t>
            </w:r>
            <w:r>
              <w:rPr>
                <w:lang w:val="en-AU"/>
              </w:rPr>
              <w:t>.</w:t>
            </w:r>
          </w:p>
        </w:tc>
      </w:tr>
    </w:tbl>
    <w:p w14:paraId="44879475" w14:textId="77777777" w:rsidR="00757B05" w:rsidRPr="00757B05" w:rsidRDefault="00757B05" w:rsidP="00572E38">
      <w:pPr>
        <w:pStyle w:val="Heading2"/>
      </w:pPr>
      <w:bookmarkStart w:id="174" w:name="_Toc462773970"/>
      <w:bookmarkStart w:id="175" w:name="_Toc490481632"/>
      <w:r w:rsidRPr="00757B05">
        <w:t>Are adoptive parents’ experiences of immigration and passport processes improved?</w:t>
      </w:r>
      <w:bookmarkEnd w:id="174"/>
      <w:bookmarkEnd w:id="175"/>
      <w:r w:rsidRPr="00757B05">
        <w:t xml:space="preserve"> </w:t>
      </w:r>
    </w:p>
    <w:p w14:paraId="20572539" w14:textId="7C5787CB" w:rsidR="00757B05" w:rsidRPr="00757B05" w:rsidRDefault="00757B05" w:rsidP="003B07DF">
      <w:pPr>
        <w:pStyle w:val="Paragraph"/>
        <w:rPr>
          <w:lang w:eastAsia="en-AU"/>
        </w:rPr>
      </w:pPr>
      <w:r w:rsidRPr="00757B05">
        <w:t xml:space="preserve">From </w:t>
      </w:r>
      <w:r w:rsidR="00E461F7">
        <w:t xml:space="preserve">the </w:t>
      </w:r>
      <w:r w:rsidRPr="00757B05">
        <w:rPr>
          <w:b/>
          <w:bCs/>
        </w:rPr>
        <w:t>IAA</w:t>
      </w:r>
      <w:r w:rsidR="00E461F7">
        <w:rPr>
          <w:b/>
          <w:bCs/>
        </w:rPr>
        <w:t xml:space="preserve"> service</w:t>
      </w:r>
      <w:r w:rsidRPr="00757B05">
        <w:rPr>
          <w:b/>
          <w:bCs/>
        </w:rPr>
        <w:t>’s perspective</w:t>
      </w:r>
      <w:r w:rsidRPr="00757B05">
        <w:t>,</w:t>
      </w:r>
      <w:r w:rsidR="00E461F7">
        <w:t xml:space="preserve"> their </w:t>
      </w:r>
      <w:r w:rsidRPr="00757B05">
        <w:t>role as a conduit between clients and immigration and passport processes was seen as the key means whereby clients’ experiences had been improved in this area.  IAA works closely with the Adoption Liaison Team in DIBP and provides warm referrals to other agencies as required.  “</w:t>
      </w:r>
      <w:r w:rsidRPr="00757B05">
        <w:rPr>
          <w:i/>
          <w:iCs/>
        </w:rPr>
        <w:t xml:space="preserve">It’s good for them [clients] to </w:t>
      </w:r>
      <w:r w:rsidRPr="002536F7">
        <w:rPr>
          <w:i/>
          <w:iCs/>
          <w:shd w:val="clear" w:color="auto" w:fill="FFFFFF" w:themeFill="background1"/>
        </w:rPr>
        <w:t>be able to call us and have us give them a warm referral.  We’ve been able to speak to agencies on their behalf”.</w:t>
      </w:r>
      <w:r w:rsidRPr="002536F7">
        <w:rPr>
          <w:i/>
          <w:shd w:val="clear" w:color="auto" w:fill="FFFFFF" w:themeFill="background1"/>
        </w:rPr>
        <w:t xml:space="preserve"> </w:t>
      </w:r>
      <w:r w:rsidRPr="002536F7" w:rsidDel="00A81072">
        <w:rPr>
          <w:i/>
          <w:shd w:val="clear" w:color="auto" w:fill="FFFFFF" w:themeFill="background1"/>
        </w:rPr>
        <w:t xml:space="preserve"> </w:t>
      </w:r>
      <w:r w:rsidRPr="002536F7">
        <w:rPr>
          <w:shd w:val="clear" w:color="auto" w:fill="FFFFFF" w:themeFill="background1"/>
          <w:lang w:eastAsia="en-AU"/>
        </w:rPr>
        <w:t>IAA cannot however, provide immigration advice.</w:t>
      </w:r>
    </w:p>
    <w:p w14:paraId="4A3BB195" w14:textId="4563131C" w:rsidR="00757B05" w:rsidRPr="00757B05" w:rsidRDefault="00757B05" w:rsidP="003B07DF">
      <w:pPr>
        <w:pStyle w:val="Paragraph"/>
      </w:pPr>
      <w:r w:rsidRPr="00757B05">
        <w:lastRenderedPageBreak/>
        <w:t xml:space="preserve">As outlined in </w:t>
      </w:r>
      <w:r w:rsidRPr="00757B05">
        <w:rPr>
          <w:i/>
          <w:iCs/>
        </w:rPr>
        <w:t xml:space="preserve">Section </w:t>
      </w:r>
      <w:r w:rsidRPr="00757B05">
        <w:rPr>
          <w:i/>
          <w:iCs/>
        </w:rPr>
        <w:fldChar w:fldCharType="begin"/>
      </w:r>
      <w:r w:rsidRPr="00757B05">
        <w:rPr>
          <w:i/>
          <w:iCs/>
        </w:rPr>
        <w:instrText xml:space="preserve"> REF _Ref462938878 \r \h  \* MERGEFORMAT </w:instrText>
      </w:r>
      <w:r w:rsidRPr="00757B05">
        <w:rPr>
          <w:i/>
          <w:iCs/>
        </w:rPr>
      </w:r>
      <w:r w:rsidRPr="00757B05">
        <w:rPr>
          <w:i/>
          <w:iCs/>
        </w:rPr>
        <w:fldChar w:fldCharType="separate"/>
      </w:r>
      <w:r w:rsidR="00487073">
        <w:rPr>
          <w:i/>
          <w:iCs/>
        </w:rPr>
        <w:t>6.5.2</w:t>
      </w:r>
      <w:r w:rsidRPr="00757B05">
        <w:rPr>
          <w:i/>
          <w:iCs/>
        </w:rPr>
        <w:fldChar w:fldCharType="end"/>
      </w:r>
      <w:r w:rsidRPr="00757B05">
        <w:rPr>
          <w:i/>
          <w:iCs/>
        </w:rPr>
        <w:t>,</w:t>
      </w:r>
      <w:r w:rsidRPr="00757B05">
        <w:t xml:space="preserve"> IAA provided assistance to STCAs and clients following the </w:t>
      </w:r>
      <w:r w:rsidR="00E461F7">
        <w:t xml:space="preserve">recent </w:t>
      </w:r>
      <w:r w:rsidRPr="00757B05">
        <w:t xml:space="preserve">change to evidence requirements for passport eligibility.  </w:t>
      </w:r>
    </w:p>
    <w:p w14:paraId="6F186B9B" w14:textId="77777777" w:rsidR="00757B05" w:rsidRPr="00757B05" w:rsidRDefault="00757B05" w:rsidP="003B07DF">
      <w:pPr>
        <w:pStyle w:val="Paragraph"/>
      </w:pPr>
      <w:r w:rsidRPr="00757B05">
        <w:rPr>
          <w:b/>
          <w:bCs/>
        </w:rPr>
        <w:t>Commonwealth stakeholders</w:t>
      </w:r>
      <w:r w:rsidRPr="00757B05">
        <w:t xml:space="preserve"> identified two key means whereby parents’ experience of immigration and passport processes have been improved by IAA:</w:t>
      </w:r>
    </w:p>
    <w:p w14:paraId="16E50848" w14:textId="77777777" w:rsidR="00757B05" w:rsidRPr="00757B05" w:rsidRDefault="00757B05" w:rsidP="003B07DF">
      <w:pPr>
        <w:pStyle w:val="Bullet1"/>
      </w:pPr>
      <w:r w:rsidRPr="00757B05">
        <w:t xml:space="preserve">IAA assists parents to navigate the immigration and passport processes: </w:t>
      </w:r>
    </w:p>
    <w:p w14:paraId="6B7B6614" w14:textId="77777777" w:rsidR="00757B05" w:rsidRPr="00757B05" w:rsidRDefault="00757B05" w:rsidP="003B07DF">
      <w:pPr>
        <w:pStyle w:val="Quote"/>
      </w:pPr>
      <w:r w:rsidRPr="00757B05">
        <w:t>“The benefit of IAA is they negotiate the immigration question for people, they talk to the adoption liaison team and feed it back to the callers which is a far better experience for the callers rather than going round and round and not knowing how to phrase what they mean.”</w:t>
      </w:r>
    </w:p>
    <w:p w14:paraId="780808BF" w14:textId="77777777" w:rsidR="00757B05" w:rsidRPr="005263DE" w:rsidRDefault="00757B05" w:rsidP="003B07DF">
      <w:pPr>
        <w:pStyle w:val="Bullet1"/>
      </w:pPr>
      <w:r w:rsidRPr="005263DE">
        <w:t>IAA provides additional emotional support during this stage in the ICA process:</w:t>
      </w:r>
    </w:p>
    <w:p w14:paraId="67446E69" w14:textId="07996652" w:rsidR="00757B05" w:rsidRPr="00757B05" w:rsidRDefault="00757B05" w:rsidP="00757B05">
      <w:pPr>
        <w:spacing w:before="120" w:after="240"/>
        <w:ind w:left="709" w:right="709"/>
        <w:rPr>
          <w:i/>
          <w:iCs/>
          <w:color w:val="000000" w:themeColor="text1"/>
        </w:rPr>
      </w:pPr>
      <w:r w:rsidRPr="005263DE">
        <w:rPr>
          <w:i/>
          <w:iCs/>
          <w:color w:val="000000" w:themeColor="text1"/>
        </w:rPr>
        <w:t>“Callers themselves</w:t>
      </w:r>
      <w:r w:rsidR="004D4648" w:rsidRPr="005263DE">
        <w:rPr>
          <w:i/>
          <w:iCs/>
          <w:color w:val="000000" w:themeColor="text1"/>
        </w:rPr>
        <w:t>,</w:t>
      </w:r>
      <w:r w:rsidRPr="005263DE">
        <w:rPr>
          <w:i/>
          <w:iCs/>
          <w:color w:val="000000" w:themeColor="text1"/>
        </w:rPr>
        <w:t xml:space="preserve"> they’re getting a bit more than they were able to get </w:t>
      </w:r>
      <w:r w:rsidR="005263DE" w:rsidRPr="005263DE">
        <w:rPr>
          <w:i/>
          <w:iCs/>
          <w:color w:val="000000" w:themeColor="text1"/>
        </w:rPr>
        <w:t>…</w:t>
      </w:r>
      <w:r w:rsidRPr="005263DE">
        <w:rPr>
          <w:i/>
          <w:iCs/>
          <w:color w:val="000000" w:themeColor="text1"/>
        </w:rPr>
        <w:t xml:space="preserve"> before.  From the social work </w:t>
      </w:r>
      <w:r w:rsidR="003C00FA" w:rsidRPr="005263DE">
        <w:rPr>
          <w:i/>
          <w:iCs/>
          <w:color w:val="000000" w:themeColor="text1"/>
        </w:rPr>
        <w:t>perspective,</w:t>
      </w:r>
      <w:r w:rsidRPr="005263DE">
        <w:rPr>
          <w:i/>
          <w:iCs/>
          <w:color w:val="000000" w:themeColor="text1"/>
        </w:rPr>
        <w:t xml:space="preserve"> they are able to give a bit of counselling to those</w:t>
      </w:r>
      <w:r w:rsidRPr="00757B05">
        <w:rPr>
          <w:i/>
          <w:iCs/>
          <w:color w:val="000000" w:themeColor="text1"/>
        </w:rPr>
        <w:t xml:space="preserve"> callers where required.”</w:t>
      </w:r>
    </w:p>
    <w:p w14:paraId="474CA90E" w14:textId="14C27C0B" w:rsidR="00757B05" w:rsidRPr="00757B05" w:rsidRDefault="00757B05" w:rsidP="003B07DF">
      <w:pPr>
        <w:pStyle w:val="Paragraph"/>
        <w:rPr>
          <w:lang w:eastAsia="en-AU"/>
        </w:rPr>
      </w:pPr>
      <w:r w:rsidRPr="00757B05">
        <w:rPr>
          <w:b/>
          <w:bCs/>
        </w:rPr>
        <w:t>Parent support and advocacy groups</w:t>
      </w:r>
      <w:r w:rsidRPr="00757B05">
        <w:t xml:space="preserve"> reported that </w:t>
      </w:r>
      <w:r w:rsidRPr="00757B05">
        <w:rPr>
          <w:lang w:eastAsia="en-AU"/>
        </w:rPr>
        <w:t xml:space="preserve">IAA has improved adoptive parents’ experience of applying for a </w:t>
      </w:r>
      <w:r w:rsidR="005B2F99">
        <w:rPr>
          <w:lang w:eastAsia="en-AU"/>
        </w:rPr>
        <w:t>v</w:t>
      </w:r>
      <w:r w:rsidRPr="00757B05">
        <w:rPr>
          <w:lang w:eastAsia="en-AU"/>
        </w:rPr>
        <w:t xml:space="preserve">isa or citizenship for their adopted child.  The IAA liaises with immigration and the AGD on behalf of the adoptive parents, alleviating a major stress point for the parents. </w:t>
      </w:r>
    </w:p>
    <w:tbl>
      <w:tblPr>
        <w:tblStyle w:val="TableGrid"/>
        <w:tblW w:w="9392" w:type="dxa"/>
        <w:tblInd w:w="108" w:type="dxa"/>
        <w:tblBorders>
          <w:top w:val="single" w:sz="4" w:space="0" w:color="0079C1" w:themeColor="text2"/>
          <w:left w:val="single" w:sz="4" w:space="0" w:color="0079C1" w:themeColor="text2"/>
          <w:bottom w:val="single" w:sz="4" w:space="0" w:color="0079C1" w:themeColor="text2"/>
          <w:right w:val="single" w:sz="4" w:space="0" w:color="0079C1" w:themeColor="text2"/>
          <w:insideH w:val="none" w:sz="0" w:space="0" w:color="auto"/>
          <w:insideV w:val="none" w:sz="0" w:space="0" w:color="auto"/>
        </w:tblBorders>
        <w:shd w:val="clear" w:color="auto" w:fill="E2F4FF" w:themeFill="accent1" w:themeFillTint="33"/>
        <w:tblLook w:val="04A0" w:firstRow="1" w:lastRow="0" w:firstColumn="1" w:lastColumn="0" w:noHBand="0" w:noVBand="1"/>
        <w:tblDescription w:val="Key finding:&#10;• IAA’s role as a conduit between clients and immigration and passport processes was seen as the key means whereby clients’ experiences had been improved in this area&#10;"/>
      </w:tblPr>
      <w:tblGrid>
        <w:gridCol w:w="9392"/>
      </w:tblGrid>
      <w:tr w:rsidR="009B41A3" w14:paraId="6FD4AF46" w14:textId="77777777" w:rsidTr="004E43C8">
        <w:trPr>
          <w:cantSplit/>
          <w:tblHeader/>
        </w:trPr>
        <w:tc>
          <w:tcPr>
            <w:tcW w:w="9392" w:type="dxa"/>
            <w:shd w:val="clear" w:color="auto" w:fill="E2F4FF" w:themeFill="accent1" w:themeFillTint="33"/>
          </w:tcPr>
          <w:p w14:paraId="17AF00D7" w14:textId="138CAAA0" w:rsidR="009B41A3" w:rsidRPr="008A1452" w:rsidRDefault="009B41A3" w:rsidP="00D2747A">
            <w:pPr>
              <w:pStyle w:val="TableHeading2Row"/>
              <w:rPr>
                <w:color w:val="auto"/>
                <w:lang w:val="en-AU"/>
              </w:rPr>
            </w:pPr>
            <w:r w:rsidRPr="008A1452">
              <w:rPr>
                <w:color w:val="auto"/>
                <w:lang w:val="en-AU"/>
              </w:rPr>
              <w:t>Key findin</w:t>
            </w:r>
            <w:r w:rsidR="00E461F7" w:rsidRPr="008A1452">
              <w:rPr>
                <w:color w:val="auto"/>
                <w:lang w:val="en-AU"/>
              </w:rPr>
              <w:t>g</w:t>
            </w:r>
            <w:r w:rsidRPr="008A1452">
              <w:rPr>
                <w:color w:val="auto"/>
                <w:lang w:val="en-AU"/>
              </w:rPr>
              <w:t>:</w:t>
            </w:r>
          </w:p>
          <w:p w14:paraId="2FBFE583" w14:textId="6BDB851B" w:rsidR="00F36F4E" w:rsidRDefault="00F36F4E" w:rsidP="003B07DF">
            <w:pPr>
              <w:pStyle w:val="Bullet1"/>
              <w:rPr>
                <w:lang w:val="en-AU"/>
              </w:rPr>
            </w:pPr>
            <w:r w:rsidRPr="00F36F4E">
              <w:rPr>
                <w:lang w:val="en-AU"/>
              </w:rPr>
              <w:t>IAA</w:t>
            </w:r>
            <w:r>
              <w:rPr>
                <w:lang w:val="en-AU"/>
              </w:rPr>
              <w:t>’s</w:t>
            </w:r>
            <w:r w:rsidRPr="00F36F4E">
              <w:rPr>
                <w:lang w:val="en-AU"/>
              </w:rPr>
              <w:t xml:space="preserve"> role as a conduit between clients and immigration and passport processes was seen as the key means whereby clients’ experiences had been improved in this area</w:t>
            </w:r>
          </w:p>
        </w:tc>
      </w:tr>
    </w:tbl>
    <w:p w14:paraId="5403FF4F" w14:textId="77777777" w:rsidR="00757B05" w:rsidRPr="00757B05" w:rsidRDefault="00757B05" w:rsidP="00572E38">
      <w:pPr>
        <w:pStyle w:val="Heading2"/>
      </w:pPr>
      <w:bookmarkStart w:id="176" w:name="_Toc462773971"/>
      <w:bookmarkStart w:id="177" w:name="_Toc490481633"/>
      <w:r w:rsidRPr="00757B05">
        <w:t>Does the service inform ICA policies and practices?</w:t>
      </w:r>
      <w:bookmarkEnd w:id="176"/>
      <w:bookmarkEnd w:id="177"/>
      <w:r w:rsidRPr="00757B05">
        <w:t xml:space="preserve"> </w:t>
      </w:r>
    </w:p>
    <w:p w14:paraId="38666632" w14:textId="77777777" w:rsidR="00757B05" w:rsidRPr="00757B05" w:rsidRDefault="00757B05" w:rsidP="00572E38">
      <w:pPr>
        <w:pStyle w:val="Heading3"/>
      </w:pPr>
      <w:bookmarkStart w:id="178" w:name="_Ref489978189"/>
      <w:r w:rsidRPr="00757B05">
        <w:t>Stakeholder perspectives</w:t>
      </w:r>
      <w:bookmarkEnd w:id="178"/>
    </w:p>
    <w:p w14:paraId="4B6B669A" w14:textId="77777777" w:rsidR="00757B05" w:rsidRPr="00757B05" w:rsidRDefault="00757B05" w:rsidP="003B07DF">
      <w:pPr>
        <w:pStyle w:val="Paragraph"/>
      </w:pPr>
      <w:r w:rsidRPr="00757B05">
        <w:t xml:space="preserve">Discussions with </w:t>
      </w:r>
      <w:r w:rsidRPr="00757B05">
        <w:rPr>
          <w:b/>
          <w:bCs/>
        </w:rPr>
        <w:t>external stakeholders</w:t>
      </w:r>
      <w:r w:rsidRPr="00757B05">
        <w:t xml:space="preserve"> indicated a lack of transparency about the role of IAA in informing ICA policies and practices.  A lack of clarity about the role of IAA meant that some stakeholders viewed ICA policies and procedures as being the sole remit of the AGD</w:t>
      </w:r>
    </w:p>
    <w:p w14:paraId="724C04FF" w14:textId="09EDCB05" w:rsidR="00757B05" w:rsidRPr="00757B05" w:rsidRDefault="00757B05" w:rsidP="003B07DF">
      <w:pPr>
        <w:pStyle w:val="Paragraph"/>
      </w:pPr>
      <w:r w:rsidRPr="00757B05">
        <w:t>Many recognised the unique posit</w:t>
      </w:r>
      <w:r w:rsidR="005B2F99">
        <w:t>i</w:t>
      </w:r>
      <w:r w:rsidRPr="00757B05">
        <w:t>on of IAA in engaging with a diverse range of service users (and the data collection associated with this engagement) as the service’s primary avenue to potentially inform ICA policies and practices.  This was particularly true in the case of Commonwealth agencies and parent support and advocacy groups:</w:t>
      </w:r>
    </w:p>
    <w:p w14:paraId="6968AFC8" w14:textId="77777777" w:rsidR="00757B05" w:rsidRPr="00757B05" w:rsidRDefault="00757B05" w:rsidP="003B07DF">
      <w:pPr>
        <w:pStyle w:val="Quote"/>
      </w:pPr>
      <w:r w:rsidRPr="00757B05">
        <w:t>“Potentially IAA can assist in informing policy, knowing what people actually need; I can see it would be worthwhile to have a better understanding of the types of stories that are being brought to their attention because it might inform our policy developments.” (Commonwealth representative)</w:t>
      </w:r>
    </w:p>
    <w:p w14:paraId="702C8350" w14:textId="77777777" w:rsidR="00757B05" w:rsidRPr="00757B05" w:rsidRDefault="00757B05" w:rsidP="003B07DF">
      <w:pPr>
        <w:pStyle w:val="Quote"/>
      </w:pPr>
      <w:r w:rsidRPr="00757B05">
        <w:t>“IAA is at the frontline talking to adoptive parents about their experience every day.  They are well positioned to give feedback to other agencies and inform their policy and practices.” (Commonwealth representative)</w:t>
      </w:r>
    </w:p>
    <w:p w14:paraId="76B69755" w14:textId="77777777" w:rsidR="00757B05" w:rsidRPr="00757B05" w:rsidRDefault="00757B05" w:rsidP="003B07DF">
      <w:pPr>
        <w:pStyle w:val="Quote"/>
      </w:pPr>
      <w:r w:rsidRPr="00757B05">
        <w:t>“IAA is in touch with the needs and issues” (Parent support and advocacy group)</w:t>
      </w:r>
    </w:p>
    <w:p w14:paraId="55D8A112" w14:textId="77777777" w:rsidR="00757B05" w:rsidRPr="00757B05" w:rsidRDefault="00757B05" w:rsidP="00572E38">
      <w:pPr>
        <w:pStyle w:val="Heading3"/>
      </w:pPr>
      <w:bookmarkStart w:id="179" w:name="_Ref462938878"/>
      <w:r w:rsidRPr="00757B05">
        <w:lastRenderedPageBreak/>
        <w:t>IAA activities in relation to ICA policies and practice</w:t>
      </w:r>
      <w:bookmarkEnd w:id="179"/>
    </w:p>
    <w:p w14:paraId="72A81FDB" w14:textId="39804808" w:rsidR="00757B05" w:rsidRPr="00757B05" w:rsidRDefault="00757B05" w:rsidP="005263DE">
      <w:pPr>
        <w:pStyle w:val="Paragraph"/>
        <w:shd w:val="clear" w:color="auto" w:fill="FFFFFF" w:themeFill="background1"/>
        <w:rPr>
          <w:lang w:eastAsia="en-AU"/>
        </w:rPr>
      </w:pPr>
      <w:r w:rsidRPr="005263DE">
        <w:rPr>
          <w:lang w:eastAsia="en-AU"/>
        </w:rPr>
        <w:t>Discussions with IAA</w:t>
      </w:r>
      <w:r w:rsidR="005263DE" w:rsidRPr="005263DE">
        <w:rPr>
          <w:lang w:eastAsia="en-AU"/>
        </w:rPr>
        <w:t xml:space="preserve"> senior management</w:t>
      </w:r>
      <w:r w:rsidRPr="005263DE">
        <w:rPr>
          <w:lang w:eastAsia="en-AU"/>
        </w:rPr>
        <w:t xml:space="preserve"> indicated that </w:t>
      </w:r>
      <w:r w:rsidR="00091777" w:rsidRPr="005263DE">
        <w:rPr>
          <w:lang w:eastAsia="en-AU"/>
        </w:rPr>
        <w:t xml:space="preserve">the </w:t>
      </w:r>
      <w:r w:rsidRPr="005263DE">
        <w:rPr>
          <w:lang w:eastAsia="en-AU"/>
        </w:rPr>
        <w:t>service contribute</w:t>
      </w:r>
      <w:r w:rsidR="00091777" w:rsidRPr="005263DE">
        <w:rPr>
          <w:lang w:eastAsia="en-AU"/>
        </w:rPr>
        <w:t>s</w:t>
      </w:r>
      <w:r w:rsidRPr="005263DE">
        <w:rPr>
          <w:lang w:eastAsia="en-AU"/>
        </w:rPr>
        <w:t xml:space="preserve"> to ICA policies and practices through a number of mechanisms</w:t>
      </w:r>
      <w:r w:rsidR="00E461F7" w:rsidRPr="005263DE">
        <w:rPr>
          <w:lang w:eastAsia="en-AU"/>
        </w:rPr>
        <w:t>.</w:t>
      </w:r>
      <w:r w:rsidR="00E461F7">
        <w:rPr>
          <w:lang w:eastAsia="en-AU"/>
        </w:rPr>
        <w:t xml:space="preserve">  </w:t>
      </w:r>
    </w:p>
    <w:p w14:paraId="36DAF91D" w14:textId="77777777" w:rsidR="00757B05" w:rsidRPr="00757B05" w:rsidRDefault="00757B05" w:rsidP="00F6322A">
      <w:pPr>
        <w:pStyle w:val="ParagraphKeep"/>
        <w:rPr>
          <w:lang w:eastAsia="en-AU"/>
        </w:rPr>
      </w:pPr>
      <w:r w:rsidRPr="00757B05">
        <w:rPr>
          <w:lang w:eastAsia="en-AU"/>
        </w:rPr>
        <w:t>Key examples of IAA’s activities in this regard include:</w:t>
      </w:r>
    </w:p>
    <w:p w14:paraId="09939E3D" w14:textId="77777777" w:rsidR="00757B05" w:rsidRPr="00757B05" w:rsidRDefault="00757B05" w:rsidP="00F6322A">
      <w:pPr>
        <w:pStyle w:val="Bullet1"/>
      </w:pPr>
      <w:r w:rsidRPr="00757B05">
        <w:t>STCA-specific policy/practice</w:t>
      </w:r>
    </w:p>
    <w:p w14:paraId="7F2A2F52" w14:textId="7DD60EBC" w:rsidR="00757B05" w:rsidRPr="00757B05" w:rsidRDefault="009F0CD1" w:rsidP="00F6278E">
      <w:pPr>
        <w:pStyle w:val="Bullet2"/>
      </w:pPr>
      <w:r>
        <w:t>Review</w:t>
      </w:r>
      <w:r w:rsidRPr="00757B05">
        <w:t xml:space="preserve"> </w:t>
      </w:r>
      <w:r w:rsidR="00757B05" w:rsidRPr="00757B05">
        <w:t xml:space="preserve">of ad-hoc/relative adoption policy with AGD/Victorian Central Authority </w:t>
      </w:r>
    </w:p>
    <w:p w14:paraId="10666097" w14:textId="6A996231" w:rsidR="00757B05" w:rsidRPr="00757B05" w:rsidRDefault="00F6278E" w:rsidP="00F6278E">
      <w:pPr>
        <w:pStyle w:val="Bullet2"/>
      </w:pPr>
      <w:r>
        <w:t>Participating in various C</w:t>
      </w:r>
      <w:r w:rsidR="00757B05" w:rsidRPr="00757B05">
        <w:t xml:space="preserve">ommonwealth forums (e.g. DIBP liaison meeting) </w:t>
      </w:r>
    </w:p>
    <w:p w14:paraId="429447D0" w14:textId="18004F9D" w:rsidR="00757B05" w:rsidRPr="00757B05" w:rsidRDefault="00757B05" w:rsidP="00F6322A">
      <w:pPr>
        <w:pStyle w:val="Bullet1"/>
      </w:pPr>
      <w:r w:rsidRPr="00757B05">
        <w:t>Supporting external stakeholders in relation to specific issues</w:t>
      </w:r>
      <w:r w:rsidR="004D4648">
        <w:t>:</w:t>
      </w:r>
    </w:p>
    <w:p w14:paraId="4D93D0ED" w14:textId="25EED1DB" w:rsidR="00757B05" w:rsidRPr="00757B05" w:rsidRDefault="00757B05" w:rsidP="00F36F4E">
      <w:pPr>
        <w:pStyle w:val="Bullet2"/>
      </w:pPr>
      <w:r w:rsidRPr="00757B05">
        <w:t>Changes to evidence of citizenship</w:t>
      </w:r>
      <w:r w:rsidR="00E461F7">
        <w:t xml:space="preserve"> for Australian passports (see Case S</w:t>
      </w:r>
      <w:r w:rsidRPr="00757B05">
        <w:t>tudy 1)</w:t>
      </w:r>
    </w:p>
    <w:p w14:paraId="3AC2F02F" w14:textId="790A5CCC" w:rsidR="00757B05" w:rsidRPr="00757B05" w:rsidRDefault="00E461F7" w:rsidP="00F36F4E">
      <w:pPr>
        <w:pStyle w:val="Bullet2"/>
      </w:pPr>
      <w:r>
        <w:t xml:space="preserve">China </w:t>
      </w:r>
      <w:r w:rsidR="004D4648">
        <w:t xml:space="preserve">Program </w:t>
      </w:r>
      <w:r>
        <w:t>(see Case Study 2</w:t>
      </w:r>
      <w:r w:rsidR="00757B05" w:rsidRPr="00757B05">
        <w:t>)</w:t>
      </w:r>
    </w:p>
    <w:p w14:paraId="63851DFA" w14:textId="77777777" w:rsidR="00757B05" w:rsidRPr="00757B05" w:rsidRDefault="00757B05" w:rsidP="00F6322A">
      <w:pPr>
        <w:pStyle w:val="Bullet1"/>
      </w:pPr>
      <w:r w:rsidRPr="00757B05">
        <w:t>Initiating discussions with AGD and each STCA on program-specific issues (Poland and Latvia)</w:t>
      </w:r>
    </w:p>
    <w:p w14:paraId="04DBF709" w14:textId="6152294D" w:rsidR="00757B05" w:rsidRPr="00757B05" w:rsidRDefault="004D4648" w:rsidP="00F6322A">
      <w:pPr>
        <w:pStyle w:val="Bullet1"/>
      </w:pPr>
      <w:r>
        <w:t>Facilitating an innovative</w:t>
      </w:r>
      <w:r w:rsidR="00757B05" w:rsidRPr="00757B05">
        <w:t xml:space="preserve"> workshop, in collaboration with BlueChilli, with adult adoptees and a</w:t>
      </w:r>
      <w:r w:rsidR="00F6278E">
        <w:t xml:space="preserve"> range of sector stakeholders </w:t>
      </w:r>
      <w:r w:rsidR="00757B05" w:rsidRPr="00757B05">
        <w:t xml:space="preserve">to </w:t>
      </w:r>
      <w:r w:rsidR="00091777">
        <w:t>test the scope of</w:t>
      </w:r>
      <w:r w:rsidR="00091777" w:rsidRPr="00757B05">
        <w:t xml:space="preserve"> </w:t>
      </w:r>
      <w:r w:rsidR="00757B05" w:rsidRPr="00757B05">
        <w:t xml:space="preserve">a ‘concept’ for adult adoptees (an international web application to assist tracing and reunification), </w:t>
      </w:r>
    </w:p>
    <w:p w14:paraId="040D5CB6" w14:textId="2C7EBC51" w:rsidR="00757B05" w:rsidRPr="00757B05" w:rsidRDefault="00757B05" w:rsidP="00F6322A">
      <w:pPr>
        <w:pStyle w:val="Bullet1"/>
      </w:pPr>
      <w:r w:rsidRPr="00757B05">
        <w:t>Securing funding for</w:t>
      </w:r>
      <w:r w:rsidR="009F0CD1">
        <w:t xml:space="preserve"> </w:t>
      </w:r>
      <w:r w:rsidRPr="00757B05">
        <w:t>a new Intercountry Adoption Tracing and Reunification Support Service – International Social Service (ISS) Australia.  DSS has provided funding to ISS Australia to provide free intercountry adoption tracing and reunification support services</w:t>
      </w:r>
      <w:r w:rsidR="00BA0991">
        <w:t>.</w:t>
      </w:r>
    </w:p>
    <w:p w14:paraId="0FAA5363" w14:textId="77777777" w:rsidR="00757B05" w:rsidRPr="00757B05" w:rsidRDefault="00757B05" w:rsidP="00F6322A">
      <w:pPr>
        <w:pStyle w:val="Bullet1"/>
      </w:pPr>
      <w:r w:rsidRPr="00757B05">
        <w:t xml:space="preserve">Participating in the start-up workshop for the Intercountry Adoption Tracing and Reunification Support Service </w:t>
      </w:r>
    </w:p>
    <w:p w14:paraId="144DC952" w14:textId="49814EA6" w:rsidR="00757B05" w:rsidRDefault="00757B05" w:rsidP="00F6322A">
      <w:pPr>
        <w:pStyle w:val="Bullet1"/>
      </w:pPr>
      <w:r w:rsidRPr="00757B05">
        <w:t>Initiating meetings with ISS and Commonwealth stakeholders to establish links (e.g. the new ISS service will interface with DFAT and AGD country management roles).</w:t>
      </w:r>
      <w:r w:rsidRPr="00757B05" w:rsidDel="00981EA7">
        <w:t xml:space="preserve"> </w:t>
      </w:r>
    </w:p>
    <w:p w14:paraId="2A1B94C4" w14:textId="45840401" w:rsidR="001E5DDA" w:rsidRPr="00757B05" w:rsidRDefault="001E5DDA" w:rsidP="001E5DDA">
      <w:pPr>
        <w:pStyle w:val="Paragraph"/>
      </w:pPr>
      <w:r>
        <w:t>C</w:t>
      </w:r>
      <w:r w:rsidRPr="00757B05">
        <w:t xml:space="preserve">onsultations with external stakeholders clearly illustrated </w:t>
      </w:r>
      <w:r>
        <w:t>they</w:t>
      </w:r>
      <w:r w:rsidRPr="00757B05">
        <w:t xml:space="preserve"> were unaware of</w:t>
      </w:r>
      <w:r>
        <w:t xml:space="preserve"> IAA’s work in these areas (</w:t>
      </w:r>
      <w:r w:rsidR="005D55BC" w:rsidRPr="005D55BC">
        <w:rPr>
          <w:i/>
        </w:rPr>
        <w:t xml:space="preserve">Section </w:t>
      </w:r>
      <w:r w:rsidR="005D55BC" w:rsidRPr="005D55BC">
        <w:rPr>
          <w:i/>
          <w:highlight w:val="yellow"/>
        </w:rPr>
        <w:fldChar w:fldCharType="begin"/>
      </w:r>
      <w:r w:rsidR="005D55BC" w:rsidRPr="005D55BC">
        <w:rPr>
          <w:i/>
        </w:rPr>
        <w:instrText xml:space="preserve"> REF _Ref489978189 \r \h </w:instrText>
      </w:r>
      <w:r w:rsidR="005D55BC">
        <w:rPr>
          <w:i/>
          <w:highlight w:val="yellow"/>
        </w:rPr>
        <w:instrText xml:space="preserve"> \* MERGEFORMAT </w:instrText>
      </w:r>
      <w:r w:rsidR="005D55BC" w:rsidRPr="005D55BC">
        <w:rPr>
          <w:i/>
          <w:highlight w:val="yellow"/>
        </w:rPr>
      </w:r>
      <w:r w:rsidR="005D55BC" w:rsidRPr="005D55BC">
        <w:rPr>
          <w:i/>
          <w:highlight w:val="yellow"/>
        </w:rPr>
        <w:fldChar w:fldCharType="separate"/>
      </w:r>
      <w:r w:rsidR="00487073">
        <w:rPr>
          <w:i/>
        </w:rPr>
        <w:t>6.5.1</w:t>
      </w:r>
      <w:r w:rsidR="005D55BC" w:rsidRPr="005D55BC">
        <w:rPr>
          <w:i/>
          <w:highlight w:val="yellow"/>
        </w:rPr>
        <w:fldChar w:fldCharType="end"/>
      </w:r>
      <w:r>
        <w:t>)</w:t>
      </w:r>
      <w:r w:rsidRPr="00757B05">
        <w:t>.</w:t>
      </w:r>
    </w:p>
    <w:p w14:paraId="00B304FC" w14:textId="77777777" w:rsidR="001E5DDA" w:rsidRPr="00757B05" w:rsidRDefault="001E5DDA" w:rsidP="001E5DDA">
      <w:pPr>
        <w:pStyle w:val="Bullet1"/>
        <w:numPr>
          <w:ilvl w:val="0"/>
          <w:numId w:val="0"/>
        </w:numPr>
        <w:ind w:left="786" w:hanging="360"/>
      </w:pPr>
    </w:p>
    <w:tbl>
      <w:tblPr>
        <w:tblStyle w:val="TableGrid"/>
        <w:tblW w:w="0" w:type="auto"/>
        <w:tblBorders>
          <w:top w:val="single" w:sz="4" w:space="0" w:color="40B7FF" w:themeColor="text2" w:themeTint="99"/>
          <w:left w:val="single" w:sz="4" w:space="0" w:color="40B7FF" w:themeColor="text2" w:themeTint="99"/>
          <w:bottom w:val="single" w:sz="4" w:space="0" w:color="40B7FF" w:themeColor="text2" w:themeTint="99"/>
          <w:right w:val="single" w:sz="4" w:space="0" w:color="40B7FF" w:themeColor="text2" w:themeTint="99"/>
          <w:insideH w:val="single" w:sz="6" w:space="0" w:color="40B7FF" w:themeColor="text2" w:themeTint="99"/>
          <w:insideV w:val="single" w:sz="6" w:space="0" w:color="40B7FF" w:themeColor="text2" w:themeTint="99"/>
        </w:tblBorders>
        <w:shd w:val="clear" w:color="auto" w:fill="F2F2F2" w:themeFill="background1" w:themeFillShade="F2"/>
        <w:tblLook w:val="04A0" w:firstRow="1" w:lastRow="0" w:firstColumn="1" w:lastColumn="0" w:noHBand="0" w:noVBand="1"/>
        <w:tblDescription w:val="Case study 1:  Changes to citizenship evidence requirements for new Australian passports&#10;At the STCA meeting in March 2016, DFAT and DIBP provided an update on changes to citizenship evidence requirements for new Australian passports, and that Australian birth certificates alone can no longer be accepted as evidence of citizenship for Australian passport applications.  Media coverage of these changes caused confusion and distress amongst adult adoptees. &#10;In light of this, IAA worked closely with relevant Commonwealth agencies (DIBP, DFAT, AGD) to develop information to explain this change and what it means for people born overseas.  This information was posted on the IAA website.  To assist with STCA practice, IAA agreed that affected intercountry adoptees can be referred to IAA as the information line social workers were best equipped to support people who are distressed. &#10;IAA developed strategies for assisting anyone enquiring about these issues. Adoptees were reassured that if they were informed by the Australian Passport Office that their citizenship cannot be verified, this did not mean that the Government was saying that they are not an Australian citizen.  &#10;IAA also encouraged STCAs to let their key stakeholders (parent support groups etc.) know that IAA is able to assist people with this issue.&#10;"/>
      </w:tblPr>
      <w:tblGrid>
        <w:gridCol w:w="9345"/>
      </w:tblGrid>
      <w:tr w:rsidR="00757B05" w:rsidRPr="00757B05" w14:paraId="1C662682" w14:textId="77777777" w:rsidTr="004E43C8">
        <w:trPr>
          <w:tblHeader/>
        </w:trPr>
        <w:tc>
          <w:tcPr>
            <w:tcW w:w="9571" w:type="dxa"/>
            <w:shd w:val="clear" w:color="auto" w:fill="E2F4FF" w:themeFill="accent1" w:themeFillTint="33"/>
          </w:tcPr>
          <w:p w14:paraId="073105CA" w14:textId="057D3973" w:rsidR="00757B05" w:rsidRPr="008A1452" w:rsidRDefault="004D4648" w:rsidP="00F6322A">
            <w:pPr>
              <w:pStyle w:val="Heading4"/>
              <w:outlineLvl w:val="3"/>
              <w:rPr>
                <w:color w:val="auto"/>
              </w:rPr>
            </w:pPr>
            <w:r w:rsidRPr="008A1452">
              <w:rPr>
                <w:color w:val="auto"/>
              </w:rPr>
              <w:lastRenderedPageBreak/>
              <w:t>Case study 1:  C</w:t>
            </w:r>
            <w:r w:rsidR="00757B05" w:rsidRPr="008A1452">
              <w:rPr>
                <w:color w:val="auto"/>
              </w:rPr>
              <w:t>hanges to citizenship evidence requirements for new Australian passports</w:t>
            </w:r>
          </w:p>
          <w:p w14:paraId="7EB7D64B" w14:textId="4BA0F4E6" w:rsidR="00757B05" w:rsidRPr="00757B05" w:rsidRDefault="00757B05" w:rsidP="00F6322A">
            <w:pPr>
              <w:pStyle w:val="Paragraph"/>
            </w:pPr>
            <w:r w:rsidRPr="00757B05">
              <w:t xml:space="preserve">At the </w:t>
            </w:r>
            <w:r w:rsidR="004D4648">
              <w:t>STCA</w:t>
            </w:r>
            <w:r w:rsidRPr="00757B05">
              <w:t xml:space="preserve"> meeting in March 2016, DFAT and DIBP provided an update on changes to citizenship evidence requirements for new Australian passports</w:t>
            </w:r>
            <w:r w:rsidR="004D4648">
              <w:t>,</w:t>
            </w:r>
            <w:r w:rsidRPr="00757B05">
              <w:t xml:space="preserve"> and that Australian birth certificates alone can no longer be accepted as evidence of citizenship for Australian passport applications.  Media coverage of these changes caused confusion and distress amongst adult adoptees. </w:t>
            </w:r>
          </w:p>
          <w:p w14:paraId="6DA4F920" w14:textId="77777777" w:rsidR="00757B05" w:rsidRPr="00757B05" w:rsidRDefault="00757B05" w:rsidP="00F6322A">
            <w:pPr>
              <w:pStyle w:val="Paragraph"/>
            </w:pPr>
            <w:r w:rsidRPr="00757B05">
              <w:t xml:space="preserve">In light of this, IAA worked closely with relevant Commonwealth agencies (DIBP, DFAT, AGD) to develop information to explain this change and what it means for people born overseas.  This information was posted on the IAA website.  To assist with STCA practice, IAA agreed that affected intercountry adoptees can be referred to IAA as the information line social workers were best equipped to support people who are distressed. </w:t>
            </w:r>
          </w:p>
          <w:p w14:paraId="6CF62075" w14:textId="32864D91" w:rsidR="00757B05" w:rsidRPr="00757B05" w:rsidRDefault="00757B05" w:rsidP="00F6322A">
            <w:pPr>
              <w:pStyle w:val="Paragraph"/>
            </w:pPr>
            <w:r w:rsidRPr="00757B05">
              <w:t xml:space="preserve">IAA developed strategies for assisting anyone enquiring about these issues. Adoptees were reassured that if they were informed by the Australian Passport Office that their citizenship cannot be verified, this did not mean that the Government was saying that they are not an Australian citizen.  </w:t>
            </w:r>
          </w:p>
          <w:p w14:paraId="39480EA2" w14:textId="77777777" w:rsidR="00757B05" w:rsidRPr="00757B05" w:rsidRDefault="00757B05" w:rsidP="00F6322A">
            <w:pPr>
              <w:pStyle w:val="Paragraph"/>
              <w:rPr>
                <w:lang w:eastAsia="en-AU"/>
              </w:rPr>
            </w:pPr>
            <w:r w:rsidRPr="00757B05">
              <w:t>IAA also encouraged STCAs to let their key stakeholders (parent support groups etc.) know that IAA is able to assist people with this issue.</w:t>
            </w:r>
          </w:p>
        </w:tc>
      </w:tr>
    </w:tbl>
    <w:p w14:paraId="501BD276" w14:textId="77777777" w:rsidR="00757B05" w:rsidRPr="00757B05" w:rsidRDefault="00757B05" w:rsidP="00757B05">
      <w:pPr>
        <w:spacing w:before="240" w:after="240" w:line="264" w:lineRule="auto"/>
        <w:rPr>
          <w:lang w:eastAsia="en-AU"/>
        </w:rPr>
      </w:pPr>
    </w:p>
    <w:tbl>
      <w:tblPr>
        <w:tblStyle w:val="TableGrid"/>
        <w:tblW w:w="0" w:type="auto"/>
        <w:tblBorders>
          <w:top w:val="single" w:sz="4" w:space="0" w:color="40B7FF" w:themeColor="text2" w:themeTint="99"/>
          <w:left w:val="single" w:sz="4" w:space="0" w:color="40B7FF" w:themeColor="text2" w:themeTint="99"/>
          <w:bottom w:val="single" w:sz="4" w:space="0" w:color="40B7FF" w:themeColor="text2" w:themeTint="99"/>
          <w:right w:val="single" w:sz="4" w:space="0" w:color="40B7FF" w:themeColor="text2" w:themeTint="99"/>
          <w:insideH w:val="single" w:sz="6" w:space="0" w:color="40B7FF" w:themeColor="text2" w:themeTint="99"/>
          <w:insideV w:val="single" w:sz="6" w:space="0" w:color="40B7FF" w:themeColor="text2" w:themeTint="99"/>
        </w:tblBorders>
        <w:tblLook w:val="04A0" w:firstRow="1" w:lastRow="0" w:firstColumn="1" w:lastColumn="0" w:noHBand="0" w:noVBand="1"/>
        <w:tblDescription w:val="Case study 2:  Changes to the China program&#10;In August 2016, changes to the China program were announced.  To assist STCAs and clients to deal with the implications of extended timeframes and changes to the profile of available adoptive children, IAA:&#10;• Provided information about the changes on the IAA website&#10;• Contacted all STCAs to offer assistance for families who might be considering other programs/wanting to explore eligibility&#10;• Worked collaboratively with NSW CA and LifeWorks to deliver services to NSW-based clients.&#10;"/>
      </w:tblPr>
      <w:tblGrid>
        <w:gridCol w:w="9345"/>
      </w:tblGrid>
      <w:tr w:rsidR="00757B05" w:rsidRPr="00757B05" w14:paraId="6C9F9D68" w14:textId="77777777" w:rsidTr="004E43C8">
        <w:trPr>
          <w:tblHeader/>
        </w:trPr>
        <w:tc>
          <w:tcPr>
            <w:tcW w:w="9571" w:type="dxa"/>
            <w:shd w:val="clear" w:color="auto" w:fill="E2F4FF" w:themeFill="accent1" w:themeFillTint="33"/>
          </w:tcPr>
          <w:p w14:paraId="5665E942" w14:textId="77777777" w:rsidR="00757B05" w:rsidRPr="008A1452" w:rsidRDefault="00757B05" w:rsidP="00F6322A">
            <w:pPr>
              <w:pStyle w:val="Heading4"/>
              <w:outlineLvl w:val="3"/>
              <w:rPr>
                <w:color w:val="auto"/>
              </w:rPr>
            </w:pPr>
            <w:r w:rsidRPr="008A1452">
              <w:rPr>
                <w:color w:val="auto"/>
              </w:rPr>
              <w:t>Case study 2:  Changes to the China program</w:t>
            </w:r>
          </w:p>
          <w:p w14:paraId="1EB27480" w14:textId="5485FE67" w:rsidR="00757B05" w:rsidRPr="00F6322A" w:rsidRDefault="00757B05" w:rsidP="00F6322A">
            <w:pPr>
              <w:pStyle w:val="Paragraph"/>
            </w:pPr>
            <w:r w:rsidRPr="00F6322A">
              <w:t xml:space="preserve">In August 2016, changes to the China program were announced.  To assist STCAs and clients </w:t>
            </w:r>
            <w:r w:rsidR="004D4648">
              <w:t xml:space="preserve">to </w:t>
            </w:r>
            <w:r w:rsidRPr="00F6322A">
              <w:t>deal with the implications of extended timeframes and changes to the profile of available adoptive children, IAA:</w:t>
            </w:r>
          </w:p>
          <w:p w14:paraId="3F2C1F14" w14:textId="40306686" w:rsidR="00757B05" w:rsidRPr="00F6322A" w:rsidRDefault="00091777" w:rsidP="00F6322A">
            <w:pPr>
              <w:pStyle w:val="Bullet1"/>
            </w:pPr>
            <w:r>
              <w:t>Provided</w:t>
            </w:r>
            <w:r w:rsidRPr="00F6322A">
              <w:t xml:space="preserve"> </w:t>
            </w:r>
            <w:r w:rsidR="00757B05" w:rsidRPr="00F6322A">
              <w:t>information about the changes on the IAA website</w:t>
            </w:r>
          </w:p>
          <w:p w14:paraId="1AB10E2C" w14:textId="6652AEDF" w:rsidR="00757B05" w:rsidRPr="00F6322A" w:rsidRDefault="00757B05" w:rsidP="00F6322A">
            <w:pPr>
              <w:pStyle w:val="Bullet1"/>
            </w:pPr>
            <w:r w:rsidRPr="00F6322A">
              <w:t xml:space="preserve">Contacted all STCAs to offer assistance </w:t>
            </w:r>
            <w:r w:rsidR="00E461F7">
              <w:t>for</w:t>
            </w:r>
            <w:r w:rsidRPr="00F6322A">
              <w:t xml:space="preserve"> families who might be considering other programs/wanting to explore eligibility</w:t>
            </w:r>
          </w:p>
          <w:p w14:paraId="1579618A" w14:textId="77777777" w:rsidR="00757B05" w:rsidRPr="00F6322A" w:rsidRDefault="00757B05" w:rsidP="00F6322A">
            <w:pPr>
              <w:pStyle w:val="Bullet1"/>
            </w:pPr>
            <w:r w:rsidRPr="00F6322A">
              <w:t>Worked collaboratively with NSW CA and LifeWorks to deliver services to NSW-based clients.</w:t>
            </w:r>
          </w:p>
        </w:tc>
      </w:tr>
    </w:tbl>
    <w:p w14:paraId="753EA31B" w14:textId="77777777" w:rsidR="00757B05" w:rsidRPr="00572E38" w:rsidRDefault="00757B05" w:rsidP="00572E38">
      <w:pPr>
        <w:pStyle w:val="Paragraph"/>
        <w:rPr>
          <w:highlight w:val="yellow"/>
        </w:rPr>
      </w:pPr>
    </w:p>
    <w:tbl>
      <w:tblPr>
        <w:tblStyle w:val="TableGrid"/>
        <w:tblW w:w="9392" w:type="dxa"/>
        <w:tblInd w:w="108" w:type="dxa"/>
        <w:tblBorders>
          <w:top w:val="single" w:sz="4" w:space="0" w:color="0079C1" w:themeColor="text2"/>
          <w:left w:val="single" w:sz="4" w:space="0" w:color="0079C1" w:themeColor="text2"/>
          <w:bottom w:val="single" w:sz="4" w:space="0" w:color="0079C1" w:themeColor="text2"/>
          <w:right w:val="single" w:sz="4" w:space="0" w:color="0079C1" w:themeColor="text2"/>
          <w:insideH w:val="none" w:sz="0" w:space="0" w:color="auto"/>
          <w:insideV w:val="none" w:sz="0" w:space="0" w:color="auto"/>
        </w:tblBorders>
        <w:shd w:val="clear" w:color="auto" w:fill="E2F4FF" w:themeFill="accent1" w:themeFillTint="33"/>
        <w:tblLook w:val="04A0" w:firstRow="1" w:lastRow="0" w:firstColumn="1" w:lastColumn="0" w:noHBand="0" w:noVBand="1"/>
        <w:tblDescription w:val="Key findings:&#10;• Discussions with external stakeholders indicated a lack of transparency about the role of IAA in informing ICA policies and practices&#10;• Stakeholders were generally unaware of the range of policy and practice-related activities undertaken by IAA.&#10;"/>
      </w:tblPr>
      <w:tblGrid>
        <w:gridCol w:w="9392"/>
      </w:tblGrid>
      <w:tr w:rsidR="00351122" w14:paraId="2E459452" w14:textId="77777777" w:rsidTr="004E43C8">
        <w:trPr>
          <w:cantSplit/>
          <w:tblHeader/>
        </w:trPr>
        <w:tc>
          <w:tcPr>
            <w:tcW w:w="9392" w:type="dxa"/>
            <w:shd w:val="clear" w:color="auto" w:fill="E2F4FF" w:themeFill="accent1" w:themeFillTint="33"/>
          </w:tcPr>
          <w:p w14:paraId="63C1FE7C" w14:textId="77777777" w:rsidR="00351122" w:rsidRPr="008A1452" w:rsidRDefault="00351122" w:rsidP="00A5346E">
            <w:pPr>
              <w:pStyle w:val="TableHeading2Row"/>
              <w:rPr>
                <w:color w:val="auto"/>
                <w:lang w:val="en-AU"/>
              </w:rPr>
            </w:pPr>
            <w:r w:rsidRPr="008A1452">
              <w:rPr>
                <w:color w:val="auto"/>
                <w:lang w:val="en-AU"/>
              </w:rPr>
              <w:t>Key findings:</w:t>
            </w:r>
          </w:p>
          <w:p w14:paraId="3D59BC4E" w14:textId="2CD6A85C" w:rsidR="00F6278E" w:rsidRPr="00E461F7" w:rsidRDefault="00F36F4E" w:rsidP="00E461F7">
            <w:pPr>
              <w:pStyle w:val="Bullet1"/>
            </w:pPr>
            <w:r w:rsidRPr="00F36F4E">
              <w:rPr>
                <w:lang w:val="en-AU"/>
              </w:rPr>
              <w:t>D</w:t>
            </w:r>
            <w:r w:rsidR="00CC21A7" w:rsidRPr="00E461F7">
              <w:t>iscussions</w:t>
            </w:r>
            <w:r w:rsidRPr="00E461F7">
              <w:t xml:space="preserve"> with external stakeholders indicated a lack of transparency about the role of IAA in inform</w:t>
            </w:r>
            <w:r w:rsidR="00E461F7">
              <w:t>ing ICA policies and practices</w:t>
            </w:r>
          </w:p>
          <w:p w14:paraId="244CB842" w14:textId="7710EF0F" w:rsidR="00F36F4E" w:rsidRDefault="00F6278E" w:rsidP="00E461F7">
            <w:pPr>
              <w:pStyle w:val="Bullet1"/>
              <w:rPr>
                <w:lang w:val="en-AU"/>
              </w:rPr>
            </w:pPr>
            <w:r w:rsidRPr="00E461F7">
              <w:t xml:space="preserve">Stakeholders were generally unaware of the range of policy and practice-related </w:t>
            </w:r>
            <w:r w:rsidR="00E461F7">
              <w:t>activities undertaken by IAA.</w:t>
            </w:r>
          </w:p>
        </w:tc>
      </w:tr>
    </w:tbl>
    <w:p w14:paraId="2965707A" w14:textId="23291936" w:rsidR="00F6322A" w:rsidRDefault="00F6322A">
      <w:pPr>
        <w:rPr>
          <w:highlight w:val="yellow"/>
          <w:lang w:eastAsia="en-AU"/>
        </w:rPr>
      </w:pPr>
      <w:r>
        <w:rPr>
          <w:highlight w:val="yellow"/>
          <w:lang w:eastAsia="en-AU"/>
        </w:rPr>
        <w:br w:type="page"/>
      </w:r>
    </w:p>
    <w:p w14:paraId="7AB8E230" w14:textId="77777777" w:rsidR="00063A1F" w:rsidRPr="006434D7" w:rsidRDefault="00063A1F" w:rsidP="00063A1F">
      <w:pPr>
        <w:rPr>
          <w:highlight w:val="yellow"/>
          <w:lang w:eastAsia="en-AU"/>
        </w:rPr>
      </w:pPr>
    </w:p>
    <w:bookmarkStart w:id="180" w:name="_Ref463025372"/>
    <w:bookmarkStart w:id="181" w:name="_Toc490481634"/>
    <w:p w14:paraId="09083D77" w14:textId="2B5A8701" w:rsidR="00063A1F" w:rsidRDefault="00B36A43" w:rsidP="00283E1C">
      <w:pPr>
        <w:pStyle w:val="Heading1"/>
      </w:pPr>
      <w:r>
        <w:rPr>
          <w:noProof/>
          <w:lang w:val="en-AU" w:eastAsia="en-AU"/>
        </w:rPr>
        <mc:AlternateContent>
          <mc:Choice Requires="wps">
            <w:drawing>
              <wp:anchor distT="0" distB="0" distL="114300" distR="114300" simplePos="0" relativeHeight="251665408" behindDoc="1" locked="0" layoutInCell="1" allowOverlap="1" wp14:anchorId="71F0B18A" wp14:editId="4633159E">
                <wp:simplePos x="0" y="0"/>
                <wp:positionH relativeFrom="page">
                  <wp:align>left</wp:align>
                </wp:positionH>
                <wp:positionV relativeFrom="page">
                  <wp:align>top</wp:align>
                </wp:positionV>
                <wp:extent cx="7632065" cy="10763885"/>
                <wp:effectExtent l="0" t="0" r="6985" b="0"/>
                <wp:wrapNone/>
                <wp:docPr id="4" name="Rectangle 9" title="&quot; &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2065" cy="107638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52914" id="Rectangle 9" o:spid="_x0000_s1026" alt="Title: &quot; &quot;" style="position:absolute;margin-left:0;margin-top:0;width:600.95pt;height:847.55pt;z-index:-25165107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20ArAIAALUFAAAOAAAAZHJzL2Uyb0RvYy54bWysVEtv2zAMvg/YfxB02G21kyV9eHWKoEOH&#10;AUFbtB16VmUpNiaLqqTEyX79KMl2s67YYVgOiih+/PgwyfOLXavIVljXgC7p5CinRGgOVaPXJf3+&#10;cPXxlBLnma6YAi1KuheOXizevzvvTCGmUIOqhCVIol3RmZLW3psiyxyvRcvcERihUSnBtsyjaNdZ&#10;ZVmH7K3Kpnl+nHVgK2OBC+fw9UtS0kXkl1JwfyOlE56okmJsPp42nk/hzBbnrFhbZuqG92Gwf4ii&#10;ZY1GpyPVF+YZ2djmD6q24RYcSH/Eoc1AyoaLmANmM8lfZXNfMyNiLlgcZ8Yyuf9Hy6+3t5Y0VUln&#10;lGjW4ie6w6IxvVaCnGHBGq/w7cPzBvxnkv5C0TrjCrS9N7c2pO3MCvgPh4rsN00QXI/ZSdsGLCZN&#10;dvEL7McvIHaecHw8Of40zY/nlHDUTXIUT0/nwV/GisHeWOe/CmhJuJTUYrix9Gy7cj5BB0gMDVRT&#10;XTVKRSH0lbhUlmwZdoTfTXtyd4hSOmA1BKtEGF5iZimZmJbfKxFwSt8JiSXE8KcxkNi8L04Y50L7&#10;SVLVrBLJ9zzH3+B9CCsmGgkDs0T/I3dPMCATycCdouzxwVTE3h+N878FloxHi+gZtB+N20aDfYtA&#10;YVa954QfipRKE6r0BNUeG8xCmjxn+FWDn23FnL9lFkcNhxLXh7/BQyroSgr9jZIa7M+33gMeJwC1&#10;lHQ4uiV1zxtmBSXqm8bZOJvMZmHWozCbn0xRsIeap0ON3rSXgL0wwUVleLwGvFfDVVpoH3HLLINX&#10;VDHN0XdJubeDcOnTSsE9xcVyGWE434b5lb43PJCHqoa2fNg9Mmv63vXY99cwjDkrXrVwwgZLDcuN&#10;B9nE/n6pa19v3A2xcfo9FpbPoRxRL9t28QsAAP//AwBQSwMEFAAGAAgAAAAhAHCFfGbcAAAABwEA&#10;AA8AAABkcnMvZG93bnJldi54bWxMj0FvwjAMhe+T+A+RkXYbaZnGSmmKEFI5TtBt4moar63WOFUT&#10;oPv3C7uMi/WsZ733OVuPphMXGlxrWUE8i0AQV1a3XCv4eC+eEhDOI2vsLJOCH3KwzicPGabaXvlA&#10;l9LXIoSwS1FB432fSumqhgy6me2Jg/dlB4M+rEMt9YDXEG46OY+ihTTYcmhosKdtQ9V3eTYKiuMr&#10;JYd4v9uNn8/7RJdvvkBS6nE6blYgPI3+/xhu+AEd8sB0smfWTnQKwiP+b968eRQvQZyCWixfYpB5&#10;Ju/5818AAAD//wMAUEsBAi0AFAAGAAgAAAAhALaDOJL+AAAA4QEAABMAAAAAAAAAAAAAAAAAAAAA&#10;AFtDb250ZW50X1R5cGVzXS54bWxQSwECLQAUAAYACAAAACEAOP0h/9YAAACUAQAACwAAAAAAAAAA&#10;AAAAAAAvAQAAX3JlbHMvLnJlbHNQSwECLQAUAAYACAAAACEAFUNtAKwCAAC1BQAADgAAAAAAAAAA&#10;AAAAAAAuAgAAZHJzL2Uyb0RvYy54bWxQSwECLQAUAAYACAAAACEAcIV8ZtwAAAAHAQAADwAAAAAA&#10;AAAAAAAAAAAGBQAAZHJzL2Rvd25yZXYueG1sUEsFBgAAAAAEAAQA8wAAAA8GAAAAAA==&#10;" fillcolor="#0079c1 [3215]" stroked="f" strokeweight="2pt">
                <v:path arrowok="t"/>
                <w10:wrap anchorx="page" anchory="page"/>
              </v:rect>
            </w:pict>
          </mc:Fallback>
        </mc:AlternateContent>
      </w:r>
      <w:r w:rsidR="007D4BFE">
        <w:rPr>
          <w:noProof/>
          <w:lang w:val="en-AU" w:eastAsia="en-AU"/>
        </w:rPr>
        <w:t>Stakeholder suggestions</w:t>
      </w:r>
      <w:r w:rsidR="007E0424">
        <w:rPr>
          <w:noProof/>
          <w:lang w:val="en-AU" w:eastAsia="en-AU"/>
        </w:rPr>
        <w:t xml:space="preserve"> for improvement going forward</w:t>
      </w:r>
      <w:bookmarkEnd w:id="180"/>
      <w:bookmarkEnd w:id="181"/>
    </w:p>
    <w:p w14:paraId="1C2AC172" w14:textId="77777777" w:rsidR="00063A1F" w:rsidRDefault="00063A1F" w:rsidP="00063A1F">
      <w:r>
        <w:br w:type="page"/>
      </w:r>
    </w:p>
    <w:p w14:paraId="26AE8165" w14:textId="77777777" w:rsidR="000D2251" w:rsidRPr="006E3003" w:rsidRDefault="000D2251" w:rsidP="00283E1C">
      <w:pPr>
        <w:pStyle w:val="Heading2"/>
      </w:pPr>
      <w:bookmarkStart w:id="182" w:name="_Toc490481635"/>
      <w:r w:rsidRPr="00E97CAC">
        <w:lastRenderedPageBreak/>
        <w:t>Introduction</w:t>
      </w:r>
      <w:bookmarkEnd w:id="182"/>
    </w:p>
    <w:p w14:paraId="555B0568" w14:textId="77777777" w:rsidR="000D2251" w:rsidRPr="006E3003" w:rsidRDefault="000D2251" w:rsidP="003B07DF">
      <w:pPr>
        <w:pStyle w:val="Paragraph"/>
      </w:pPr>
      <w:r w:rsidRPr="006E3003">
        <w:t>Throughout the consultation process stakeholders identified a number of means by which the IAA service could be improved.  Suggested improvements are listed by stakeholder group in this chapter.</w:t>
      </w:r>
    </w:p>
    <w:p w14:paraId="1E68AD74" w14:textId="77777777" w:rsidR="000D2251" w:rsidRPr="006E3003" w:rsidRDefault="000D2251" w:rsidP="00283E1C">
      <w:pPr>
        <w:pStyle w:val="Heading2"/>
      </w:pPr>
      <w:bookmarkStart w:id="183" w:name="_Toc490481636"/>
      <w:r w:rsidRPr="006E3003">
        <w:t>Client</w:t>
      </w:r>
      <w:r>
        <w:t xml:space="preserve"> and parent/advocacy group </w:t>
      </w:r>
      <w:r w:rsidRPr="006E3003">
        <w:t>perspectives</w:t>
      </w:r>
      <w:bookmarkEnd w:id="183"/>
      <w:r w:rsidRPr="006E3003">
        <w:t xml:space="preserve"> </w:t>
      </w:r>
    </w:p>
    <w:p w14:paraId="30D3077E" w14:textId="77777777" w:rsidR="000D2251" w:rsidRPr="006978BD" w:rsidRDefault="000D2251" w:rsidP="000D2251">
      <w:pPr>
        <w:pStyle w:val="Paragraph"/>
        <w:keepNext/>
      </w:pPr>
      <w:r w:rsidRPr="006978BD">
        <w:t xml:space="preserve">Suggested changes made by survey respondents </w:t>
      </w:r>
      <w:r>
        <w:t xml:space="preserve">and parent/advocacy groups </w:t>
      </w:r>
      <w:r w:rsidRPr="006978BD">
        <w:t>included:</w:t>
      </w:r>
    </w:p>
    <w:p w14:paraId="2AD34A23" w14:textId="77777777" w:rsidR="000D2251" w:rsidRPr="006978BD" w:rsidRDefault="000D2251" w:rsidP="000D2251">
      <w:pPr>
        <w:pStyle w:val="Bullet1"/>
        <w:ind w:left="502"/>
      </w:pPr>
      <w:r w:rsidRPr="006978BD">
        <w:t>Detailed information on number of children available for adoption in each country</w:t>
      </w:r>
    </w:p>
    <w:p w14:paraId="06CFE0A2" w14:textId="77777777" w:rsidR="000D2251" w:rsidRPr="006978BD" w:rsidRDefault="000D2251" w:rsidP="000D2251">
      <w:pPr>
        <w:pStyle w:val="Bullet1"/>
        <w:ind w:left="502"/>
      </w:pPr>
      <w:r w:rsidRPr="006978BD">
        <w:t>Statistics about the likelihood of being matched with a child</w:t>
      </w:r>
    </w:p>
    <w:p w14:paraId="22CBB352" w14:textId="4233A123" w:rsidR="00EF549D" w:rsidRDefault="00EF549D" w:rsidP="000D2251">
      <w:pPr>
        <w:pStyle w:val="Bullet1"/>
        <w:ind w:left="502"/>
      </w:pPr>
      <w:r>
        <w:t>Additional i</w:t>
      </w:r>
      <w:r w:rsidR="000D2251" w:rsidRPr="006978BD">
        <w:t>nformation about</w:t>
      </w:r>
      <w:r>
        <w:t>:</w:t>
      </w:r>
    </w:p>
    <w:p w14:paraId="0E7EFD01" w14:textId="657A5D9C" w:rsidR="00EF549D" w:rsidRDefault="00EF549D" w:rsidP="00EF549D">
      <w:pPr>
        <w:pStyle w:val="Bullet2"/>
      </w:pPr>
      <w:r>
        <w:t>I</w:t>
      </w:r>
      <w:r w:rsidR="000D2251" w:rsidRPr="006978BD">
        <w:t>rregular adoptions</w:t>
      </w:r>
    </w:p>
    <w:p w14:paraId="6FE95800" w14:textId="56AE45A3" w:rsidR="000D2251" w:rsidRPr="006978BD" w:rsidRDefault="00EF549D" w:rsidP="00EF549D">
      <w:pPr>
        <w:pStyle w:val="Bullet2"/>
      </w:pPr>
      <w:r>
        <w:t>V</w:t>
      </w:r>
      <w:r w:rsidR="000D2251" w:rsidRPr="006978BD">
        <w:t>isas and immigration issues</w:t>
      </w:r>
    </w:p>
    <w:p w14:paraId="76B268FC" w14:textId="77777777" w:rsidR="00EF549D" w:rsidRPr="00EF549D" w:rsidRDefault="000D2251" w:rsidP="000D2251">
      <w:pPr>
        <w:pStyle w:val="Bullet1"/>
        <w:ind w:left="502"/>
        <w:rPr>
          <w:i/>
          <w:iCs/>
        </w:rPr>
      </w:pPr>
      <w:r w:rsidRPr="006978BD">
        <w:t xml:space="preserve">Inclusion of stories to encourage applicants. </w:t>
      </w:r>
      <w:r>
        <w:t xml:space="preserve"> </w:t>
      </w:r>
    </w:p>
    <w:p w14:paraId="65E1FE32" w14:textId="35728588" w:rsidR="000D2251" w:rsidRPr="006978BD" w:rsidRDefault="000D2251" w:rsidP="00EF549D">
      <w:pPr>
        <w:pStyle w:val="Bullet1"/>
        <w:numPr>
          <w:ilvl w:val="0"/>
          <w:numId w:val="0"/>
        </w:numPr>
        <w:ind w:left="502"/>
        <w:rPr>
          <w:rStyle w:val="Emphasis"/>
        </w:rPr>
      </w:pPr>
      <w:r w:rsidRPr="006978BD">
        <w:rPr>
          <w:rStyle w:val="Emphasis"/>
        </w:rPr>
        <w:t xml:space="preserve">“We need more positive stories about adoption.  The support that I would have been desperately appreciative of in this journey is some positive reinforcement that this was the right approach for us to be taking.  There are very few publications that actually have positive stories to tell about the adoption process.  It’s very politically charged” </w:t>
      </w:r>
    </w:p>
    <w:p w14:paraId="29E1AA4B" w14:textId="24D19E42" w:rsidR="000D2251" w:rsidRPr="00EF549D" w:rsidRDefault="000D2251" w:rsidP="00C825EC">
      <w:pPr>
        <w:pStyle w:val="Bullet1"/>
        <w:ind w:left="502"/>
        <w:rPr>
          <w:rStyle w:val="Emphasis"/>
        </w:rPr>
      </w:pPr>
      <w:r w:rsidRPr="00C825EC">
        <w:t>Additional post-adoption support</w:t>
      </w:r>
      <w:r w:rsidR="00BA1880">
        <w:rPr>
          <w:rStyle w:val="FootnoteReference"/>
        </w:rPr>
        <w:footnoteReference w:id="4"/>
      </w:r>
      <w:r w:rsidRPr="00C825EC">
        <w:t xml:space="preserve">. </w:t>
      </w:r>
      <w:r w:rsidRPr="006978BD">
        <w:t xml:space="preserve"> </w:t>
      </w:r>
      <w:r w:rsidRPr="00EF549D">
        <w:rPr>
          <w:rStyle w:val="Emphasis"/>
        </w:rPr>
        <w:t>“Post adoption, it would have been really helpful to have support dealing with behavioural things, getting insight into that and help with that.”</w:t>
      </w:r>
    </w:p>
    <w:p w14:paraId="514EC8D3" w14:textId="77777777" w:rsidR="000D2251" w:rsidRPr="006E3003" w:rsidRDefault="000D2251" w:rsidP="000D2251">
      <w:pPr>
        <w:pStyle w:val="Bullet1"/>
        <w:ind w:left="502"/>
        <w:rPr>
          <w:i/>
          <w:iCs/>
          <w:color w:val="000000" w:themeColor="text1"/>
        </w:rPr>
      </w:pPr>
      <w:r>
        <w:t>National-level i</w:t>
      </w:r>
      <w:r w:rsidRPr="006978BD">
        <w:t xml:space="preserve">nformation and advocacy </w:t>
      </w:r>
    </w:p>
    <w:p w14:paraId="68F25B1F" w14:textId="08AF203C" w:rsidR="00F571BC" w:rsidRDefault="000D2251" w:rsidP="000D2251">
      <w:pPr>
        <w:pStyle w:val="Bullet1"/>
        <w:ind w:left="502"/>
        <w:rPr>
          <w:i/>
          <w:iCs/>
          <w:color w:val="000000" w:themeColor="text1"/>
        </w:rPr>
      </w:pPr>
      <w:r>
        <w:rPr>
          <w:rStyle w:val="ParagraphChar"/>
        </w:rPr>
        <w:t>G</w:t>
      </w:r>
      <w:r w:rsidRPr="006978BD">
        <w:rPr>
          <w:rStyle w:val="ParagraphChar"/>
        </w:rPr>
        <w:t>reater assis</w:t>
      </w:r>
      <w:r w:rsidR="00EA0E41">
        <w:rPr>
          <w:rStyle w:val="ParagraphChar"/>
        </w:rPr>
        <w:t>tance to people living overseas</w:t>
      </w:r>
      <w:r w:rsidRPr="006E3003">
        <w:rPr>
          <w:i/>
          <w:iCs/>
          <w:color w:val="000000" w:themeColor="text1"/>
        </w:rPr>
        <w:t xml:space="preserve">  </w:t>
      </w:r>
    </w:p>
    <w:p w14:paraId="567B2EBA" w14:textId="349E9359" w:rsidR="000D2251" w:rsidRDefault="000D2251" w:rsidP="003B07DF">
      <w:pPr>
        <w:pStyle w:val="Quote"/>
      </w:pPr>
      <w:r w:rsidRPr="006E3003">
        <w:t>“The support needs to be for all Australians, not just citizens living in Australia.  It defeats the purpose of the system supposedly helping children and families.”</w:t>
      </w:r>
    </w:p>
    <w:p w14:paraId="5321598D" w14:textId="6AFECC84" w:rsidR="00F571BC" w:rsidRDefault="00F571BC" w:rsidP="003B07DF">
      <w:pPr>
        <w:pStyle w:val="Quote"/>
      </w:pPr>
      <w:r w:rsidRPr="00B97DCD">
        <w:t xml:space="preserve">“We received no support whatsoever as Australian citizens – and continue to receive no support from the Australian Government. </w:t>
      </w:r>
      <w:r>
        <w:t xml:space="preserve"> We c</w:t>
      </w:r>
      <w:r w:rsidRPr="00B97DCD">
        <w:t>an’t get advice, assistance or even the time of day.” (Respondent who went through ex pat</w:t>
      </w:r>
      <w:r w:rsidR="00BA0991">
        <w:t>riate</w:t>
      </w:r>
      <w:r w:rsidRPr="00B97DCD">
        <w:t xml:space="preserve"> adoption process)</w:t>
      </w:r>
      <w:r>
        <w:t>.</w:t>
      </w:r>
    </w:p>
    <w:p w14:paraId="4EBC7ADF" w14:textId="77777777" w:rsidR="000D2251" w:rsidRPr="006978BD" w:rsidRDefault="000D2251" w:rsidP="000D2251">
      <w:pPr>
        <w:pStyle w:val="Bullet1"/>
        <w:ind w:left="502"/>
      </w:pPr>
      <w:r>
        <w:t xml:space="preserve">Greater promotion of the service. </w:t>
      </w:r>
      <w:r w:rsidRPr="006978BD" w:rsidDel="006978BD">
        <w:t xml:space="preserve"> </w:t>
      </w:r>
      <w:r w:rsidRPr="006978BD">
        <w:rPr>
          <w:rStyle w:val="Emphasis"/>
        </w:rPr>
        <w:t>“I don’t understand why it’s not common knowledge that the service exists.  The states might need to let people know”</w:t>
      </w:r>
      <w:r>
        <w:rPr>
          <w:rStyle w:val="Emphasis"/>
        </w:rPr>
        <w:t>.</w:t>
      </w:r>
    </w:p>
    <w:p w14:paraId="2FC2AD08" w14:textId="3A60A485" w:rsidR="000D2251" w:rsidRDefault="000D2251" w:rsidP="000D2251">
      <w:pPr>
        <w:pStyle w:val="Bullet1"/>
        <w:ind w:left="502"/>
      </w:pPr>
      <w:r w:rsidRPr="006978BD">
        <w:t>Website</w:t>
      </w:r>
      <w:r w:rsidR="00EF549D">
        <w:t xml:space="preserve">-specific </w:t>
      </w:r>
      <w:r w:rsidRPr="006978BD">
        <w:t>suggestions</w:t>
      </w:r>
      <w:r>
        <w:t xml:space="preserve"> included:</w:t>
      </w:r>
    </w:p>
    <w:p w14:paraId="5A74D496" w14:textId="77777777" w:rsidR="000D2251" w:rsidRPr="00C825EC" w:rsidRDefault="000D2251" w:rsidP="000D2251">
      <w:pPr>
        <w:pStyle w:val="Bullet2"/>
      </w:pPr>
      <w:r w:rsidRPr="00C825EC">
        <w:t xml:space="preserve">More detailed and in-depth information on countries and application processes </w:t>
      </w:r>
    </w:p>
    <w:p w14:paraId="111FDA62" w14:textId="377BAEF8" w:rsidR="00B2448A" w:rsidRPr="00B2448A" w:rsidRDefault="00B2448A" w:rsidP="00B2448A">
      <w:pPr>
        <w:pStyle w:val="Bullet2"/>
      </w:pPr>
      <w:r>
        <w:t xml:space="preserve">Improved </w:t>
      </w:r>
      <w:r w:rsidR="000D2251" w:rsidRPr="00C825EC">
        <w:t>navig</w:t>
      </w:r>
      <w:r>
        <w:t>ability to m</w:t>
      </w:r>
      <w:r w:rsidRPr="00B2448A">
        <w:t>ake the website more user-friendly and interactive</w:t>
      </w:r>
    </w:p>
    <w:p w14:paraId="28BF39E1" w14:textId="77777777" w:rsidR="000D2251" w:rsidRPr="00C825EC" w:rsidRDefault="000D2251" w:rsidP="000D2251">
      <w:pPr>
        <w:pStyle w:val="Bullet2"/>
      </w:pPr>
      <w:r w:rsidRPr="00C825EC">
        <w:t xml:space="preserve">More consistent and up to date information </w:t>
      </w:r>
    </w:p>
    <w:p w14:paraId="4B1C31E6" w14:textId="1607195A" w:rsidR="000D2251" w:rsidRPr="00C825EC" w:rsidRDefault="00B2448A" w:rsidP="000D2251">
      <w:pPr>
        <w:pStyle w:val="Bullet2"/>
      </w:pPr>
      <w:r>
        <w:t xml:space="preserve">Greater openness about the </w:t>
      </w:r>
      <w:r w:rsidR="000D2251" w:rsidRPr="00C825EC">
        <w:t xml:space="preserve">reality about the likelihood of a successful ICA </w:t>
      </w:r>
    </w:p>
    <w:p w14:paraId="57A51141" w14:textId="13E1212E" w:rsidR="000D2251" w:rsidRPr="00C825EC" w:rsidRDefault="00B2448A" w:rsidP="000D2251">
      <w:pPr>
        <w:pStyle w:val="Bullet2"/>
      </w:pPr>
      <w:r>
        <w:t>Details on the n</w:t>
      </w:r>
      <w:r w:rsidR="000D2251" w:rsidRPr="00C825EC">
        <w:t xml:space="preserve">umber of people are waiting and adoption wait times </w:t>
      </w:r>
    </w:p>
    <w:p w14:paraId="7293C486" w14:textId="77777777" w:rsidR="000D2251" w:rsidRPr="006978BD" w:rsidRDefault="000D2251" w:rsidP="000D2251">
      <w:pPr>
        <w:pStyle w:val="Bullet2"/>
      </w:pPr>
      <w:r>
        <w:lastRenderedPageBreak/>
        <w:t>I</w:t>
      </w:r>
      <w:r w:rsidRPr="006978BD">
        <w:t>nformation on the allocation process.  Most of the complaints that support groups receive are about the lack of transparency on the allocation process</w:t>
      </w:r>
    </w:p>
    <w:p w14:paraId="29E747AF" w14:textId="77777777" w:rsidR="000D2251" w:rsidRPr="006978BD" w:rsidRDefault="000D2251" w:rsidP="000D2251">
      <w:pPr>
        <w:pStyle w:val="Bullet2"/>
      </w:pPr>
      <w:r w:rsidRPr="006978BD">
        <w:t>information on:</w:t>
      </w:r>
    </w:p>
    <w:p w14:paraId="28B5D9EB" w14:textId="77777777" w:rsidR="000D2251" w:rsidRPr="006978BD" w:rsidRDefault="000D2251" w:rsidP="000D2251">
      <w:pPr>
        <w:pStyle w:val="Bullet3"/>
      </w:pPr>
      <w:r w:rsidRPr="006978BD">
        <w:t>All the stages of adoption (and issues that may arise)</w:t>
      </w:r>
    </w:p>
    <w:p w14:paraId="3C699EA9" w14:textId="77777777" w:rsidR="000D2251" w:rsidRPr="006978BD" w:rsidRDefault="000D2251" w:rsidP="000D2251">
      <w:pPr>
        <w:pStyle w:val="Bullet3"/>
      </w:pPr>
      <w:r w:rsidRPr="006978BD">
        <w:t>Research about ICA and post-adoption</w:t>
      </w:r>
    </w:p>
    <w:p w14:paraId="3AF89781" w14:textId="77777777" w:rsidR="000D2251" w:rsidRPr="006978BD" w:rsidRDefault="000D2251" w:rsidP="000D2251">
      <w:pPr>
        <w:pStyle w:val="Bullet3"/>
      </w:pPr>
      <w:r w:rsidRPr="006978BD">
        <w:t>Bonding issues/depression in adoptees (support groups)</w:t>
      </w:r>
    </w:p>
    <w:p w14:paraId="6DD90F18" w14:textId="0ABD049C" w:rsidR="000D2251" w:rsidRPr="006978BD" w:rsidRDefault="00EA0E41" w:rsidP="000D2251">
      <w:pPr>
        <w:pStyle w:val="Bullet3"/>
      </w:pPr>
      <w:r>
        <w:t>Support for adult adoptees</w:t>
      </w:r>
    </w:p>
    <w:p w14:paraId="1680D755" w14:textId="77777777" w:rsidR="000D2251" w:rsidRPr="006978BD" w:rsidRDefault="000D2251" w:rsidP="000D2251">
      <w:pPr>
        <w:pStyle w:val="Bullet3"/>
      </w:pPr>
      <w:r w:rsidRPr="006978BD">
        <w:t>A checklist to make sure you have the right documents</w:t>
      </w:r>
    </w:p>
    <w:p w14:paraId="67D19AB6" w14:textId="77777777" w:rsidR="000D2251" w:rsidRDefault="000D2251" w:rsidP="000D2251">
      <w:pPr>
        <w:pStyle w:val="Bullet3"/>
      </w:pPr>
      <w:r w:rsidRPr="006978BD">
        <w:t>A live chat function.</w:t>
      </w:r>
    </w:p>
    <w:p w14:paraId="6F293937" w14:textId="527E3639" w:rsidR="000D2251" w:rsidRPr="006978BD" w:rsidRDefault="000D2251" w:rsidP="000D2251">
      <w:pPr>
        <w:pStyle w:val="Bullet1"/>
        <w:ind w:left="502"/>
      </w:pPr>
      <w:r w:rsidRPr="006978BD">
        <w:t xml:space="preserve">Clearer information on STCA and </w:t>
      </w:r>
      <w:r w:rsidR="00B070CA">
        <w:t>Commonwealth</w:t>
      </w:r>
      <w:r w:rsidR="00643590" w:rsidRPr="006978BD">
        <w:t xml:space="preserve"> </w:t>
      </w:r>
      <w:r w:rsidRPr="006978BD">
        <w:t>responsibilities, their inter-relationships and the impact on the ICA process</w:t>
      </w:r>
    </w:p>
    <w:p w14:paraId="1B84F1E9" w14:textId="77777777" w:rsidR="000D2251" w:rsidRPr="006E3003" w:rsidRDefault="000D2251" w:rsidP="000D2251">
      <w:pPr>
        <w:pStyle w:val="Bullet1"/>
        <w:ind w:left="502"/>
      </w:pPr>
      <w:r>
        <w:t>P</w:t>
      </w:r>
      <w:r w:rsidRPr="006E3003">
        <w:t>rovid</w:t>
      </w:r>
      <w:r>
        <w:t xml:space="preserve">e </w:t>
      </w:r>
      <w:r w:rsidRPr="006E3003">
        <w:t>resources to schools, health professionals, and influence the curriculum for social workers at universities to include adoption</w:t>
      </w:r>
      <w:r>
        <w:t>.</w:t>
      </w:r>
    </w:p>
    <w:p w14:paraId="564145F2" w14:textId="77777777" w:rsidR="000D2251" w:rsidRDefault="000D2251" w:rsidP="000D2251">
      <w:pPr>
        <w:pStyle w:val="Bullet1"/>
        <w:ind w:left="502"/>
      </w:pPr>
      <w:r w:rsidRPr="006978BD">
        <w:t>Assist adoptees</w:t>
      </w:r>
      <w:r>
        <w:t>:</w:t>
      </w:r>
    </w:p>
    <w:p w14:paraId="212527A3" w14:textId="77777777" w:rsidR="000D2251" w:rsidRPr="006978BD" w:rsidRDefault="000D2251" w:rsidP="000D2251">
      <w:pPr>
        <w:pStyle w:val="Bullet2"/>
      </w:pPr>
      <w:r>
        <w:t>I</w:t>
      </w:r>
      <w:r w:rsidRPr="006978BD">
        <w:t>n their search for identity documents</w:t>
      </w:r>
    </w:p>
    <w:p w14:paraId="296E6013" w14:textId="77777777" w:rsidR="000D2251" w:rsidRPr="006978BD" w:rsidRDefault="000D2251" w:rsidP="000D2251">
      <w:pPr>
        <w:pStyle w:val="Bullet2"/>
      </w:pPr>
      <w:r>
        <w:t>By p</w:t>
      </w:r>
      <w:r w:rsidRPr="006978BD">
        <w:t>roviding information on and from countries of origin for adoptees</w:t>
      </w:r>
    </w:p>
    <w:p w14:paraId="0A6873CD" w14:textId="438C0CB7" w:rsidR="000D2251" w:rsidRPr="006978BD" w:rsidRDefault="000D2251" w:rsidP="000D2251">
      <w:pPr>
        <w:pStyle w:val="Bullet2"/>
      </w:pPr>
      <w:r>
        <w:t>W</w:t>
      </w:r>
      <w:r w:rsidRPr="006978BD">
        <w:t xml:space="preserve">ith return trips to birth countries including information and financial support as most returnees are in their </w:t>
      </w:r>
      <w:r w:rsidR="00B070CA">
        <w:t>twenties</w:t>
      </w:r>
      <w:r w:rsidRPr="006978BD">
        <w:t xml:space="preserve"> with very little or no money</w:t>
      </w:r>
    </w:p>
    <w:p w14:paraId="642F2A1B" w14:textId="6B3F52C5" w:rsidR="000D2251" w:rsidRDefault="000D2251" w:rsidP="000D2251">
      <w:pPr>
        <w:pStyle w:val="Bullet2"/>
      </w:pPr>
      <w:r>
        <w:t xml:space="preserve">In the </w:t>
      </w:r>
      <w:r w:rsidRPr="006978BD">
        <w:t>transition</w:t>
      </w:r>
      <w:r>
        <w:t xml:space="preserve"> from teens to</w:t>
      </w:r>
      <w:r w:rsidRPr="006978BD">
        <w:t xml:space="preserve"> adulthood</w:t>
      </w:r>
      <w:r>
        <w:t xml:space="preserve"> on issues related to</w:t>
      </w:r>
      <w:r w:rsidRPr="006978BD">
        <w:t xml:space="preserve"> development and identity</w:t>
      </w:r>
    </w:p>
    <w:p w14:paraId="006F3537" w14:textId="77777777" w:rsidR="000D2251" w:rsidRDefault="000D2251" w:rsidP="000D2251">
      <w:pPr>
        <w:pStyle w:val="Bullet2"/>
      </w:pPr>
      <w:r>
        <w:t xml:space="preserve">Through improved counselling services.  </w:t>
      </w:r>
      <w:r w:rsidRPr="006F585B">
        <w:rPr>
          <w:rStyle w:val="Emphasis"/>
        </w:rPr>
        <w:t>“There needs to be competent trauma counsellors who are informed by the lived experiences of adult adoptees”</w:t>
      </w:r>
    </w:p>
    <w:p w14:paraId="45592592" w14:textId="4E1E2EEB" w:rsidR="000D2251" w:rsidRPr="006F585B" w:rsidRDefault="000D2251" w:rsidP="000D2251">
      <w:pPr>
        <w:pStyle w:val="Bullet2"/>
        <w:rPr>
          <w:rStyle w:val="Emphasis"/>
        </w:rPr>
      </w:pPr>
      <w:r>
        <w:t>Information to assist with being adopted</w:t>
      </w:r>
      <w:r w:rsidR="00657DE6">
        <w:t>.</w:t>
      </w:r>
      <w:r>
        <w:t xml:space="preserve"> </w:t>
      </w:r>
      <w:r w:rsidR="00657DE6">
        <w:t xml:space="preserve"> </w:t>
      </w:r>
      <w:r w:rsidRPr="006F585B">
        <w:rPr>
          <w:rStyle w:val="Emphasis"/>
        </w:rPr>
        <w:t>“I wish there was more info to help adoptees like research papers or something that validates our feelings and helps us deal with adoption”</w:t>
      </w:r>
    </w:p>
    <w:p w14:paraId="08031A6D" w14:textId="77777777" w:rsidR="000D2251" w:rsidRPr="006978BD" w:rsidRDefault="000D2251" w:rsidP="000D2251">
      <w:pPr>
        <w:pStyle w:val="Bullet1"/>
        <w:ind w:left="502"/>
      </w:pPr>
      <w:r>
        <w:t>Provide p</w:t>
      </w:r>
      <w:r w:rsidRPr="006978BD">
        <w:t xml:space="preserve">eer reviewed academic papers and links to talks on best practice about controversial adoption-related issues </w:t>
      </w:r>
    </w:p>
    <w:p w14:paraId="7A197201" w14:textId="77777777" w:rsidR="000D2251" w:rsidRPr="006E3003" w:rsidRDefault="000D2251" w:rsidP="000D2251">
      <w:pPr>
        <w:pStyle w:val="Bullet1"/>
        <w:ind w:left="502"/>
        <w:rPr>
          <w:i/>
          <w:iCs/>
          <w:color w:val="000000" w:themeColor="text1"/>
        </w:rPr>
      </w:pPr>
      <w:r w:rsidRPr="006E3003">
        <w:t>Provi</w:t>
      </w:r>
      <w:r>
        <w:t>de</w:t>
      </w:r>
      <w:r w:rsidRPr="006E3003">
        <w:t xml:space="preserve"> a forum for</w:t>
      </w:r>
      <w:r>
        <w:t xml:space="preserve"> adoptive parents and their adoptive children </w:t>
      </w:r>
      <w:r w:rsidRPr="006E3003">
        <w:t xml:space="preserve">to post ideas and have an online discussion and to dispel some of the myths around ICA. </w:t>
      </w:r>
      <w:r>
        <w:t xml:space="preserve"> </w:t>
      </w:r>
      <w:r w:rsidRPr="006E3003">
        <w:rPr>
          <w:i/>
          <w:iCs/>
          <w:color w:val="000000" w:themeColor="text1"/>
        </w:rPr>
        <w:t>“Most adoptees are too scared to talk about adoption breakdowns as people think adoption is a wonderful thing”</w:t>
      </w:r>
      <w:r>
        <w:rPr>
          <w:i/>
          <w:iCs/>
          <w:color w:val="000000" w:themeColor="text1"/>
        </w:rPr>
        <w:t>.</w:t>
      </w:r>
    </w:p>
    <w:p w14:paraId="16982919" w14:textId="77777777" w:rsidR="000D2251" w:rsidRDefault="000D2251" w:rsidP="00283E1C">
      <w:pPr>
        <w:pStyle w:val="Heading2"/>
      </w:pPr>
      <w:bookmarkStart w:id="184" w:name="_Toc490481637"/>
      <w:r>
        <w:t>STCA perspectives</w:t>
      </w:r>
      <w:bookmarkEnd w:id="184"/>
    </w:p>
    <w:p w14:paraId="666D724E" w14:textId="77777777" w:rsidR="000D2251" w:rsidRDefault="000D2251" w:rsidP="003B07DF">
      <w:pPr>
        <w:pStyle w:val="ParagraphKeep"/>
        <w:rPr>
          <w:lang w:eastAsia="en-AU"/>
        </w:rPr>
      </w:pPr>
      <w:r>
        <w:rPr>
          <w:lang w:eastAsia="en-AU"/>
        </w:rPr>
        <w:t>STCA suggestions included:</w:t>
      </w:r>
    </w:p>
    <w:p w14:paraId="0FC70C74" w14:textId="7C80843E" w:rsidR="000D2251" w:rsidRPr="00B61E21" w:rsidRDefault="000D2251" w:rsidP="000D2251">
      <w:pPr>
        <w:pStyle w:val="Bullet1"/>
        <w:ind w:left="502"/>
      </w:pPr>
      <w:r>
        <w:t xml:space="preserve">Expansion of the </w:t>
      </w:r>
      <w:r w:rsidRPr="00B61E21">
        <w:t xml:space="preserve">post-adoption information </w:t>
      </w:r>
      <w:r>
        <w:t xml:space="preserve">available </w:t>
      </w:r>
      <w:r w:rsidRPr="00B61E21">
        <w:t>for:</w:t>
      </w:r>
    </w:p>
    <w:p w14:paraId="62358A1E" w14:textId="77777777" w:rsidR="000D2251" w:rsidRPr="00B61E21" w:rsidRDefault="000D2251" w:rsidP="000D2251">
      <w:pPr>
        <w:pStyle w:val="Bullet2"/>
      </w:pPr>
      <w:r w:rsidRPr="00B61E21">
        <w:t xml:space="preserve">Adoptive parents </w:t>
      </w:r>
    </w:p>
    <w:p w14:paraId="3B0081C8" w14:textId="1A749F62" w:rsidR="000D2251" w:rsidRPr="00B61E21" w:rsidRDefault="000D2251" w:rsidP="000D2251">
      <w:pPr>
        <w:pStyle w:val="Bullet2"/>
      </w:pPr>
      <w:r w:rsidRPr="00B61E21">
        <w:t>Adoptees</w:t>
      </w:r>
    </w:p>
    <w:p w14:paraId="1D7FAA2E" w14:textId="51E8A533" w:rsidR="000D2251" w:rsidRPr="00B61E21" w:rsidRDefault="00B2448A" w:rsidP="000D2251">
      <w:pPr>
        <w:pStyle w:val="Bullet1"/>
        <w:ind w:left="502"/>
      </w:pPr>
      <w:r>
        <w:t>Further inf</w:t>
      </w:r>
      <w:r w:rsidR="000D2251" w:rsidRPr="00B61E21">
        <w:t>ormation regarding irregular adoptions including:</w:t>
      </w:r>
    </w:p>
    <w:p w14:paraId="45B055FE" w14:textId="77777777" w:rsidR="000D2251" w:rsidRPr="00B61E21" w:rsidRDefault="000D2251" w:rsidP="00CD2CFC">
      <w:pPr>
        <w:pStyle w:val="Bullet2"/>
        <w:ind w:left="1276" w:hanging="425"/>
      </w:pPr>
      <w:r w:rsidRPr="00B61E21">
        <w:t>Relative adoptions</w:t>
      </w:r>
    </w:p>
    <w:p w14:paraId="18DFBC5B" w14:textId="77777777" w:rsidR="000D2251" w:rsidRPr="00B61E21" w:rsidRDefault="000D2251" w:rsidP="00CD2CFC">
      <w:pPr>
        <w:pStyle w:val="Bullet2"/>
        <w:ind w:left="1276" w:hanging="425"/>
      </w:pPr>
      <w:r w:rsidRPr="00B61E21">
        <w:t>Ad hoc adoptions</w:t>
      </w:r>
    </w:p>
    <w:p w14:paraId="5A49A2AF" w14:textId="77777777" w:rsidR="000D2251" w:rsidRPr="00B61E21" w:rsidRDefault="000D2251" w:rsidP="00CD2CFC">
      <w:pPr>
        <w:pStyle w:val="Bullet2"/>
        <w:ind w:left="1276" w:hanging="425"/>
      </w:pPr>
      <w:r>
        <w:t>Expatriate</w:t>
      </w:r>
      <w:r w:rsidRPr="00B61E21">
        <w:t xml:space="preserve"> adoptions.</w:t>
      </w:r>
    </w:p>
    <w:p w14:paraId="55F2F32F" w14:textId="77777777" w:rsidR="000D2251" w:rsidRPr="00B61E21" w:rsidRDefault="000D2251" w:rsidP="003B07DF">
      <w:pPr>
        <w:pStyle w:val="Quote"/>
      </w:pPr>
      <w:r w:rsidRPr="00B61E21">
        <w:lastRenderedPageBreak/>
        <w:t>“We’ve been struggling with intercountry relative adoptions, ad hoc adoptions, to be able to refer people for more concrete advice would be good.  People want answers about immigration and things like that.  Maybe having people with more knowledge of that kind of stuff would be really helpful”.</w:t>
      </w:r>
    </w:p>
    <w:p w14:paraId="64682338" w14:textId="77777777" w:rsidR="000D2251" w:rsidRDefault="000D2251" w:rsidP="000D2251">
      <w:pPr>
        <w:pStyle w:val="Bullet1"/>
        <w:ind w:left="502"/>
      </w:pPr>
      <w:r>
        <w:t>Promotion of IAA through:</w:t>
      </w:r>
    </w:p>
    <w:p w14:paraId="0A1C10AF" w14:textId="6107FE54" w:rsidR="000D2251" w:rsidRPr="00B61E21" w:rsidRDefault="000D2251" w:rsidP="000D2251">
      <w:pPr>
        <w:pStyle w:val="Bullet2"/>
      </w:pPr>
      <w:r w:rsidRPr="00B61E21">
        <w:t xml:space="preserve">Links to IAA on each STCA website.  “The logical place for it to be advertised is on </w:t>
      </w:r>
      <w:r w:rsidR="00643590">
        <w:t>ST</w:t>
      </w:r>
      <w:r w:rsidRPr="00B61E21">
        <w:t>CA websites”.</w:t>
      </w:r>
    </w:p>
    <w:p w14:paraId="71B8CE48" w14:textId="77777777" w:rsidR="000D2251" w:rsidRPr="00B61E21" w:rsidRDefault="000D2251" w:rsidP="000D2251">
      <w:pPr>
        <w:pStyle w:val="Bullet2"/>
      </w:pPr>
      <w:r w:rsidRPr="00B61E21">
        <w:t>Provision of brochures in appropriate locations e.g. GP surgeries, reproduction medical groups, and Family Planning.  A national TV ad was considered inappropriate given the small population of potential clients involved.</w:t>
      </w:r>
    </w:p>
    <w:p w14:paraId="59CE8FA6" w14:textId="77777777" w:rsidR="000D2251" w:rsidRPr="00B61E21" w:rsidRDefault="000D2251" w:rsidP="000D2251">
      <w:pPr>
        <w:pStyle w:val="Bullet1"/>
        <w:ind w:left="502"/>
      </w:pPr>
      <w:r w:rsidRPr="00B61E21">
        <w:t>Improve messaging about IAA.  The importance of differentiating IAA’s role from that of STCAs and other stakeholders was considered key.</w:t>
      </w:r>
    </w:p>
    <w:p w14:paraId="6469B7EE" w14:textId="0AB4BADB" w:rsidR="000D2251" w:rsidRPr="00B61E21" w:rsidRDefault="000D2251" w:rsidP="000D2251">
      <w:pPr>
        <w:spacing w:before="120" w:after="240"/>
        <w:ind w:left="709" w:right="709"/>
        <w:rPr>
          <w:i/>
          <w:iCs/>
          <w:color w:val="000000"/>
        </w:rPr>
      </w:pPr>
      <w:r w:rsidRPr="00B61E21">
        <w:rPr>
          <w:i/>
          <w:iCs/>
          <w:color w:val="000000"/>
        </w:rPr>
        <w:t>“The messaging is really important, and what the IAA do and how it’s different to what the STCAs do, bridge the overlap between the roles and responsibilities and what the IAA was set up to do”</w:t>
      </w:r>
      <w:r w:rsidR="00643590">
        <w:rPr>
          <w:i/>
          <w:iCs/>
          <w:color w:val="000000"/>
        </w:rPr>
        <w:t>.</w:t>
      </w:r>
    </w:p>
    <w:p w14:paraId="08DDB20B" w14:textId="77777777" w:rsidR="000D2251" w:rsidRDefault="000D2251" w:rsidP="00283E1C">
      <w:pPr>
        <w:pStyle w:val="Heading2"/>
      </w:pPr>
      <w:bookmarkStart w:id="185" w:name="_Toc490481638"/>
      <w:r>
        <w:t>Academic perspectives</w:t>
      </w:r>
      <w:bookmarkEnd w:id="185"/>
    </w:p>
    <w:p w14:paraId="02B8171B" w14:textId="77777777" w:rsidR="000D2251" w:rsidRPr="00BC5592" w:rsidRDefault="000D2251" w:rsidP="003B07DF">
      <w:pPr>
        <w:pStyle w:val="Paragraph"/>
      </w:pPr>
      <w:r w:rsidRPr="00BC5592">
        <w:t>The academic informants listed a number of additional issues for consideration by IAA going forward:</w:t>
      </w:r>
    </w:p>
    <w:p w14:paraId="1FB62396" w14:textId="77777777" w:rsidR="000D2251" w:rsidRPr="00BC5592" w:rsidRDefault="000D2251" w:rsidP="003B07DF">
      <w:pPr>
        <w:pStyle w:val="Bullet1"/>
      </w:pPr>
      <w:r w:rsidRPr="00BC5592">
        <w:rPr>
          <w:b/>
          <w:bCs/>
        </w:rPr>
        <w:t xml:space="preserve">Promotion of IAA. </w:t>
      </w:r>
      <w:r w:rsidRPr="00BC5592">
        <w:t xml:space="preserve"> Suggestions included television and other marketing avenues such as Facebook.  Word of mouth was also considered important.  “</w:t>
      </w:r>
      <w:r w:rsidRPr="00BC5592">
        <w:rPr>
          <w:i/>
          <w:iCs/>
        </w:rPr>
        <w:t xml:space="preserve">If they only stick to spreading the word through the organisations, they will only get to the people in those organisations.”  </w:t>
      </w:r>
      <w:r w:rsidRPr="00BC5592">
        <w:t>The dangers of raising community expectations regarding the availability of childr</w:t>
      </w:r>
      <w:r>
        <w:t>en for I</w:t>
      </w:r>
      <w:r w:rsidRPr="00BC5592">
        <w:t>C</w:t>
      </w:r>
      <w:r>
        <w:t>A</w:t>
      </w:r>
      <w:r w:rsidRPr="00BC5592">
        <w:t xml:space="preserve"> through advertising were also raised.</w:t>
      </w:r>
    </w:p>
    <w:p w14:paraId="297FF335" w14:textId="77777777" w:rsidR="000D2251" w:rsidRPr="00BC5592" w:rsidRDefault="000D2251" w:rsidP="003B07DF">
      <w:pPr>
        <w:pStyle w:val="Bullet1"/>
      </w:pPr>
      <w:r w:rsidRPr="00BC5592">
        <w:t xml:space="preserve">Greater inclusion of intercountry </w:t>
      </w:r>
      <w:r w:rsidRPr="00BC5592">
        <w:rPr>
          <w:b/>
          <w:bCs/>
        </w:rPr>
        <w:t>adoptees reference groups</w:t>
      </w:r>
      <w:r w:rsidRPr="00BC5592">
        <w:t>.  This could include “</w:t>
      </w:r>
      <w:r w:rsidRPr="00BC5592">
        <w:rPr>
          <w:i/>
          <w:iCs/>
        </w:rPr>
        <w:t>a reference group with adoptees and actively getting adoptees with diverse backgrounds, not just Australian adoptees, but other people who have different experience with adoption in Australia and really making that a meaningful experience and not just a token thing</w:t>
      </w:r>
      <w:r w:rsidRPr="00BC5592">
        <w:t>”.</w:t>
      </w:r>
    </w:p>
    <w:p w14:paraId="2CA1F732" w14:textId="77777777" w:rsidR="000D2251" w:rsidRPr="00BC5592" w:rsidRDefault="000D2251" w:rsidP="003B07DF">
      <w:pPr>
        <w:pStyle w:val="Bullet1"/>
      </w:pPr>
      <w:r w:rsidRPr="00BC5592">
        <w:t xml:space="preserve">Undertaking and providing access to </w:t>
      </w:r>
      <w:r w:rsidRPr="00BC5592">
        <w:rPr>
          <w:b/>
          <w:bCs/>
        </w:rPr>
        <w:t xml:space="preserve">research </w:t>
      </w:r>
      <w:r w:rsidRPr="00BC5592">
        <w:t xml:space="preserve">so that ICA experiences in Australia are contextualised in a broader global context.  This was considered important to help adult adoptees understand the issues and circumstances related to relinquishment and forced adoption overseas.  </w:t>
      </w:r>
      <w:r w:rsidRPr="00BC5592">
        <w:rPr>
          <w:i/>
          <w:iCs/>
        </w:rPr>
        <w:t>“Situations in different countries are different, children will be different, experiences, and reasons are all different.”</w:t>
      </w:r>
    </w:p>
    <w:p w14:paraId="5C9502D1" w14:textId="77777777" w:rsidR="000D2251" w:rsidRPr="00BC5592" w:rsidRDefault="000D2251" w:rsidP="003B07DF">
      <w:pPr>
        <w:pStyle w:val="Bullet1"/>
      </w:pPr>
      <w:r w:rsidRPr="00BC5592">
        <w:t xml:space="preserve">Making the </w:t>
      </w:r>
      <w:r w:rsidRPr="00BC5592">
        <w:rPr>
          <w:b/>
          <w:bCs/>
        </w:rPr>
        <w:t>IAA website more inclusive</w:t>
      </w:r>
      <w:r w:rsidRPr="00BC5592">
        <w:t xml:space="preserve"> by:</w:t>
      </w:r>
    </w:p>
    <w:p w14:paraId="5B99FAF8" w14:textId="77777777" w:rsidR="000D2251" w:rsidRPr="00BC5592" w:rsidRDefault="000D2251" w:rsidP="003B07DF">
      <w:pPr>
        <w:pStyle w:val="Bullet2"/>
      </w:pPr>
      <w:r w:rsidRPr="00BC5592">
        <w:t xml:space="preserve">Including a </w:t>
      </w:r>
      <w:r w:rsidRPr="00BC5592">
        <w:rPr>
          <w:b/>
          <w:bCs/>
        </w:rPr>
        <w:t>broader representation of images</w:t>
      </w:r>
      <w:r w:rsidRPr="00BC5592">
        <w:t xml:space="preserve"> on the site.  “The first thing I see when I go on the website is two white parents and an Asian adopted child”</w:t>
      </w:r>
    </w:p>
    <w:p w14:paraId="3D3DDD47" w14:textId="77777777" w:rsidR="000D2251" w:rsidRPr="00BC5592" w:rsidRDefault="000D2251" w:rsidP="003B07DF">
      <w:pPr>
        <w:pStyle w:val="Bullet2"/>
      </w:pPr>
      <w:r w:rsidRPr="00BC5592">
        <w:t xml:space="preserve">Provision of </w:t>
      </w:r>
      <w:r w:rsidRPr="00BC5592">
        <w:rPr>
          <w:b/>
          <w:bCs/>
        </w:rPr>
        <w:t>information/services for adoptee throughout their life</w:t>
      </w:r>
      <w:r w:rsidRPr="00BC5592">
        <w:t xml:space="preserve">.  </w:t>
      </w:r>
    </w:p>
    <w:p w14:paraId="095EB6D3" w14:textId="2427532B" w:rsidR="000D2251" w:rsidRPr="00BC5592" w:rsidRDefault="000D2251" w:rsidP="003B07DF">
      <w:pPr>
        <w:pStyle w:val="Quote"/>
        <w:rPr>
          <w:lang w:eastAsia="en-AU"/>
        </w:rPr>
      </w:pPr>
      <w:r w:rsidRPr="00BC5592">
        <w:rPr>
          <w:lang w:eastAsia="en-AU"/>
        </w:rPr>
        <w:t xml:space="preserve">“There is a common perception that adoptees are kids who stay kids.  They need to look at it long term, not just the teen years or the </w:t>
      </w:r>
      <w:r w:rsidR="00B070CA">
        <w:rPr>
          <w:lang w:eastAsia="en-AU"/>
        </w:rPr>
        <w:t>twenties</w:t>
      </w:r>
      <w:r w:rsidRPr="00BC5592">
        <w:rPr>
          <w:lang w:eastAsia="en-AU"/>
        </w:rPr>
        <w:t>.  When adoptees themselves become parents, when people begin to think about their own experience and think about their birth mother carrying a child to term and then having that experience of the child being taken away or deciding to relinquish their child”</w:t>
      </w:r>
    </w:p>
    <w:p w14:paraId="119881D0" w14:textId="04B5F6F5" w:rsidR="000D2251" w:rsidRPr="00BC5592" w:rsidRDefault="000D2251" w:rsidP="003B07DF">
      <w:pPr>
        <w:pStyle w:val="Quote"/>
        <w:rPr>
          <w:lang w:eastAsia="en-AU"/>
        </w:rPr>
      </w:pPr>
      <w:r w:rsidRPr="00BC5592">
        <w:rPr>
          <w:lang w:eastAsia="en-AU"/>
        </w:rPr>
        <w:t xml:space="preserve">“The oldest intercountry adoptees are from Korea...[and] in their </w:t>
      </w:r>
      <w:r w:rsidR="00B070CA">
        <w:rPr>
          <w:lang w:eastAsia="en-AU"/>
        </w:rPr>
        <w:t>fifties</w:t>
      </w:r>
      <w:r w:rsidRPr="00BC5592">
        <w:rPr>
          <w:lang w:eastAsia="en-AU"/>
        </w:rPr>
        <w:t xml:space="preserve"> now”.</w:t>
      </w:r>
    </w:p>
    <w:p w14:paraId="22B8D524" w14:textId="77777777" w:rsidR="000D2251" w:rsidRPr="00BC5592" w:rsidRDefault="000D2251" w:rsidP="000D2251">
      <w:pPr>
        <w:pStyle w:val="Bullet1"/>
        <w:ind w:left="502"/>
      </w:pPr>
      <w:r>
        <w:lastRenderedPageBreak/>
        <w:t xml:space="preserve">Provide information on </w:t>
      </w:r>
      <w:r w:rsidRPr="00BC5592">
        <w:rPr>
          <w:b/>
          <w:bCs/>
        </w:rPr>
        <w:t xml:space="preserve">racism </w:t>
      </w:r>
      <w:r w:rsidRPr="00BC5592">
        <w:t>towards intercountry adoptees</w:t>
      </w:r>
      <w:r>
        <w:t xml:space="preserve"> and the implications this has for adoptees and their parents</w:t>
      </w:r>
      <w:r w:rsidRPr="00BC5592">
        <w:t xml:space="preserve">.  </w:t>
      </w:r>
      <w:r w:rsidRPr="00BD740A">
        <w:rPr>
          <w:rStyle w:val="Emphasis"/>
        </w:rPr>
        <w:t>“All adoptees describe racism from everyday racism to overt racism.  It’s not going to get better given the current climate.  Racism is something Australians tend to deny and PAPs definitely deny it, and the adoptees experience it so there needs to be more information about that.”</w:t>
      </w:r>
    </w:p>
    <w:p w14:paraId="452B33D7" w14:textId="76CC7D9E" w:rsidR="000453A4" w:rsidRPr="00351122" w:rsidRDefault="000D2251" w:rsidP="000453A4">
      <w:pPr>
        <w:pStyle w:val="Bullet1"/>
        <w:ind w:left="502"/>
      </w:pPr>
      <w:r w:rsidRPr="00BC5592">
        <w:t xml:space="preserve">Provision of </w:t>
      </w:r>
      <w:r w:rsidRPr="00BC5592">
        <w:rPr>
          <w:b/>
          <w:bCs/>
        </w:rPr>
        <w:t>information on ICA to schools</w:t>
      </w:r>
      <w:r w:rsidRPr="00BC5592">
        <w:t>.  It was suggested that a link to resources for schools could be included on the IAA website.  “</w:t>
      </w:r>
      <w:r w:rsidRPr="00BC5592">
        <w:rPr>
          <w:i/>
          <w:iCs/>
        </w:rPr>
        <w:t>You hear horror stories about how adoption is handled in schools.”</w:t>
      </w:r>
    </w:p>
    <w:p w14:paraId="6F71E8B3" w14:textId="1F4CF86B" w:rsidR="00107323" w:rsidRPr="00351122" w:rsidRDefault="00107323" w:rsidP="00351122"/>
    <w:p w14:paraId="7FF91648" w14:textId="77777777" w:rsidR="00063A1F" w:rsidRDefault="00107323" w:rsidP="00351122">
      <w:pPr>
        <w:rPr>
          <w:highlight w:val="yellow"/>
        </w:rPr>
      </w:pPr>
      <w:r w:rsidRPr="00351122">
        <w:br w:type="page"/>
      </w:r>
    </w:p>
    <w:p w14:paraId="4E9B3117" w14:textId="77777777" w:rsidR="00C10184" w:rsidRDefault="00C10184" w:rsidP="005C2C04"/>
    <w:bookmarkStart w:id="186" w:name="_Toc490481639"/>
    <w:p w14:paraId="32B70C62" w14:textId="77777777" w:rsidR="00C10184" w:rsidRDefault="00B36A43" w:rsidP="00283E1C">
      <w:pPr>
        <w:pStyle w:val="Heading1"/>
      </w:pPr>
      <w:r>
        <w:rPr>
          <w:noProof/>
          <w:lang w:val="en-AU" w:eastAsia="en-AU"/>
        </w:rPr>
        <mc:AlternateContent>
          <mc:Choice Requires="wps">
            <w:drawing>
              <wp:anchor distT="0" distB="0" distL="114300" distR="114300" simplePos="0" relativeHeight="251656192" behindDoc="1" locked="0" layoutInCell="1" allowOverlap="1" wp14:anchorId="3D39492F" wp14:editId="2A9ED692">
                <wp:simplePos x="0" y="0"/>
                <wp:positionH relativeFrom="page">
                  <wp:align>left</wp:align>
                </wp:positionH>
                <wp:positionV relativeFrom="page">
                  <wp:align>top</wp:align>
                </wp:positionV>
                <wp:extent cx="7632065" cy="10763885"/>
                <wp:effectExtent l="0" t="0" r="6985" b="0"/>
                <wp:wrapNone/>
                <wp:docPr id="9" name="Rectangle 9" title="&quot; &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2065" cy="107638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5E55E" id="Rectangle 9" o:spid="_x0000_s1026" alt="Title: &quot; &quot;" style="position:absolute;margin-left:0;margin-top:0;width:600.95pt;height:847.55pt;z-index:-2516602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9KwrAIAALUFAAAOAAAAZHJzL2Uyb0RvYy54bWysVEtv2zAMvg/YfxB02G21kzV9eHWKoEWH&#10;AUFbtB16VmU5FiaLqqTESX/9KMl2s67YYVgOiih+/PgwybPzbavIRlgnQZd0cpBTIjSHSupVSX88&#10;XH0+ocR5piumQIuS7oSj5/OPH846U4gpNKAqYQmSaFd0pqSN96bIMscb0TJ3AEZoVNZgW+ZRtKus&#10;sqxD9lZl0zw/yjqwlbHAhXP4epmUdB7561pwf1PXTniiSoqx+XjaeD6FM5ufsWJlmWkk78Ng/xBF&#10;y6RGpyPVJfOMrK38g6qV3IKD2h9waDOoa8lFzAGzmeRvsrlvmBExFyyOM2OZ3P+j5debW0tkVdJT&#10;SjRr8RPdYdGYXilB8MlLr/Dt0/Ma/FeS/kLROuMKtL03tzak7cwS+E+Hiuw3TRBcj9nWtg1YTJps&#10;4xfYjV9AbD3h+Hh89GWaH80o4aib5CienMyCv4wVg72xzn8T0JJwKanFcGPp2WbpfIIOkBgaKFld&#10;SaWiEPpKXChLNgw7wm+nPbnbRykdsBqCVSIMLzGzlExMy++UCDil70SNJcTwpzGQ2LyvThjnQvtJ&#10;UjWsEsn3LMff4H0IKyYaCQNzjf5H7p5gQCaSgTtF2eODqYi9PxrnfwssGY8W0TNoPxq3UoN9j0Bh&#10;Vr3nhB+KlEoTqvQE1Q4bzEKaPGf4lcTPtmTO3zKLo4ZDievD3+BRK+hKCv2Nkgbsy3vvAY8TgFpK&#10;OhzdkrrnNbOCEvVd42ycTg4Pw6xH4XB2PEXB7mue9jV63V4A9sIEF5Xh8RrwXg3X2kL7iFtmEbyi&#10;immOvkvKvR2EC59WCu4pLhaLCMP5Nswv9b3hgTxUNbTlw/aRWdP3rse+v4ZhzFnxpoUTNlhqWKw9&#10;1DL292td+3rjboiN0++xsHz25Yh63bbzXwAAAP//AwBQSwMEFAAGAAgAAAAhAHCFfGbcAAAABwEA&#10;AA8AAABkcnMvZG93bnJldi54bWxMj0FvwjAMhe+T+A+RkXYbaZnGSmmKEFI5TtBt4moar63WOFUT&#10;oPv3C7uMi/WsZ733OVuPphMXGlxrWUE8i0AQV1a3XCv4eC+eEhDOI2vsLJOCH3KwzicPGabaXvlA&#10;l9LXIoSwS1FB432fSumqhgy6me2Jg/dlB4M+rEMt9YDXEG46OY+ihTTYcmhosKdtQ9V3eTYKiuMr&#10;JYd4v9uNn8/7RJdvvkBS6nE6blYgPI3+/xhu+AEd8sB0smfWTnQKwiP+b968eRQvQZyCWixfYpB5&#10;Ju/5818AAAD//wMAUEsBAi0AFAAGAAgAAAAhALaDOJL+AAAA4QEAABMAAAAAAAAAAAAAAAAAAAAA&#10;AFtDb250ZW50X1R5cGVzXS54bWxQSwECLQAUAAYACAAAACEAOP0h/9YAAACUAQAACwAAAAAAAAAA&#10;AAAAAAAvAQAAX3JlbHMvLnJlbHNQSwECLQAUAAYACAAAACEAUQvSsKwCAAC1BQAADgAAAAAAAAAA&#10;AAAAAAAuAgAAZHJzL2Uyb0RvYy54bWxQSwECLQAUAAYACAAAACEAcIV8ZtwAAAAHAQAADwAAAAAA&#10;AAAAAAAAAAAGBQAAZHJzL2Rvd25yZXYueG1sUEsFBgAAAAAEAAQA8wAAAA8GAAAAAA==&#10;" fillcolor="#0079c1 [3215]" stroked="f" strokeweight="2pt">
                <v:path arrowok="t"/>
                <w10:wrap anchorx="page" anchory="page"/>
              </v:rect>
            </w:pict>
          </mc:Fallback>
        </mc:AlternateContent>
      </w:r>
      <w:r w:rsidR="006434D7">
        <w:t>Discussion and conclusions</w:t>
      </w:r>
      <w:bookmarkEnd w:id="186"/>
    </w:p>
    <w:p w14:paraId="3362DAF4" w14:textId="77777777" w:rsidR="00C10184" w:rsidRDefault="00C10184">
      <w:r>
        <w:br w:type="page"/>
      </w:r>
    </w:p>
    <w:p w14:paraId="727683D3" w14:textId="77777777" w:rsidR="00740AB7" w:rsidRDefault="006434D7" w:rsidP="00283E1C">
      <w:pPr>
        <w:pStyle w:val="Heading2"/>
      </w:pPr>
      <w:bookmarkStart w:id="187" w:name="_Toc490481640"/>
      <w:r>
        <w:lastRenderedPageBreak/>
        <w:t>Introduction</w:t>
      </w:r>
      <w:bookmarkEnd w:id="187"/>
    </w:p>
    <w:p w14:paraId="47AC36E7" w14:textId="7B14D12A" w:rsidR="001E74B7" w:rsidRPr="00BB182C" w:rsidRDefault="001E74B7" w:rsidP="001E74B7">
      <w:pPr>
        <w:pStyle w:val="Paragraph"/>
      </w:pPr>
      <w:r>
        <w:rPr>
          <w:lang w:eastAsia="en-AU"/>
        </w:rPr>
        <w:t xml:space="preserve">In this </w:t>
      </w:r>
      <w:r w:rsidR="00657DE6">
        <w:rPr>
          <w:lang w:eastAsia="en-AU"/>
        </w:rPr>
        <w:t>chapter,</w:t>
      </w:r>
      <w:r>
        <w:rPr>
          <w:lang w:eastAsia="en-AU"/>
        </w:rPr>
        <w:t xml:space="preserve"> the findings presented in chapters 5 and 6 are synthesised to address each of the evaluation questions.</w:t>
      </w:r>
      <w:r w:rsidR="00EF1742">
        <w:rPr>
          <w:lang w:eastAsia="en-AU"/>
        </w:rPr>
        <w:t xml:space="preserve">  The chapter concludes with a brief discussion of the implications of these findings and a list of key considerations for the </w:t>
      </w:r>
      <w:r w:rsidR="00643590">
        <w:rPr>
          <w:lang w:eastAsia="en-AU"/>
        </w:rPr>
        <w:t xml:space="preserve">IAA </w:t>
      </w:r>
      <w:r w:rsidR="00EF1742">
        <w:rPr>
          <w:lang w:eastAsia="en-AU"/>
        </w:rPr>
        <w:t>service going forward.</w:t>
      </w:r>
      <w:r w:rsidR="00AA1322">
        <w:rPr>
          <w:lang w:eastAsia="en-AU"/>
        </w:rPr>
        <w:t xml:space="preserve">  Limitations pertaining to the data used are provided in </w:t>
      </w:r>
      <w:r w:rsidR="00AA1322" w:rsidRPr="00AA1322">
        <w:rPr>
          <w:i/>
          <w:lang w:eastAsia="en-AU"/>
        </w:rPr>
        <w:t xml:space="preserve">Section </w:t>
      </w:r>
      <w:r w:rsidR="00AA1322" w:rsidRPr="00AA1322">
        <w:rPr>
          <w:i/>
          <w:lang w:eastAsia="en-AU"/>
        </w:rPr>
        <w:fldChar w:fldCharType="begin"/>
      </w:r>
      <w:r w:rsidR="00AA1322" w:rsidRPr="00AA1322">
        <w:rPr>
          <w:i/>
          <w:lang w:eastAsia="en-AU"/>
        </w:rPr>
        <w:instrText xml:space="preserve"> REF _Ref490046742 \r \h </w:instrText>
      </w:r>
      <w:r w:rsidR="00AA1322">
        <w:rPr>
          <w:i/>
          <w:lang w:eastAsia="en-AU"/>
        </w:rPr>
        <w:instrText xml:space="preserve"> \* MERGEFORMAT </w:instrText>
      </w:r>
      <w:r w:rsidR="00AA1322" w:rsidRPr="00AA1322">
        <w:rPr>
          <w:i/>
          <w:lang w:eastAsia="en-AU"/>
        </w:rPr>
      </w:r>
      <w:r w:rsidR="00AA1322" w:rsidRPr="00AA1322">
        <w:rPr>
          <w:i/>
          <w:lang w:eastAsia="en-AU"/>
        </w:rPr>
        <w:fldChar w:fldCharType="separate"/>
      </w:r>
      <w:r w:rsidR="00487073">
        <w:rPr>
          <w:i/>
          <w:lang w:eastAsia="en-AU"/>
        </w:rPr>
        <w:t>4.5</w:t>
      </w:r>
      <w:r w:rsidR="00AA1322" w:rsidRPr="00AA1322">
        <w:rPr>
          <w:i/>
          <w:lang w:eastAsia="en-AU"/>
        </w:rPr>
        <w:fldChar w:fldCharType="end"/>
      </w:r>
      <w:r w:rsidR="00AA1322">
        <w:rPr>
          <w:lang w:eastAsia="en-AU"/>
        </w:rPr>
        <w:t xml:space="preserve"> while details related to the denominators used are explained in </w:t>
      </w:r>
      <w:r w:rsidR="00AA1322" w:rsidRPr="00AA1322">
        <w:rPr>
          <w:i/>
          <w:lang w:eastAsia="en-AU"/>
        </w:rPr>
        <w:t xml:space="preserve">Section </w:t>
      </w:r>
      <w:r w:rsidR="00AA1322" w:rsidRPr="00AA1322">
        <w:rPr>
          <w:i/>
          <w:lang w:eastAsia="en-AU"/>
        </w:rPr>
        <w:fldChar w:fldCharType="begin"/>
      </w:r>
      <w:r w:rsidR="00AA1322" w:rsidRPr="00AA1322">
        <w:rPr>
          <w:i/>
          <w:lang w:eastAsia="en-AU"/>
        </w:rPr>
        <w:instrText xml:space="preserve"> REF _Ref490046821 \r \h </w:instrText>
      </w:r>
      <w:r w:rsidR="00AA1322">
        <w:rPr>
          <w:i/>
          <w:lang w:eastAsia="en-AU"/>
        </w:rPr>
        <w:instrText xml:space="preserve"> \* MERGEFORMAT </w:instrText>
      </w:r>
      <w:r w:rsidR="00AA1322" w:rsidRPr="00AA1322">
        <w:rPr>
          <w:i/>
          <w:lang w:eastAsia="en-AU"/>
        </w:rPr>
      </w:r>
      <w:r w:rsidR="00AA1322" w:rsidRPr="00AA1322">
        <w:rPr>
          <w:i/>
          <w:lang w:eastAsia="en-AU"/>
        </w:rPr>
        <w:fldChar w:fldCharType="separate"/>
      </w:r>
      <w:r w:rsidR="00487073">
        <w:rPr>
          <w:i/>
          <w:lang w:eastAsia="en-AU"/>
        </w:rPr>
        <w:t>4.1.2</w:t>
      </w:r>
      <w:r w:rsidR="00AA1322" w:rsidRPr="00AA1322">
        <w:rPr>
          <w:i/>
          <w:lang w:eastAsia="en-AU"/>
        </w:rPr>
        <w:fldChar w:fldCharType="end"/>
      </w:r>
      <w:r w:rsidR="00AA1322" w:rsidRPr="00AA1322">
        <w:rPr>
          <w:i/>
          <w:lang w:eastAsia="en-AU"/>
        </w:rPr>
        <w:t>.</w:t>
      </w:r>
    </w:p>
    <w:p w14:paraId="26C35B6C" w14:textId="2F97142E" w:rsidR="008E4AD2" w:rsidRDefault="008E4AD2" w:rsidP="00283E1C">
      <w:pPr>
        <w:pStyle w:val="Heading2"/>
      </w:pPr>
      <w:bookmarkStart w:id="188" w:name="_Toc490481641"/>
      <w:r>
        <w:t>Was IAA implemented as intended</w:t>
      </w:r>
      <w:bookmarkEnd w:id="188"/>
      <w:r>
        <w:t xml:space="preserve"> </w:t>
      </w:r>
    </w:p>
    <w:p w14:paraId="56DA55D6" w14:textId="0DEF0FAF" w:rsidR="00CF1950" w:rsidRPr="00B43607" w:rsidRDefault="00CF1950" w:rsidP="00CF1950">
      <w:pPr>
        <w:pStyle w:val="ParagraphKeep"/>
      </w:pPr>
      <w:r>
        <w:t>In this report, the i</w:t>
      </w:r>
      <w:r w:rsidRPr="00B43607">
        <w:t xml:space="preserve">mplementation </w:t>
      </w:r>
      <w:r>
        <w:t>of IAA was</w:t>
      </w:r>
      <w:r w:rsidRPr="00B43607">
        <w:t xml:space="preserve"> assessed in terms of </w:t>
      </w:r>
      <w:r w:rsidR="000860E1">
        <w:t xml:space="preserve">achievements related to </w:t>
      </w:r>
      <w:r w:rsidRPr="00B43607">
        <w:t xml:space="preserve">the following items listed in the </w:t>
      </w:r>
      <w:r w:rsidR="008B0955">
        <w:t>Reform</w:t>
      </w:r>
      <w:r w:rsidR="008B0955" w:rsidRPr="00B43607">
        <w:t xml:space="preserve"> </w:t>
      </w:r>
      <w:r w:rsidRPr="00B43607">
        <w:t>Implementa</w:t>
      </w:r>
      <w:r w:rsidR="00FE3F3F">
        <w:t xml:space="preserve">tion Plan (Implementation Plan) </w:t>
      </w:r>
      <w:r w:rsidR="00F5093A">
        <w:fldChar w:fldCharType="begin" w:fldLock="1"/>
      </w:r>
      <w:r w:rsidR="00F5093A">
        <w:instrText>ADDIN CSL_CITATION { "citationItems" : [ { "id" : "ITEM-1", "itemData" : { "author" : [ { "dropping-particle" : "", "family" : "Department", "given" : "Australian Government Department of Social Services and Attorney-General's", "non-dropping-particle" : "", "parse-names" : false, "suffix" : "" } ], "id" : "ITEM-1", "issued" : { "date-parts" : [ [ "2015" ] ] }, "publisher-place" : "Canberra", "title" : "Intercountry Adoption Reform: Implementation Plan", "type" : "report" }, "prefix" : "Intercountry Adoption Reform: Implementation Plan", "suppress-author" : 1, "uris" : [ "http://www.mendeley.com/documents/?uuid=c63de2ba-0b90-4802-a065-fb47ac7ca77f" ] } ], "mendeley" : { "formattedCitation" : "(Intercountry Adoption Reform: Implementation Plan 2015)", "plainTextFormattedCitation" : "(Intercountry Adoption Reform: Implementation Plan 2015)", "previouslyFormattedCitation" : "(Intercountry Adoption Reform: Implementation Plan 2015)" }, "properties" : { "noteIndex" : 0 }, "schema" : "https://github.com/citation-style-language/schema/raw/master/csl-citation.json" }</w:instrText>
      </w:r>
      <w:r w:rsidR="00F5093A">
        <w:fldChar w:fldCharType="separate"/>
      </w:r>
      <w:r w:rsidR="00F5093A" w:rsidRPr="006812F2">
        <w:rPr>
          <w:i/>
          <w:noProof/>
        </w:rPr>
        <w:t xml:space="preserve">(Intercountry Adoption Reform: Implementation Plan </w:t>
      </w:r>
      <w:r w:rsidR="00F5093A" w:rsidRPr="006812F2">
        <w:rPr>
          <w:noProof/>
        </w:rPr>
        <w:t>2015)</w:t>
      </w:r>
      <w:r w:rsidR="00F5093A">
        <w:fldChar w:fldCharType="end"/>
      </w:r>
      <w:r w:rsidR="00F5093A">
        <w:t>.</w:t>
      </w:r>
    </w:p>
    <w:p w14:paraId="111BD979" w14:textId="11C20102" w:rsidR="00CF1950" w:rsidRPr="00B43607" w:rsidRDefault="000860E1" w:rsidP="00CF1950">
      <w:pPr>
        <w:pStyle w:val="Bullet1"/>
      </w:pPr>
      <w:r>
        <w:t>M</w:t>
      </w:r>
      <w:r w:rsidR="00CF1950" w:rsidRPr="00B43607">
        <w:t>ilestones/deliverables specified in Tranche 2</w:t>
      </w:r>
    </w:p>
    <w:p w14:paraId="7472AB8E" w14:textId="77777777" w:rsidR="00CF1950" w:rsidRPr="00B43607" w:rsidRDefault="00CF1950" w:rsidP="00CF1950">
      <w:pPr>
        <w:pStyle w:val="Bullet1"/>
      </w:pPr>
      <w:r w:rsidRPr="00B43607">
        <w:t xml:space="preserve">Measures of success specific to the new support service. </w:t>
      </w:r>
    </w:p>
    <w:p w14:paraId="3919E1AE" w14:textId="77777777" w:rsidR="00CF1950" w:rsidRDefault="00CF1950" w:rsidP="00CF1950">
      <w:pPr>
        <w:pStyle w:val="Heading3"/>
      </w:pPr>
      <w:r>
        <w:t xml:space="preserve">Achievements against specified milestones/deliverables </w:t>
      </w:r>
    </w:p>
    <w:p w14:paraId="4D62E26E" w14:textId="77777777" w:rsidR="000860E1" w:rsidRPr="00B43607" w:rsidRDefault="000860E1" w:rsidP="000860E1">
      <w:pPr>
        <w:pStyle w:val="ParagraphKeep"/>
        <w:rPr>
          <w:lang w:val="en-AU" w:eastAsia="en-AU"/>
        </w:rPr>
      </w:pPr>
      <w:r w:rsidRPr="00B43607">
        <w:rPr>
          <w:lang w:val="en-AU" w:eastAsia="en-AU"/>
        </w:rPr>
        <w:t>These milestones and deliverables were structured under three distinct elements:</w:t>
      </w:r>
    </w:p>
    <w:p w14:paraId="65957139" w14:textId="77777777" w:rsidR="000860E1" w:rsidRPr="00B43607" w:rsidRDefault="000860E1" w:rsidP="000860E1">
      <w:pPr>
        <w:pStyle w:val="Bullet1"/>
      </w:pPr>
      <w:r w:rsidRPr="00B43607">
        <w:t>The 1800 information line</w:t>
      </w:r>
    </w:p>
    <w:p w14:paraId="31257AB0" w14:textId="77777777" w:rsidR="000860E1" w:rsidRPr="00B43607" w:rsidRDefault="000860E1" w:rsidP="000860E1">
      <w:pPr>
        <w:pStyle w:val="Bullet1"/>
      </w:pPr>
      <w:r w:rsidRPr="00B43607">
        <w:t>The IAA website</w:t>
      </w:r>
    </w:p>
    <w:p w14:paraId="05E089C2" w14:textId="164CC634" w:rsidR="000860E1" w:rsidRPr="00B43607" w:rsidRDefault="000860E1" w:rsidP="000860E1">
      <w:pPr>
        <w:pStyle w:val="Bullet1"/>
      </w:pPr>
      <w:r>
        <w:t>Referral pathways from the information line.</w:t>
      </w:r>
    </w:p>
    <w:p w14:paraId="51FA6157" w14:textId="77777777" w:rsidR="000860E1" w:rsidRDefault="000860E1" w:rsidP="000860E1">
      <w:pPr>
        <w:spacing w:before="240" w:after="240" w:line="264" w:lineRule="auto"/>
      </w:pPr>
      <w:r>
        <w:t xml:space="preserve">The evaluation found that IAA successfully delivered all </w:t>
      </w:r>
      <w:r w:rsidR="00CF1950" w:rsidRPr="00336484">
        <w:t xml:space="preserve">milestones/deliverables </w:t>
      </w:r>
      <w:r>
        <w:t>related to each of the three service elements.</w:t>
      </w:r>
    </w:p>
    <w:p w14:paraId="04B91E3E" w14:textId="6CA12D11" w:rsidR="00CF1950" w:rsidRDefault="000860E1" w:rsidP="00CF1950">
      <w:pPr>
        <w:spacing w:before="240" w:after="240" w:line="264" w:lineRule="auto"/>
      </w:pPr>
      <w:r>
        <w:t>However, link</w:t>
      </w:r>
      <w:r w:rsidR="00CF1950">
        <w:t>s to the IAA website were not provided by all STCAs</w:t>
      </w:r>
      <w:r w:rsidR="00CB21A7">
        <w:t xml:space="preserve"> despite this being a requirement of the </w:t>
      </w:r>
      <w:r w:rsidR="008B0955">
        <w:t xml:space="preserve">Reform </w:t>
      </w:r>
      <w:r w:rsidR="00CB21A7">
        <w:t>Implementation Plan</w:t>
      </w:r>
      <w:r w:rsidR="00CF1950">
        <w:t>.</w:t>
      </w:r>
      <w:r>
        <w:t xml:space="preserve"> </w:t>
      </w:r>
      <w:r w:rsidR="00CF1950">
        <w:t xml:space="preserve"> In some cases, those providing links misnamed the IAA service</w:t>
      </w:r>
      <w:r>
        <w:t xml:space="preserve">.  Given the importance of web browsing as a source of client information about ICA and IAA in particular, the absence of links to IAA </w:t>
      </w:r>
      <w:r w:rsidR="00CB21A7">
        <w:t xml:space="preserve">may impact </w:t>
      </w:r>
      <w:r w:rsidR="00643590">
        <w:t xml:space="preserve">on </w:t>
      </w:r>
      <w:r w:rsidR="00CB21A7">
        <w:t xml:space="preserve">the promotion of the IAA service.  Furthermore, </w:t>
      </w:r>
      <w:r>
        <w:t xml:space="preserve">misnaming of the service in existing links may cause confusion </w:t>
      </w:r>
      <w:r w:rsidR="00643590">
        <w:t xml:space="preserve">for </w:t>
      </w:r>
      <w:r>
        <w:t>clients or hinder them in accessing the IAA service.</w:t>
      </w:r>
      <w:r w:rsidR="00BA0991">
        <w:t xml:space="preserve"> </w:t>
      </w:r>
    </w:p>
    <w:p w14:paraId="4CC9E160" w14:textId="2D57B48B" w:rsidR="00CF1950" w:rsidRDefault="000860E1" w:rsidP="000860E1">
      <w:pPr>
        <w:pStyle w:val="Heading3"/>
      </w:pPr>
      <w:r w:rsidRPr="000860E1">
        <w:t xml:space="preserve">Achievements against </w:t>
      </w:r>
      <w:r>
        <w:t>specified meas</w:t>
      </w:r>
      <w:r w:rsidRPr="000860E1">
        <w:t xml:space="preserve">ures of success </w:t>
      </w:r>
    </w:p>
    <w:p w14:paraId="336BF332" w14:textId="2E700A7C" w:rsidR="000860E1" w:rsidRPr="00B43607" w:rsidRDefault="000860E1" w:rsidP="000860E1">
      <w:pPr>
        <w:pStyle w:val="ParagraphKeep"/>
        <w:rPr>
          <w:lang w:eastAsia="en-AU"/>
        </w:rPr>
      </w:pPr>
      <w:r>
        <w:t xml:space="preserve">In the </w:t>
      </w:r>
      <w:r w:rsidR="008B0955">
        <w:t xml:space="preserve">Reform </w:t>
      </w:r>
      <w:r>
        <w:t>Implementation Plan, 18</w:t>
      </w:r>
      <w:r w:rsidRPr="00B43607">
        <w:t xml:space="preserve"> measures of success are specified that directly or indirectly apply to the IAA service</w:t>
      </w:r>
      <w:r w:rsidR="00FE3F3F">
        <w:t xml:space="preserve"> (</w:t>
      </w:r>
      <w:r w:rsidR="00FE3F3F" w:rsidRPr="00FE3F3F">
        <w:rPr>
          <w:i/>
        </w:rPr>
        <w:t>Intercountry Adoption Reform: Implementation Plan</w:t>
      </w:r>
      <w:r w:rsidR="00FE3F3F">
        <w:t xml:space="preserve"> 2015)</w:t>
      </w:r>
      <w:r w:rsidRPr="00B43607">
        <w:t xml:space="preserve">.  </w:t>
      </w:r>
      <w:r>
        <w:t>T</w:t>
      </w:r>
      <w:r w:rsidRPr="00B43607">
        <w:t xml:space="preserve">hese measures </w:t>
      </w:r>
      <w:r>
        <w:t xml:space="preserve">were </w:t>
      </w:r>
      <w:r w:rsidRPr="00B43607">
        <w:t>categorised</w:t>
      </w:r>
      <w:r w:rsidR="00DF4F96">
        <w:rPr>
          <w:lang w:eastAsia="en-AU"/>
        </w:rPr>
        <w:t xml:space="preserve"> into the following fou</w:t>
      </w:r>
      <w:r w:rsidR="00CB21A7">
        <w:rPr>
          <w:lang w:eastAsia="en-AU"/>
        </w:rPr>
        <w:t>r</w:t>
      </w:r>
      <w:r w:rsidRPr="00B43607">
        <w:rPr>
          <w:lang w:eastAsia="en-AU"/>
        </w:rPr>
        <w:t xml:space="preserve"> groups</w:t>
      </w:r>
      <w:r>
        <w:rPr>
          <w:lang w:eastAsia="en-AU"/>
        </w:rPr>
        <w:t xml:space="preserve"> in this report</w:t>
      </w:r>
      <w:r w:rsidRPr="00B43607">
        <w:rPr>
          <w:lang w:eastAsia="en-AU"/>
        </w:rPr>
        <w:t>:</w:t>
      </w:r>
    </w:p>
    <w:p w14:paraId="4F5D8B12" w14:textId="77777777" w:rsidR="000860E1" w:rsidRPr="00B43607" w:rsidRDefault="000860E1" w:rsidP="000860E1">
      <w:pPr>
        <w:pStyle w:val="Bullet1"/>
      </w:pPr>
      <w:r w:rsidRPr="00B43607">
        <w:t>Service uptake</w:t>
      </w:r>
    </w:p>
    <w:p w14:paraId="52AD1D6F" w14:textId="77777777" w:rsidR="000860E1" w:rsidRPr="00B43607" w:rsidRDefault="000860E1" w:rsidP="000860E1">
      <w:pPr>
        <w:pStyle w:val="Bullet1"/>
      </w:pPr>
      <w:r w:rsidRPr="00B43607">
        <w:t>Operational parameters</w:t>
      </w:r>
    </w:p>
    <w:p w14:paraId="564F1ABE" w14:textId="77777777" w:rsidR="000860E1" w:rsidRPr="00B43607" w:rsidRDefault="000860E1" w:rsidP="000860E1">
      <w:pPr>
        <w:pStyle w:val="Bullet1"/>
      </w:pPr>
      <w:r w:rsidRPr="00B43607">
        <w:t>Client satisfaction</w:t>
      </w:r>
    </w:p>
    <w:p w14:paraId="33C1C8AF" w14:textId="77777777" w:rsidR="000860E1" w:rsidRPr="00B43607" w:rsidRDefault="000860E1" w:rsidP="000860E1">
      <w:pPr>
        <w:pStyle w:val="Bullet1"/>
      </w:pPr>
      <w:r w:rsidRPr="00B43607">
        <w:t>STCA feedback</w:t>
      </w:r>
      <w:r>
        <w:t>.</w:t>
      </w:r>
    </w:p>
    <w:p w14:paraId="25291088" w14:textId="52EB9909" w:rsidR="000860E1" w:rsidRDefault="000860E1" w:rsidP="000860E1">
      <w:pPr>
        <w:pStyle w:val="Paragraph"/>
        <w:rPr>
          <w:lang w:eastAsia="en-AU"/>
        </w:rPr>
      </w:pPr>
      <w:r w:rsidRPr="000860E1">
        <w:rPr>
          <w:lang w:eastAsia="en-AU"/>
        </w:rPr>
        <w:t xml:space="preserve">Achievements related to each of group of measures are </w:t>
      </w:r>
      <w:r>
        <w:rPr>
          <w:lang w:eastAsia="en-AU"/>
        </w:rPr>
        <w:t xml:space="preserve">summarised </w:t>
      </w:r>
      <w:r w:rsidRPr="000860E1">
        <w:rPr>
          <w:lang w:eastAsia="en-AU"/>
        </w:rPr>
        <w:t xml:space="preserve">in the following </w:t>
      </w:r>
      <w:r w:rsidR="007B784A">
        <w:rPr>
          <w:lang w:eastAsia="en-AU"/>
        </w:rPr>
        <w:t>sections</w:t>
      </w:r>
      <w:r>
        <w:rPr>
          <w:lang w:eastAsia="en-AU"/>
        </w:rPr>
        <w:t>.</w:t>
      </w:r>
    </w:p>
    <w:p w14:paraId="02167E30" w14:textId="77777777" w:rsidR="000860E1" w:rsidRDefault="000860E1" w:rsidP="000860E1">
      <w:pPr>
        <w:pStyle w:val="Heading4"/>
      </w:pPr>
      <w:r w:rsidRPr="00B43607">
        <w:lastRenderedPageBreak/>
        <w:t>Service uptake</w:t>
      </w:r>
    </w:p>
    <w:p w14:paraId="7E664AC7" w14:textId="49567C80" w:rsidR="00E765D5" w:rsidRDefault="00E765D5" w:rsidP="00DF4F96">
      <w:pPr>
        <w:pStyle w:val="Bullet1"/>
        <w:framePr w:hSpace="180" w:wrap="around" w:vAnchor="text" w:hAnchor="margin" w:y="248"/>
        <w:rPr>
          <w:lang w:val="en-AU"/>
        </w:rPr>
      </w:pPr>
      <w:r w:rsidRPr="00B43607">
        <w:rPr>
          <w:lang w:val="en-AU"/>
        </w:rPr>
        <w:t xml:space="preserve">The IAA service exceeded all four service </w:t>
      </w:r>
      <w:r>
        <w:rPr>
          <w:lang w:val="en-AU"/>
        </w:rPr>
        <w:t>uptake</w:t>
      </w:r>
      <w:r w:rsidRPr="00B43607">
        <w:rPr>
          <w:lang w:val="en-AU"/>
        </w:rPr>
        <w:t xml:space="preserve"> success measures specified in the </w:t>
      </w:r>
      <w:r w:rsidR="008B0955">
        <w:t>Reform</w:t>
      </w:r>
      <w:r w:rsidR="008B0955" w:rsidRPr="00B43607">
        <w:rPr>
          <w:lang w:val="en-AU"/>
        </w:rPr>
        <w:t xml:space="preserve"> </w:t>
      </w:r>
      <w:r w:rsidRPr="00B43607">
        <w:rPr>
          <w:lang w:val="en-AU"/>
        </w:rPr>
        <w:t>Implementation Plan.</w:t>
      </w:r>
    </w:p>
    <w:p w14:paraId="354FB133" w14:textId="38C71710" w:rsidR="00E765D5" w:rsidRDefault="00E765D5" w:rsidP="00DF4F96">
      <w:pPr>
        <w:pStyle w:val="Bullet1"/>
        <w:rPr>
          <w:lang w:val="en-AU"/>
        </w:rPr>
      </w:pPr>
      <w:r w:rsidRPr="00B43607">
        <w:rPr>
          <w:lang w:val="en-AU"/>
        </w:rPr>
        <w:t>The highest levels of web traffic were evident for the three largest STCAs (NSW 27.4%, Victoria 21% and QLD 15.7</w:t>
      </w:r>
      <w:r w:rsidR="00E60013" w:rsidRPr="00B43607">
        <w:rPr>
          <w:lang w:val="en-AU"/>
        </w:rPr>
        <w:t>%)</w:t>
      </w:r>
      <w:r w:rsidR="00E60013">
        <w:rPr>
          <w:lang w:val="en-AU"/>
        </w:rPr>
        <w:t>.</w:t>
      </w:r>
    </w:p>
    <w:p w14:paraId="33F3B7BA" w14:textId="77777777" w:rsidR="000860E1" w:rsidRDefault="000860E1" w:rsidP="000860E1">
      <w:pPr>
        <w:pStyle w:val="Heading4"/>
      </w:pPr>
      <w:r w:rsidRPr="00B43607">
        <w:t>Operational parameters</w:t>
      </w:r>
    </w:p>
    <w:p w14:paraId="045AF6DD" w14:textId="77777777" w:rsidR="00E60013" w:rsidRDefault="00E60013" w:rsidP="00E60013">
      <w:pPr>
        <w:pStyle w:val="Bullet1"/>
        <w:rPr>
          <w:lang w:val="en-AU"/>
        </w:rPr>
      </w:pPr>
      <w:r>
        <w:rPr>
          <w:lang w:val="en-AU"/>
        </w:rPr>
        <w:t xml:space="preserve">All </w:t>
      </w:r>
      <w:r w:rsidRPr="00B43607">
        <w:rPr>
          <w:lang w:val="en-AU"/>
        </w:rPr>
        <w:t xml:space="preserve">KPIs related to call answering times were exceeded </w:t>
      </w:r>
    </w:p>
    <w:p w14:paraId="6704831B" w14:textId="08A67E06" w:rsidR="00E60013" w:rsidRPr="00B43607" w:rsidRDefault="00E60013" w:rsidP="003B07DF">
      <w:pPr>
        <w:pStyle w:val="Bullet1"/>
        <w:rPr>
          <w:lang w:val="en-AU"/>
        </w:rPr>
      </w:pPr>
      <w:r w:rsidRPr="00B43607">
        <w:rPr>
          <w:lang w:val="en-AU"/>
        </w:rPr>
        <w:t xml:space="preserve">KPIs related to facilitated referrals and follow-up </w:t>
      </w:r>
      <w:r>
        <w:rPr>
          <w:lang w:val="en-AU"/>
        </w:rPr>
        <w:t>were found to be redundant</w:t>
      </w:r>
      <w:r w:rsidRPr="00B43607">
        <w:rPr>
          <w:lang w:val="en-AU"/>
        </w:rPr>
        <w:t xml:space="preserve"> because </w:t>
      </w:r>
      <w:r w:rsidRPr="003B07DF">
        <w:t>interaction</w:t>
      </w:r>
      <w:r>
        <w:rPr>
          <w:lang w:val="en-AU"/>
        </w:rPr>
        <w:t xml:space="preserve"> patterns between IA</w:t>
      </w:r>
      <w:r w:rsidRPr="00B43607">
        <w:rPr>
          <w:lang w:val="en-AU"/>
        </w:rPr>
        <w:t>A and clients differed substantially from what had been anticipated prior to service implementation</w:t>
      </w:r>
      <w:r>
        <w:rPr>
          <w:lang w:val="en-AU"/>
        </w:rPr>
        <w:t xml:space="preserve">.  Few </w:t>
      </w:r>
      <w:r w:rsidR="00BA670B">
        <w:rPr>
          <w:lang w:val="en-AU"/>
        </w:rPr>
        <w:t>clients</w:t>
      </w:r>
      <w:r w:rsidR="000E2D4F">
        <w:rPr>
          <w:lang w:val="en-AU"/>
        </w:rPr>
        <w:t xml:space="preserve"> who used the service </w:t>
      </w:r>
      <w:r>
        <w:rPr>
          <w:lang w:val="en-AU"/>
        </w:rPr>
        <w:t>sought</w:t>
      </w:r>
      <w:r w:rsidRPr="00B43607">
        <w:rPr>
          <w:lang w:val="en-AU"/>
        </w:rPr>
        <w:t xml:space="preserve"> facilitated referrals or follow up </w:t>
      </w:r>
    </w:p>
    <w:p w14:paraId="3326A2DD" w14:textId="54A670BB" w:rsidR="00E60013" w:rsidRPr="00B43607" w:rsidRDefault="00E60013" w:rsidP="00E60013">
      <w:pPr>
        <w:pStyle w:val="Bullet1"/>
        <w:rPr>
          <w:lang w:val="en-AU"/>
        </w:rPr>
      </w:pPr>
      <w:r w:rsidRPr="00B43607">
        <w:rPr>
          <w:lang w:val="en-AU"/>
        </w:rPr>
        <w:t xml:space="preserve">Sharepoint data did not facilitate a full assessment of </w:t>
      </w:r>
      <w:r>
        <w:rPr>
          <w:lang w:val="en-AU"/>
        </w:rPr>
        <w:t xml:space="preserve">measures related to </w:t>
      </w:r>
      <w:r w:rsidRPr="00B43607">
        <w:rPr>
          <w:lang w:val="en-AU"/>
        </w:rPr>
        <w:t>email response times</w:t>
      </w:r>
    </w:p>
    <w:p w14:paraId="6C42BC05" w14:textId="79D9E263" w:rsidR="00E60013" w:rsidRPr="00615ED1" w:rsidRDefault="00E60013" w:rsidP="00E60013">
      <w:pPr>
        <w:pStyle w:val="Bullet1"/>
      </w:pPr>
      <w:r w:rsidRPr="00B43607">
        <w:rPr>
          <w:lang w:val="en-AU"/>
        </w:rPr>
        <w:t>The absence of follow-up data on referral outcomes meant that KPIs related to wrong referrals could not be assessed</w:t>
      </w:r>
      <w:r>
        <w:rPr>
          <w:lang w:val="en-AU"/>
        </w:rPr>
        <w:t>.</w:t>
      </w:r>
    </w:p>
    <w:p w14:paraId="27DC2E92" w14:textId="77777777" w:rsidR="000860E1" w:rsidRDefault="000860E1" w:rsidP="000860E1">
      <w:pPr>
        <w:pStyle w:val="Heading4"/>
      </w:pPr>
      <w:r w:rsidRPr="00B43607">
        <w:t>Client satisfaction</w:t>
      </w:r>
    </w:p>
    <w:p w14:paraId="58AB0305" w14:textId="1DA87292" w:rsidR="00E60013" w:rsidRDefault="000E2D4F" w:rsidP="00E60013">
      <w:pPr>
        <w:pStyle w:val="Paragraph"/>
        <w:rPr>
          <w:lang w:eastAsia="en-AU"/>
        </w:rPr>
      </w:pPr>
      <w:r>
        <w:rPr>
          <w:lang w:eastAsia="en-AU"/>
        </w:rPr>
        <w:t>Multiple measures of success related to c</w:t>
      </w:r>
      <w:r w:rsidRPr="000E2D4F">
        <w:rPr>
          <w:lang w:eastAsia="en-AU"/>
        </w:rPr>
        <w:t xml:space="preserve">lient </w:t>
      </w:r>
      <w:r w:rsidR="00621CA2" w:rsidRPr="000E2D4F">
        <w:rPr>
          <w:lang w:eastAsia="en-AU"/>
        </w:rPr>
        <w:t>satisfaction:</w:t>
      </w:r>
    </w:p>
    <w:tbl>
      <w:tblPr>
        <w:tblW w:w="9072" w:type="dxa"/>
        <w:tblInd w:w="108"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CellMar>
          <w:left w:w="0" w:type="dxa"/>
          <w:right w:w="0" w:type="dxa"/>
        </w:tblCellMar>
        <w:tblLook w:val="04A0" w:firstRow="1" w:lastRow="0" w:firstColumn="1" w:lastColumn="0" w:noHBand="0" w:noVBand="1"/>
      </w:tblPr>
      <w:tblGrid>
        <w:gridCol w:w="1985"/>
        <w:gridCol w:w="567"/>
        <w:gridCol w:w="6520"/>
      </w:tblGrid>
      <w:tr w:rsidR="001A2334" w:rsidRPr="00B25C94" w14:paraId="3A6F8D09" w14:textId="77777777" w:rsidTr="001A2334">
        <w:trPr>
          <w:trHeight w:val="766"/>
        </w:trPr>
        <w:tc>
          <w:tcPr>
            <w:tcW w:w="1985" w:type="dxa"/>
            <w:shd w:val="clear" w:color="auto" w:fill="0079C1" w:themeFill="text2"/>
            <w:tcMar>
              <w:top w:w="0" w:type="dxa"/>
              <w:left w:w="108" w:type="dxa"/>
              <w:bottom w:w="0" w:type="dxa"/>
              <w:right w:w="108" w:type="dxa"/>
            </w:tcMar>
            <w:vAlign w:val="center"/>
            <w:hideMark/>
          </w:tcPr>
          <w:p w14:paraId="697D0E3B" w14:textId="77777777" w:rsidR="001A2334" w:rsidRPr="00B25C94" w:rsidRDefault="001A2334" w:rsidP="00AB1D36">
            <w:pPr>
              <w:pStyle w:val="TableHeading1"/>
            </w:pPr>
            <w:r>
              <w:t>Measure 1</w:t>
            </w:r>
          </w:p>
        </w:tc>
        <w:tc>
          <w:tcPr>
            <w:tcW w:w="567" w:type="dxa"/>
            <w:tcBorders>
              <w:right w:val="nil"/>
            </w:tcBorders>
            <w:shd w:val="clear" w:color="auto" w:fill="BFE7FF" w:themeFill="text2" w:themeFillTint="33"/>
          </w:tcPr>
          <w:p w14:paraId="086BC718" w14:textId="0EC2B8C3" w:rsidR="001A2334" w:rsidRPr="00B25C94" w:rsidRDefault="001A2334" w:rsidP="002D7EEC">
            <w:pPr>
              <w:pStyle w:val="Paragraph"/>
            </w:pPr>
          </w:p>
        </w:tc>
        <w:tc>
          <w:tcPr>
            <w:tcW w:w="6520" w:type="dxa"/>
            <w:tcBorders>
              <w:top w:val="single" w:sz="4" w:space="0" w:color="0079C1" w:themeColor="text2"/>
              <w:left w:val="nil"/>
              <w:bottom w:val="single" w:sz="4" w:space="0" w:color="0079C1" w:themeColor="text2"/>
            </w:tcBorders>
            <w:shd w:val="clear" w:color="auto" w:fill="BFE7FF" w:themeFill="text2" w:themeFillTint="33"/>
          </w:tcPr>
          <w:p w14:paraId="1D50A8FC" w14:textId="7A0692D8" w:rsidR="001A2334" w:rsidRPr="00B25C94" w:rsidRDefault="001A2334" w:rsidP="002D7EEC">
            <w:pPr>
              <w:pStyle w:val="Paragraph"/>
            </w:pPr>
            <w:r w:rsidRPr="002D7EEC">
              <w:t>More than 65% of people report the new service was useful, including reducing time spent finding relevant information</w:t>
            </w:r>
          </w:p>
        </w:tc>
      </w:tr>
    </w:tbl>
    <w:p w14:paraId="22BCA6A4" w14:textId="77777777" w:rsidR="00E07EF9" w:rsidRPr="00B43607" w:rsidRDefault="00E07EF9" w:rsidP="00E07EF9">
      <w:pPr>
        <w:pStyle w:val="Bullet1"/>
        <w:rPr>
          <w:lang w:val="en-AU"/>
        </w:rPr>
      </w:pPr>
      <w:r w:rsidRPr="00B43607">
        <w:rPr>
          <w:lang w:val="en-AU"/>
        </w:rPr>
        <w:t>62.1% of all</w:t>
      </w:r>
      <w:r>
        <w:rPr>
          <w:lang w:val="en-AU"/>
        </w:rPr>
        <w:t xml:space="preserve"> IAA clients were categorised as having had their query resolved and </w:t>
      </w:r>
      <w:r w:rsidRPr="00B43607">
        <w:rPr>
          <w:lang w:val="en-AU"/>
        </w:rPr>
        <w:t>only 1.8% were categorised as</w:t>
      </w:r>
      <w:r>
        <w:rPr>
          <w:lang w:val="en-AU"/>
        </w:rPr>
        <w:t xml:space="preserve"> not being resolved.  This surrogate measure suggests </w:t>
      </w:r>
      <w:r w:rsidRPr="00B43607">
        <w:rPr>
          <w:lang w:val="en-AU"/>
        </w:rPr>
        <w:t>high levels of satisfaction with the service overall</w:t>
      </w:r>
    </w:p>
    <w:p w14:paraId="3A51A983" w14:textId="77777777" w:rsidR="00E07EF9" w:rsidRPr="00B43607" w:rsidRDefault="00E07EF9" w:rsidP="00E07EF9">
      <w:pPr>
        <w:pStyle w:val="Bullet1"/>
        <w:rPr>
          <w:lang w:val="en-AU"/>
        </w:rPr>
      </w:pPr>
      <w:r w:rsidRPr="00B43607">
        <w:rPr>
          <w:lang w:val="en-AU"/>
        </w:rPr>
        <w:t xml:space="preserve">The absence of clear objective measures of client satisfaction limits the assessment of client satisfaction based on </w:t>
      </w:r>
      <w:r>
        <w:rPr>
          <w:lang w:val="en-AU"/>
        </w:rPr>
        <w:t xml:space="preserve">Sharepoint </w:t>
      </w:r>
      <w:r w:rsidRPr="00B43607">
        <w:rPr>
          <w:lang w:val="en-AU"/>
        </w:rPr>
        <w:t>client data</w:t>
      </w:r>
    </w:p>
    <w:p w14:paraId="69E0C873" w14:textId="77777777" w:rsidR="00E07EF9" w:rsidRPr="00B43607" w:rsidRDefault="00E07EF9" w:rsidP="00E07EF9">
      <w:pPr>
        <w:pStyle w:val="Bullet1"/>
        <w:rPr>
          <w:lang w:val="en-AU"/>
        </w:rPr>
      </w:pPr>
      <w:r w:rsidRPr="00B43607">
        <w:t xml:space="preserve">Survey respondents’ perceptions of the usefulness of IAA was evident </w:t>
      </w:r>
      <w:r w:rsidRPr="00B43607">
        <w:rPr>
          <w:lang w:val="en-AU"/>
        </w:rPr>
        <w:t>in the range of benefits listed, which included IAA providing:</w:t>
      </w:r>
    </w:p>
    <w:p w14:paraId="6F76D704" w14:textId="77777777" w:rsidR="00E07EF9" w:rsidRPr="00B43607" w:rsidRDefault="00E07EF9" w:rsidP="00E07EF9">
      <w:pPr>
        <w:pStyle w:val="Bullet2"/>
        <w:rPr>
          <w:lang w:val="en-AU"/>
        </w:rPr>
      </w:pPr>
      <w:r w:rsidRPr="00B43607">
        <w:rPr>
          <w:lang w:val="en-AU"/>
        </w:rPr>
        <w:t>Easy access to information</w:t>
      </w:r>
    </w:p>
    <w:p w14:paraId="3D239C3B" w14:textId="77777777" w:rsidR="00E07EF9" w:rsidRPr="00B43607" w:rsidRDefault="00E07EF9" w:rsidP="00E07EF9">
      <w:pPr>
        <w:pStyle w:val="Bullet2"/>
        <w:rPr>
          <w:lang w:val="en-AU"/>
        </w:rPr>
      </w:pPr>
      <w:r w:rsidRPr="00B43607">
        <w:rPr>
          <w:lang w:val="en-AU"/>
        </w:rPr>
        <w:t xml:space="preserve">Additional support </w:t>
      </w:r>
    </w:p>
    <w:p w14:paraId="65C57E3F" w14:textId="1A2D4CF1" w:rsidR="001A2334" w:rsidRDefault="00E07EF9" w:rsidP="00E07EF9">
      <w:pPr>
        <w:pStyle w:val="Bullet2"/>
        <w:numPr>
          <w:ilvl w:val="0"/>
          <w:numId w:val="0"/>
        </w:numPr>
        <w:ind w:left="1276"/>
      </w:pPr>
      <w:r w:rsidRPr="00B43607">
        <w:rPr>
          <w:lang w:val="en-AU"/>
        </w:rPr>
        <w:t>An independent agency to talk with.</w:t>
      </w:r>
    </w:p>
    <w:p w14:paraId="4EEF1705" w14:textId="77777777" w:rsidR="005F7479" w:rsidRPr="001A2334" w:rsidRDefault="005F7479" w:rsidP="000E2D4F">
      <w:pPr>
        <w:pStyle w:val="Bullet2"/>
        <w:numPr>
          <w:ilvl w:val="0"/>
          <w:numId w:val="0"/>
        </w:numPr>
        <w:ind w:left="1276"/>
      </w:pPr>
    </w:p>
    <w:tbl>
      <w:tblPr>
        <w:tblW w:w="9072" w:type="dxa"/>
        <w:tblInd w:w="108"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CellMar>
          <w:left w:w="0" w:type="dxa"/>
          <w:right w:w="0" w:type="dxa"/>
        </w:tblCellMar>
        <w:tblLook w:val="04A0" w:firstRow="1" w:lastRow="0" w:firstColumn="1" w:lastColumn="0" w:noHBand="0" w:noVBand="1"/>
      </w:tblPr>
      <w:tblGrid>
        <w:gridCol w:w="1985"/>
        <w:gridCol w:w="567"/>
        <w:gridCol w:w="6520"/>
      </w:tblGrid>
      <w:tr w:rsidR="001A2334" w:rsidRPr="00B25C94" w14:paraId="16FF9360" w14:textId="77777777" w:rsidTr="001A2334">
        <w:trPr>
          <w:trHeight w:val="766"/>
        </w:trPr>
        <w:tc>
          <w:tcPr>
            <w:tcW w:w="1985" w:type="dxa"/>
            <w:shd w:val="clear" w:color="auto" w:fill="0079C1" w:themeFill="text2"/>
            <w:tcMar>
              <w:top w:w="0" w:type="dxa"/>
              <w:left w:w="108" w:type="dxa"/>
              <w:bottom w:w="0" w:type="dxa"/>
              <w:right w:w="108" w:type="dxa"/>
            </w:tcMar>
            <w:vAlign w:val="center"/>
            <w:hideMark/>
          </w:tcPr>
          <w:p w14:paraId="6AB1CDA0" w14:textId="3D2D27E3" w:rsidR="001A2334" w:rsidRPr="00B25C94" w:rsidRDefault="001A2334" w:rsidP="00AB1D36">
            <w:pPr>
              <w:pStyle w:val="TableHeading1"/>
            </w:pPr>
            <w:r>
              <w:t xml:space="preserve">Measure </w:t>
            </w:r>
            <w:r w:rsidRPr="001A2334">
              <w:t>2a</w:t>
            </w:r>
          </w:p>
        </w:tc>
        <w:tc>
          <w:tcPr>
            <w:tcW w:w="567" w:type="dxa"/>
            <w:tcBorders>
              <w:right w:val="nil"/>
            </w:tcBorders>
            <w:shd w:val="clear" w:color="auto" w:fill="BFE7FF" w:themeFill="text2" w:themeFillTint="33"/>
          </w:tcPr>
          <w:p w14:paraId="422A6E28" w14:textId="77777777" w:rsidR="001A2334" w:rsidRPr="00B25C94" w:rsidRDefault="001A2334" w:rsidP="00AB1D36">
            <w:pPr>
              <w:pStyle w:val="Paragraph"/>
            </w:pPr>
          </w:p>
        </w:tc>
        <w:tc>
          <w:tcPr>
            <w:tcW w:w="6520" w:type="dxa"/>
            <w:tcBorders>
              <w:top w:val="single" w:sz="4" w:space="0" w:color="0079C1" w:themeColor="text2"/>
              <w:left w:val="nil"/>
              <w:bottom w:val="single" w:sz="4" w:space="0" w:color="0079C1" w:themeColor="text2"/>
            </w:tcBorders>
            <w:shd w:val="clear" w:color="auto" w:fill="BFE7FF" w:themeFill="text2" w:themeFillTint="33"/>
          </w:tcPr>
          <w:p w14:paraId="70D0D81C" w14:textId="018A55D2" w:rsidR="001A2334" w:rsidRPr="00B25C94" w:rsidRDefault="001A2334" w:rsidP="00AB1D36">
            <w:pPr>
              <w:pStyle w:val="Paragraph"/>
            </w:pPr>
            <w:r w:rsidRPr="001A2334">
              <w:t>Of all the people who access the service at least 80% report satisfaction with the information provided</w:t>
            </w:r>
          </w:p>
        </w:tc>
      </w:tr>
    </w:tbl>
    <w:p w14:paraId="5EB2FB2D" w14:textId="59680B3E" w:rsidR="001A2334" w:rsidRPr="007B784A" w:rsidRDefault="001A2334" w:rsidP="001A2334">
      <w:pPr>
        <w:pStyle w:val="Paragraph"/>
        <w:rPr>
          <w:rStyle w:val="Strong"/>
          <w:lang w:eastAsia="en-AU"/>
        </w:rPr>
      </w:pPr>
      <w:r w:rsidRPr="007B784A">
        <w:rPr>
          <w:rStyle w:val="Strong"/>
          <w:lang w:eastAsia="en-AU"/>
        </w:rPr>
        <w:t>1800 information line</w:t>
      </w:r>
    </w:p>
    <w:p w14:paraId="36C626A2" w14:textId="77777777" w:rsidR="00E07EF9" w:rsidRDefault="00E07EF9" w:rsidP="001A2334">
      <w:pPr>
        <w:pStyle w:val="Bullet1"/>
      </w:pPr>
      <w:r w:rsidRPr="00B43607">
        <w:t xml:space="preserve">Overall, </w:t>
      </w:r>
      <w:r>
        <w:t>almost</w:t>
      </w:r>
      <w:r w:rsidRPr="00B43607">
        <w:t xml:space="preserve"> one in five of all parental respondents (</w:t>
      </w:r>
      <w:r>
        <w:t>42/220, 19.1</w:t>
      </w:r>
      <w:r w:rsidRPr="00B43607">
        <w:t xml:space="preserve">%) indicated that they had used the 1800 information line </w:t>
      </w:r>
    </w:p>
    <w:p w14:paraId="20D11D7C" w14:textId="025F8460" w:rsidR="001A2334" w:rsidRDefault="00E07EF9" w:rsidP="001A2334">
      <w:pPr>
        <w:pStyle w:val="Bullet1"/>
      </w:pPr>
      <w:r>
        <w:lastRenderedPageBreak/>
        <w:t>H</w:t>
      </w:r>
      <w:r w:rsidRPr="00B43607">
        <w:t>alf of th</w:t>
      </w:r>
      <w:r>
        <w:t xml:space="preserve">e 42 respondents who reported having </w:t>
      </w:r>
      <w:r w:rsidRPr="00B43607">
        <w:t>used the information line rated the information provided as eit</w:t>
      </w:r>
      <w:r>
        <w:t>her very useful or useful (21/42</w:t>
      </w:r>
      <w:r w:rsidRPr="00B43607">
        <w:t>, 5</w:t>
      </w:r>
      <w:r>
        <w:t>0.0</w:t>
      </w:r>
      <w:r w:rsidRPr="00B43607">
        <w:t>%)</w:t>
      </w:r>
    </w:p>
    <w:tbl>
      <w:tblPr>
        <w:tblW w:w="9072" w:type="dxa"/>
        <w:tblInd w:w="108"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CellMar>
          <w:left w:w="0" w:type="dxa"/>
          <w:right w:w="0" w:type="dxa"/>
        </w:tblCellMar>
        <w:tblLook w:val="04A0" w:firstRow="1" w:lastRow="0" w:firstColumn="1" w:lastColumn="0" w:noHBand="0" w:noVBand="1"/>
      </w:tblPr>
      <w:tblGrid>
        <w:gridCol w:w="1985"/>
        <w:gridCol w:w="567"/>
        <w:gridCol w:w="6520"/>
      </w:tblGrid>
      <w:tr w:rsidR="001A2334" w:rsidRPr="00B25C94" w14:paraId="0125F4AF" w14:textId="77777777" w:rsidTr="001A2334">
        <w:trPr>
          <w:trHeight w:val="766"/>
        </w:trPr>
        <w:tc>
          <w:tcPr>
            <w:tcW w:w="1985" w:type="dxa"/>
            <w:shd w:val="clear" w:color="auto" w:fill="0079C1" w:themeFill="text2"/>
            <w:tcMar>
              <w:top w:w="0" w:type="dxa"/>
              <w:left w:w="108" w:type="dxa"/>
              <w:bottom w:w="0" w:type="dxa"/>
              <w:right w:w="108" w:type="dxa"/>
            </w:tcMar>
            <w:vAlign w:val="center"/>
            <w:hideMark/>
          </w:tcPr>
          <w:p w14:paraId="1C0C2475" w14:textId="0FDBB8B4" w:rsidR="001A2334" w:rsidRPr="00B25C94" w:rsidRDefault="001A2334" w:rsidP="00AB1D36">
            <w:pPr>
              <w:pStyle w:val="TableHeading1"/>
            </w:pPr>
            <w:r>
              <w:t>Measure 2b</w:t>
            </w:r>
          </w:p>
        </w:tc>
        <w:tc>
          <w:tcPr>
            <w:tcW w:w="567" w:type="dxa"/>
            <w:tcBorders>
              <w:right w:val="nil"/>
            </w:tcBorders>
            <w:shd w:val="clear" w:color="auto" w:fill="BFE7FF" w:themeFill="text2" w:themeFillTint="33"/>
          </w:tcPr>
          <w:p w14:paraId="18DF6569" w14:textId="77777777" w:rsidR="001A2334" w:rsidRPr="00B25C94" w:rsidRDefault="001A2334" w:rsidP="00AB1D36">
            <w:pPr>
              <w:pStyle w:val="Paragraph"/>
            </w:pPr>
          </w:p>
        </w:tc>
        <w:tc>
          <w:tcPr>
            <w:tcW w:w="6520" w:type="dxa"/>
            <w:tcBorders>
              <w:top w:val="single" w:sz="4" w:space="0" w:color="0079C1" w:themeColor="text2"/>
              <w:left w:val="nil"/>
              <w:bottom w:val="single" w:sz="4" w:space="0" w:color="0079C1" w:themeColor="text2"/>
            </w:tcBorders>
            <w:shd w:val="clear" w:color="auto" w:fill="BFE7FF" w:themeFill="text2" w:themeFillTint="33"/>
          </w:tcPr>
          <w:p w14:paraId="4D423CDE" w14:textId="7F3E373C" w:rsidR="001A2334" w:rsidRPr="00B25C94" w:rsidRDefault="001A2334" w:rsidP="00AB1D36">
            <w:pPr>
              <w:pStyle w:val="Paragraph"/>
            </w:pPr>
            <w:r w:rsidRPr="001A2334">
              <w:t>Of all the people who access the service at least 80% report satisfaction with the website</w:t>
            </w:r>
          </w:p>
        </w:tc>
      </w:tr>
    </w:tbl>
    <w:p w14:paraId="04CCA38B" w14:textId="77777777" w:rsidR="00E45E6C" w:rsidRPr="00E45E6C" w:rsidRDefault="00E45E6C" w:rsidP="00E45E6C">
      <w:pPr>
        <w:pStyle w:val="Bullet1"/>
        <w:rPr>
          <w:lang w:val="en-AU"/>
        </w:rPr>
      </w:pPr>
      <w:r w:rsidRPr="00E45E6C">
        <w:rPr>
          <w:lang w:val="en-AU"/>
        </w:rPr>
        <w:t xml:space="preserve">Overall, almost 60% of the total parental respondents (131/220) had used the IAA website </w:t>
      </w:r>
    </w:p>
    <w:p w14:paraId="39AAC125" w14:textId="77777777" w:rsidR="00E45E6C" w:rsidRPr="00E45E6C" w:rsidRDefault="00E45E6C" w:rsidP="00E45E6C">
      <w:pPr>
        <w:pStyle w:val="Bullet1"/>
        <w:rPr>
          <w:lang w:val="en-AU"/>
        </w:rPr>
      </w:pPr>
      <w:r w:rsidRPr="00E45E6C">
        <w:rPr>
          <w:lang w:val="en-AU"/>
        </w:rPr>
        <w:t>61.8% (81/131) of parental respondents who had used the website ranked the website information as very useful or useful</w:t>
      </w:r>
    </w:p>
    <w:p w14:paraId="02A35236" w14:textId="77777777" w:rsidR="00E45E6C" w:rsidRPr="00E45E6C" w:rsidRDefault="00E45E6C" w:rsidP="00E45E6C">
      <w:pPr>
        <w:pStyle w:val="Bullet1"/>
        <w:rPr>
          <w:lang w:val="en-AU"/>
        </w:rPr>
      </w:pPr>
      <w:r w:rsidRPr="00E45E6C">
        <w:rPr>
          <w:lang w:val="en-AU"/>
        </w:rPr>
        <w:t>29.5% (65/220) of all parental respondents indicated that they had used the online enquiry form</w:t>
      </w:r>
    </w:p>
    <w:p w14:paraId="027DA646" w14:textId="10B3CBA5" w:rsidR="002D7EEC" w:rsidRPr="001A2334" w:rsidRDefault="00E45E6C" w:rsidP="00E45E6C">
      <w:pPr>
        <w:pStyle w:val="Bullet1"/>
      </w:pPr>
      <w:r w:rsidRPr="00E45E6C">
        <w:rPr>
          <w:lang w:val="en-AU"/>
        </w:rPr>
        <w:t xml:space="preserve">Those who had used the online contact form reported high levels of satisfaction with the timeliness (44/65, 67.7%) and the usefulness (36/65, 55.4%) of the response they </w:t>
      </w:r>
      <w:r w:rsidR="00E07EF9" w:rsidRPr="00E45E6C">
        <w:rPr>
          <w:lang w:val="en-AU"/>
        </w:rPr>
        <w:t>received.</w:t>
      </w:r>
    </w:p>
    <w:tbl>
      <w:tblPr>
        <w:tblW w:w="9072" w:type="dxa"/>
        <w:tblInd w:w="108"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CellMar>
          <w:left w:w="0" w:type="dxa"/>
          <w:right w:w="0" w:type="dxa"/>
        </w:tblCellMar>
        <w:tblLook w:val="04A0" w:firstRow="1" w:lastRow="0" w:firstColumn="1" w:lastColumn="0" w:noHBand="0" w:noVBand="1"/>
      </w:tblPr>
      <w:tblGrid>
        <w:gridCol w:w="1985"/>
        <w:gridCol w:w="567"/>
        <w:gridCol w:w="6520"/>
      </w:tblGrid>
      <w:tr w:rsidR="001A2334" w:rsidRPr="00B25C94" w14:paraId="3EABE1CC" w14:textId="77777777" w:rsidTr="001A2334">
        <w:trPr>
          <w:trHeight w:val="766"/>
        </w:trPr>
        <w:tc>
          <w:tcPr>
            <w:tcW w:w="1985" w:type="dxa"/>
            <w:shd w:val="clear" w:color="auto" w:fill="0079C1" w:themeFill="text2"/>
            <w:tcMar>
              <w:top w:w="0" w:type="dxa"/>
              <w:left w:w="108" w:type="dxa"/>
              <w:bottom w:w="0" w:type="dxa"/>
              <w:right w:w="108" w:type="dxa"/>
            </w:tcMar>
            <w:vAlign w:val="center"/>
            <w:hideMark/>
          </w:tcPr>
          <w:p w14:paraId="4309CB73" w14:textId="67090B81" w:rsidR="001A2334" w:rsidRPr="00B25C94" w:rsidRDefault="001A2334" w:rsidP="00AB1D36">
            <w:pPr>
              <w:pStyle w:val="TableHeading1"/>
            </w:pPr>
            <w:r>
              <w:t>Measure 2c</w:t>
            </w:r>
          </w:p>
        </w:tc>
        <w:tc>
          <w:tcPr>
            <w:tcW w:w="567" w:type="dxa"/>
            <w:tcBorders>
              <w:right w:val="nil"/>
            </w:tcBorders>
            <w:shd w:val="clear" w:color="auto" w:fill="BFE7FF" w:themeFill="text2" w:themeFillTint="33"/>
          </w:tcPr>
          <w:p w14:paraId="69CECA6D" w14:textId="77777777" w:rsidR="001A2334" w:rsidRPr="00B25C94" w:rsidRDefault="001A2334" w:rsidP="00AB1D36">
            <w:pPr>
              <w:pStyle w:val="Paragraph"/>
            </w:pPr>
          </w:p>
        </w:tc>
        <w:tc>
          <w:tcPr>
            <w:tcW w:w="6520" w:type="dxa"/>
            <w:tcBorders>
              <w:top w:val="single" w:sz="4" w:space="0" w:color="0079C1" w:themeColor="text2"/>
              <w:left w:val="nil"/>
              <w:bottom w:val="single" w:sz="4" w:space="0" w:color="0079C1" w:themeColor="text2"/>
            </w:tcBorders>
            <w:shd w:val="clear" w:color="auto" w:fill="BFE7FF" w:themeFill="text2" w:themeFillTint="33"/>
          </w:tcPr>
          <w:p w14:paraId="3D3894A9" w14:textId="2FCFE070" w:rsidR="001A2334" w:rsidRPr="00B25C94" w:rsidRDefault="001A2334" w:rsidP="00AB1D36">
            <w:pPr>
              <w:pStyle w:val="Paragraph"/>
            </w:pPr>
            <w:r w:rsidRPr="001A2334">
              <w:t>Of all the people who access the service at least 80% report satisfaction with the referral pathways provided by the information line</w:t>
            </w:r>
          </w:p>
        </w:tc>
      </w:tr>
    </w:tbl>
    <w:p w14:paraId="53CE8B3B" w14:textId="3F8E911D" w:rsidR="00394227" w:rsidRPr="00394227" w:rsidRDefault="00394227" w:rsidP="00621CA2">
      <w:pPr>
        <w:pStyle w:val="Bullet1"/>
      </w:pPr>
      <w:r w:rsidRPr="00394227">
        <w:t>One-third of client interactions (34.0%) with IAA resulted in some form of referral (</w:t>
      </w:r>
      <w:r w:rsidRPr="00394227">
        <w:rPr>
          <w:rStyle w:val="Emphasis"/>
        </w:rPr>
        <w:t xml:space="preserve">Section </w:t>
      </w:r>
      <w:r w:rsidRPr="00394227">
        <w:rPr>
          <w:rStyle w:val="Emphasis"/>
        </w:rPr>
        <w:fldChar w:fldCharType="begin"/>
      </w:r>
      <w:r w:rsidRPr="00394227">
        <w:rPr>
          <w:rStyle w:val="Emphasis"/>
        </w:rPr>
        <w:instrText xml:space="preserve"> REF _Ref463015921 \r \h  \* MERGEFORMAT </w:instrText>
      </w:r>
      <w:r w:rsidRPr="00394227">
        <w:rPr>
          <w:rStyle w:val="Emphasis"/>
        </w:rPr>
      </w:r>
      <w:r w:rsidRPr="00394227">
        <w:rPr>
          <w:rStyle w:val="Emphasis"/>
        </w:rPr>
        <w:fldChar w:fldCharType="separate"/>
      </w:r>
      <w:r w:rsidR="00487073">
        <w:rPr>
          <w:rStyle w:val="Emphasis"/>
        </w:rPr>
        <w:t>5.3.4</w:t>
      </w:r>
      <w:r w:rsidRPr="00394227">
        <w:rPr>
          <w:rStyle w:val="Emphasis"/>
        </w:rPr>
        <w:fldChar w:fldCharType="end"/>
      </w:r>
      <w:r w:rsidRPr="00394227">
        <w:rPr>
          <w:rStyle w:val="Emphasis"/>
        </w:rPr>
        <w:t>)</w:t>
      </w:r>
      <w:r w:rsidRPr="00394227">
        <w:t xml:space="preserve">.  However, </w:t>
      </w:r>
      <w:r w:rsidR="00621CA2" w:rsidRPr="00621CA2">
        <w:t xml:space="preserve">no measures of satisfaction are recorded on client satisfaction </w:t>
      </w:r>
      <w:r w:rsidR="00A12C64">
        <w:t xml:space="preserve">with the </w:t>
      </w:r>
      <w:r w:rsidR="00621CA2" w:rsidRPr="00621CA2">
        <w:t xml:space="preserve">referrals </w:t>
      </w:r>
      <w:r w:rsidR="00A12C64">
        <w:t xml:space="preserve">provided.  Furthermore, referral outcome information </w:t>
      </w:r>
      <w:r w:rsidR="00621CA2" w:rsidRPr="00621CA2">
        <w:t>is not available from internal or external sources</w:t>
      </w:r>
      <w:r w:rsidRPr="00394227">
        <w:t>.</w:t>
      </w:r>
    </w:p>
    <w:p w14:paraId="1E35E737" w14:textId="77777777" w:rsidR="00E07EF9" w:rsidRDefault="00E07EF9" w:rsidP="00394227">
      <w:pPr>
        <w:pStyle w:val="Bullet1"/>
      </w:pPr>
      <w:r>
        <w:t>O</w:t>
      </w:r>
      <w:r w:rsidRPr="0081080E">
        <w:t xml:space="preserve">nly 9.1% </w:t>
      </w:r>
      <w:r>
        <w:t xml:space="preserve">(20/220) </w:t>
      </w:r>
      <w:r w:rsidRPr="0081080E">
        <w:t xml:space="preserve">of all parental respondents indicating that they had received a referral to their STCA and only 4.1% </w:t>
      </w:r>
      <w:r>
        <w:t>(9/220) to another service</w:t>
      </w:r>
      <w:r w:rsidRPr="0081080E">
        <w:t xml:space="preserve">.  </w:t>
      </w:r>
      <w:r>
        <w:t xml:space="preserve">This is despite almost one in five of all parental respondents (42/220, 19.1%) having indicated that they had used the 1800 information line and almost 60% </w:t>
      </w:r>
      <w:r w:rsidRPr="007342B0">
        <w:t xml:space="preserve">of all parental respondents </w:t>
      </w:r>
      <w:r>
        <w:t>(131/220, 59.5%) having indicated they used the website</w:t>
      </w:r>
    </w:p>
    <w:p w14:paraId="73B4D279" w14:textId="4257CBBE" w:rsidR="007B784A" w:rsidRDefault="00E07EF9" w:rsidP="00E07EF9">
      <w:pPr>
        <w:pStyle w:val="Bullet1"/>
      </w:pPr>
      <w:r>
        <w:t>H</w:t>
      </w:r>
      <w:r w:rsidRPr="00E07EF9">
        <w:t>igh levels of referral uptake were evident, with 12/20 (60.0%) of those who were referred to their STCA sub</w:t>
      </w:r>
      <w:r>
        <w:t>sequently contacting their STCA</w:t>
      </w:r>
      <w:r w:rsidRPr="00E07EF9">
        <w:t xml:space="preserve"> and 7/9 (77.7%) of those referred to another </w:t>
      </w:r>
      <w:r>
        <w:t>service contacting that service.</w:t>
      </w:r>
    </w:p>
    <w:tbl>
      <w:tblPr>
        <w:tblW w:w="9072" w:type="dxa"/>
        <w:tblInd w:w="108"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CellMar>
          <w:left w:w="0" w:type="dxa"/>
          <w:right w:w="0" w:type="dxa"/>
        </w:tblCellMar>
        <w:tblLook w:val="04A0" w:firstRow="1" w:lastRow="0" w:firstColumn="1" w:lastColumn="0" w:noHBand="0" w:noVBand="1"/>
      </w:tblPr>
      <w:tblGrid>
        <w:gridCol w:w="1985"/>
        <w:gridCol w:w="567"/>
        <w:gridCol w:w="6520"/>
      </w:tblGrid>
      <w:tr w:rsidR="001A2334" w:rsidRPr="00B25C94" w14:paraId="3A40AE19" w14:textId="77777777" w:rsidTr="00AB1D36">
        <w:trPr>
          <w:trHeight w:val="766"/>
        </w:trPr>
        <w:tc>
          <w:tcPr>
            <w:tcW w:w="1985" w:type="dxa"/>
            <w:shd w:val="clear" w:color="auto" w:fill="0079C1" w:themeFill="text2"/>
            <w:tcMar>
              <w:top w:w="0" w:type="dxa"/>
              <w:left w:w="108" w:type="dxa"/>
              <w:bottom w:w="0" w:type="dxa"/>
              <w:right w:w="108" w:type="dxa"/>
            </w:tcMar>
            <w:vAlign w:val="center"/>
            <w:hideMark/>
          </w:tcPr>
          <w:p w14:paraId="543F81F8" w14:textId="33C9FF25" w:rsidR="001A2334" w:rsidRPr="00B25C94" w:rsidRDefault="001A2334" w:rsidP="001A2334">
            <w:pPr>
              <w:pStyle w:val="TableHeading1"/>
            </w:pPr>
            <w:r>
              <w:t>Measure 3</w:t>
            </w:r>
          </w:p>
        </w:tc>
        <w:tc>
          <w:tcPr>
            <w:tcW w:w="567" w:type="dxa"/>
            <w:tcBorders>
              <w:right w:val="nil"/>
            </w:tcBorders>
            <w:shd w:val="clear" w:color="auto" w:fill="BFE7FF" w:themeFill="text2" w:themeFillTint="33"/>
          </w:tcPr>
          <w:p w14:paraId="2369EF9F" w14:textId="77777777" w:rsidR="001A2334" w:rsidRPr="00B25C94" w:rsidRDefault="001A2334" w:rsidP="00AB1D36">
            <w:pPr>
              <w:pStyle w:val="Paragraph"/>
            </w:pPr>
          </w:p>
        </w:tc>
        <w:tc>
          <w:tcPr>
            <w:tcW w:w="6520" w:type="dxa"/>
            <w:tcBorders>
              <w:top w:val="single" w:sz="4" w:space="0" w:color="0079C1" w:themeColor="text2"/>
              <w:left w:val="nil"/>
              <w:bottom w:val="single" w:sz="4" w:space="0" w:color="0079C1" w:themeColor="text2"/>
            </w:tcBorders>
            <w:shd w:val="clear" w:color="auto" w:fill="BFE7FF" w:themeFill="text2" w:themeFillTint="33"/>
          </w:tcPr>
          <w:p w14:paraId="321A6926" w14:textId="2489C6F1" w:rsidR="001A2334" w:rsidRPr="00B25C94" w:rsidRDefault="001A2334" w:rsidP="00AB1D36">
            <w:pPr>
              <w:pStyle w:val="Paragraph"/>
            </w:pPr>
            <w:r w:rsidRPr="00B43607">
              <w:t>Fewer than 5% of calls or emails are complaints about the service</w:t>
            </w:r>
          </w:p>
        </w:tc>
      </w:tr>
    </w:tbl>
    <w:p w14:paraId="13A30999" w14:textId="1E2F9A95" w:rsidR="00CF1950" w:rsidRDefault="00CF1950" w:rsidP="003B07DF">
      <w:pPr>
        <w:pStyle w:val="Bullet1"/>
      </w:pPr>
      <w:r w:rsidRPr="008D6228">
        <w:t xml:space="preserve">No </w:t>
      </w:r>
      <w:r w:rsidRPr="003B07DF">
        <w:t>complaints</w:t>
      </w:r>
      <w:r w:rsidRPr="008D6228">
        <w:t xml:space="preserve"> were received about the IAA service between May 2015 and May 2016</w:t>
      </w:r>
    </w:p>
    <w:p w14:paraId="6C11095F" w14:textId="77777777" w:rsidR="001A2334" w:rsidRDefault="001A2334" w:rsidP="00CF1950">
      <w:pPr>
        <w:rPr>
          <w:lang w:eastAsia="en-AU"/>
        </w:rPr>
      </w:pPr>
    </w:p>
    <w:tbl>
      <w:tblPr>
        <w:tblW w:w="9072" w:type="dxa"/>
        <w:tblInd w:w="108"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CellMar>
          <w:left w:w="0" w:type="dxa"/>
          <w:right w:w="0" w:type="dxa"/>
        </w:tblCellMar>
        <w:tblLook w:val="04A0" w:firstRow="1" w:lastRow="0" w:firstColumn="1" w:lastColumn="0" w:noHBand="0" w:noVBand="1"/>
      </w:tblPr>
      <w:tblGrid>
        <w:gridCol w:w="1985"/>
        <w:gridCol w:w="567"/>
        <w:gridCol w:w="6520"/>
      </w:tblGrid>
      <w:tr w:rsidR="001A2334" w:rsidRPr="00B25C94" w14:paraId="6C24145F" w14:textId="77777777" w:rsidTr="00AB1D36">
        <w:trPr>
          <w:trHeight w:val="766"/>
        </w:trPr>
        <w:tc>
          <w:tcPr>
            <w:tcW w:w="1985" w:type="dxa"/>
            <w:shd w:val="clear" w:color="auto" w:fill="0079C1" w:themeFill="text2"/>
            <w:tcMar>
              <w:top w:w="0" w:type="dxa"/>
              <w:left w:w="108" w:type="dxa"/>
              <w:bottom w:w="0" w:type="dxa"/>
              <w:right w:w="108" w:type="dxa"/>
            </w:tcMar>
            <w:vAlign w:val="center"/>
            <w:hideMark/>
          </w:tcPr>
          <w:p w14:paraId="1E2BD295" w14:textId="72C563FD" w:rsidR="001A2334" w:rsidRPr="00B25C94" w:rsidRDefault="001A2334" w:rsidP="00AB1D36">
            <w:pPr>
              <w:pStyle w:val="TableHeading1"/>
            </w:pPr>
            <w:r>
              <w:t>Measure 4</w:t>
            </w:r>
          </w:p>
        </w:tc>
        <w:tc>
          <w:tcPr>
            <w:tcW w:w="567" w:type="dxa"/>
            <w:tcBorders>
              <w:right w:val="nil"/>
            </w:tcBorders>
            <w:shd w:val="clear" w:color="auto" w:fill="BFE7FF" w:themeFill="text2" w:themeFillTint="33"/>
          </w:tcPr>
          <w:p w14:paraId="123A573A" w14:textId="77777777" w:rsidR="001A2334" w:rsidRPr="00B25C94" w:rsidRDefault="001A2334" w:rsidP="00AB1D36">
            <w:pPr>
              <w:pStyle w:val="Paragraph"/>
            </w:pPr>
          </w:p>
        </w:tc>
        <w:tc>
          <w:tcPr>
            <w:tcW w:w="6520" w:type="dxa"/>
            <w:tcBorders>
              <w:top w:val="single" w:sz="4" w:space="0" w:color="0079C1" w:themeColor="text2"/>
              <w:left w:val="nil"/>
              <w:bottom w:val="single" w:sz="4" w:space="0" w:color="0079C1" w:themeColor="text2"/>
            </w:tcBorders>
            <w:shd w:val="clear" w:color="auto" w:fill="BFE7FF" w:themeFill="text2" w:themeFillTint="33"/>
          </w:tcPr>
          <w:p w14:paraId="63310F47" w14:textId="18D36E13" w:rsidR="001A2334" w:rsidRPr="00B25C94" w:rsidRDefault="001A2334" w:rsidP="00AB1D36">
            <w:pPr>
              <w:pStyle w:val="Paragraph"/>
            </w:pPr>
            <w:r w:rsidRPr="001A2334">
              <w:t>Fewer than 10% of calls and emails are complaints about ICA processes</w:t>
            </w:r>
          </w:p>
        </w:tc>
      </w:tr>
    </w:tbl>
    <w:p w14:paraId="6D21A27B" w14:textId="6675D845" w:rsidR="00CF1950" w:rsidRDefault="00CF1950" w:rsidP="000E2D4F">
      <w:pPr>
        <w:pStyle w:val="Bullet1"/>
      </w:pPr>
      <w:r w:rsidRPr="008D6228">
        <w:t>Less than 1% of calls and emails are complaints about ICA processes</w:t>
      </w:r>
      <w:r w:rsidR="001A2334">
        <w:t>.</w:t>
      </w:r>
    </w:p>
    <w:p w14:paraId="51F6C6E1" w14:textId="77777777" w:rsidR="001A2334" w:rsidRDefault="001A2334" w:rsidP="00CF1950">
      <w:pPr>
        <w:rPr>
          <w:lang w:eastAsia="en-AU"/>
        </w:rPr>
      </w:pPr>
    </w:p>
    <w:tbl>
      <w:tblPr>
        <w:tblW w:w="9072" w:type="dxa"/>
        <w:tblInd w:w="108"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CellMar>
          <w:left w:w="0" w:type="dxa"/>
          <w:right w:w="0" w:type="dxa"/>
        </w:tblCellMar>
        <w:tblLook w:val="04A0" w:firstRow="1" w:lastRow="0" w:firstColumn="1" w:lastColumn="0" w:noHBand="0" w:noVBand="1"/>
      </w:tblPr>
      <w:tblGrid>
        <w:gridCol w:w="1985"/>
        <w:gridCol w:w="567"/>
        <w:gridCol w:w="6520"/>
      </w:tblGrid>
      <w:tr w:rsidR="001A2334" w:rsidRPr="00B25C94" w14:paraId="199681D2" w14:textId="77777777" w:rsidTr="00AB1D36">
        <w:trPr>
          <w:trHeight w:val="766"/>
        </w:trPr>
        <w:tc>
          <w:tcPr>
            <w:tcW w:w="1985" w:type="dxa"/>
            <w:shd w:val="clear" w:color="auto" w:fill="0079C1" w:themeFill="text2"/>
            <w:tcMar>
              <w:top w:w="0" w:type="dxa"/>
              <w:left w:w="108" w:type="dxa"/>
              <w:bottom w:w="0" w:type="dxa"/>
              <w:right w:w="108" w:type="dxa"/>
            </w:tcMar>
            <w:vAlign w:val="center"/>
            <w:hideMark/>
          </w:tcPr>
          <w:p w14:paraId="24306F59" w14:textId="084B643C" w:rsidR="001A2334" w:rsidRPr="00B25C94" w:rsidRDefault="001A2334" w:rsidP="00AB1D36">
            <w:pPr>
              <w:pStyle w:val="TableHeading1"/>
            </w:pPr>
            <w:r>
              <w:lastRenderedPageBreak/>
              <w:t xml:space="preserve">Measure </w:t>
            </w:r>
            <w:r w:rsidRPr="001A2334">
              <w:t>B1a</w:t>
            </w:r>
          </w:p>
        </w:tc>
        <w:tc>
          <w:tcPr>
            <w:tcW w:w="567" w:type="dxa"/>
            <w:tcBorders>
              <w:right w:val="nil"/>
            </w:tcBorders>
            <w:shd w:val="clear" w:color="auto" w:fill="BFE7FF" w:themeFill="text2" w:themeFillTint="33"/>
          </w:tcPr>
          <w:p w14:paraId="712C7322" w14:textId="77777777" w:rsidR="001A2334" w:rsidRPr="00B25C94" w:rsidRDefault="001A2334" w:rsidP="00AB1D36">
            <w:pPr>
              <w:pStyle w:val="Paragraph"/>
            </w:pPr>
          </w:p>
        </w:tc>
        <w:tc>
          <w:tcPr>
            <w:tcW w:w="6520" w:type="dxa"/>
            <w:tcBorders>
              <w:top w:val="single" w:sz="4" w:space="0" w:color="0079C1" w:themeColor="text2"/>
              <w:left w:val="nil"/>
              <w:bottom w:val="single" w:sz="4" w:space="0" w:color="0079C1" w:themeColor="text2"/>
            </w:tcBorders>
            <w:shd w:val="clear" w:color="auto" w:fill="BFE7FF" w:themeFill="text2" w:themeFillTint="33"/>
          </w:tcPr>
          <w:p w14:paraId="5149DC55" w14:textId="383CB715" w:rsidR="001A2334" w:rsidRPr="00B25C94" w:rsidRDefault="001A2334" w:rsidP="00AB1D36">
            <w:pPr>
              <w:pStyle w:val="Paragraph"/>
            </w:pPr>
            <w:r w:rsidRPr="001A2334">
              <w:t>STCAs report the service is improving people’s understanding and expectations about ICA</w:t>
            </w:r>
          </w:p>
        </w:tc>
      </w:tr>
    </w:tbl>
    <w:p w14:paraId="30CFC15F" w14:textId="5A3252CE" w:rsidR="00CF1950" w:rsidRDefault="00CF1950" w:rsidP="00CF1950">
      <w:pPr>
        <w:pStyle w:val="Bullet1"/>
        <w:rPr>
          <w:lang w:val="en-AU"/>
        </w:rPr>
      </w:pPr>
      <w:r w:rsidRPr="00443D9C">
        <w:rPr>
          <w:lang w:val="en-AU"/>
        </w:rPr>
        <w:t>Discussions with STCA representatives highlighted a lack of c</w:t>
      </w:r>
      <w:r w:rsidR="000E2D4F">
        <w:rPr>
          <w:lang w:val="en-AU"/>
        </w:rPr>
        <w:t>larity at STCA and client level</w:t>
      </w:r>
      <w:r w:rsidRPr="00443D9C">
        <w:rPr>
          <w:lang w:val="en-AU"/>
        </w:rPr>
        <w:t xml:space="preserve"> regarding the role of IAA in ICA</w:t>
      </w:r>
      <w:r>
        <w:rPr>
          <w:lang w:val="en-AU"/>
        </w:rPr>
        <w:t xml:space="preserve"> because of:</w:t>
      </w:r>
    </w:p>
    <w:p w14:paraId="2D3A336D" w14:textId="1249558D" w:rsidR="00CF1950" w:rsidRPr="009C3388" w:rsidRDefault="00CF1950" w:rsidP="009C3388">
      <w:pPr>
        <w:pStyle w:val="Bullet2"/>
        <w:rPr>
          <w:lang w:val="en-AU"/>
        </w:rPr>
      </w:pPr>
      <w:r w:rsidRPr="00443D9C">
        <w:rPr>
          <w:lang w:val="en-AU"/>
        </w:rPr>
        <w:t>The absence of a Commonwealth-state agreement to document IAA’s role and govern relationships between stakeholders</w:t>
      </w:r>
      <w:r w:rsidR="009C3388">
        <w:rPr>
          <w:lang w:val="en-AU"/>
        </w:rPr>
        <w:t>.</w:t>
      </w:r>
      <w:r w:rsidRPr="00443D9C">
        <w:rPr>
          <w:lang w:val="en-AU"/>
        </w:rPr>
        <w:t xml:space="preserve"> </w:t>
      </w:r>
      <w:r w:rsidR="00657DE6">
        <w:rPr>
          <w:lang w:val="en-AU"/>
        </w:rPr>
        <w:t xml:space="preserve"> </w:t>
      </w:r>
      <w:r w:rsidR="009C3388">
        <w:rPr>
          <w:lang w:val="en-AU"/>
        </w:rPr>
        <w:t>I</w:t>
      </w:r>
      <w:r w:rsidR="009C3388" w:rsidRPr="00443D9C">
        <w:rPr>
          <w:lang w:val="en-AU"/>
        </w:rPr>
        <w:t xml:space="preserve">n </w:t>
      </w:r>
      <w:r w:rsidR="009C3388">
        <w:rPr>
          <w:lang w:val="en-AU"/>
        </w:rPr>
        <w:t>April 2016</w:t>
      </w:r>
      <w:r w:rsidR="009C3388" w:rsidRPr="00443D9C">
        <w:rPr>
          <w:lang w:val="en-AU"/>
        </w:rPr>
        <w:t>, an agreement was made to review the Commonwealth-state agreement and thus develop a p</w:t>
      </w:r>
      <w:r w:rsidR="009C3388">
        <w:rPr>
          <w:lang w:val="en-AU"/>
        </w:rPr>
        <w:t>rocess to formalis</w:t>
      </w:r>
      <w:r w:rsidR="00657DE6">
        <w:rPr>
          <w:lang w:val="en-AU"/>
        </w:rPr>
        <w:t>e IAA’s role</w:t>
      </w:r>
      <w:r w:rsidR="00BA0991">
        <w:rPr>
          <w:lang w:val="en-AU"/>
        </w:rPr>
        <w:t xml:space="preserve"> </w:t>
      </w:r>
    </w:p>
    <w:p w14:paraId="2CD3B53D" w14:textId="2376B84E" w:rsidR="00CF1950" w:rsidRPr="00443D9C" w:rsidRDefault="00CF1950" w:rsidP="00CF1950">
      <w:pPr>
        <w:pStyle w:val="Bullet2"/>
        <w:rPr>
          <w:lang w:val="en-AU"/>
        </w:rPr>
      </w:pPr>
      <w:r w:rsidRPr="00443D9C">
        <w:rPr>
          <w:lang w:val="en-AU"/>
        </w:rPr>
        <w:t xml:space="preserve">Media coverage during the early implementation phase that generated unrealistic expectations of ICA processes </w:t>
      </w:r>
    </w:p>
    <w:p w14:paraId="50DCBA6E" w14:textId="77777777" w:rsidR="00CF1950" w:rsidRDefault="00CF1950" w:rsidP="00CF1950">
      <w:pPr>
        <w:pStyle w:val="Bullet1"/>
        <w:rPr>
          <w:lang w:val="en-AU"/>
        </w:rPr>
      </w:pPr>
      <w:r>
        <w:rPr>
          <w:lang w:val="en-AU"/>
        </w:rPr>
        <w:t>A</w:t>
      </w:r>
      <w:r w:rsidRPr="00443D9C">
        <w:rPr>
          <w:lang w:val="en-AU"/>
        </w:rPr>
        <w:t xml:space="preserve"> number of STCA representatives acknowledged IAA’s dual role in improving their understanding of ICA as well as the understanding of their clients</w:t>
      </w:r>
    </w:p>
    <w:p w14:paraId="3EE8DC90" w14:textId="45E5110F" w:rsidR="00CF1950" w:rsidRPr="00443D9C" w:rsidRDefault="00CF1950" w:rsidP="00CF1950">
      <w:pPr>
        <w:pStyle w:val="Bullet1"/>
        <w:rPr>
          <w:lang w:val="en-AU"/>
        </w:rPr>
      </w:pPr>
      <w:r w:rsidRPr="00443D9C">
        <w:rPr>
          <w:lang w:val="en-AU"/>
        </w:rPr>
        <w:t xml:space="preserve">Overall, those based in the smaller jurisdictions tended to express more positive assessments of the role and contribution of the IAA than their larger counterparts  </w:t>
      </w:r>
    </w:p>
    <w:p w14:paraId="0662488C" w14:textId="35248578" w:rsidR="00CF1950" w:rsidRDefault="00CF1950" w:rsidP="001A2334">
      <w:pPr>
        <w:pStyle w:val="Bullet1"/>
        <w:rPr>
          <w:lang w:val="en-AU"/>
        </w:rPr>
      </w:pPr>
      <w:r>
        <w:rPr>
          <w:lang w:val="en-AU"/>
        </w:rPr>
        <w:t>I</w:t>
      </w:r>
      <w:r w:rsidRPr="00443D9C">
        <w:rPr>
          <w:lang w:val="en-AU"/>
        </w:rPr>
        <w:t xml:space="preserve">n </w:t>
      </w:r>
      <w:r w:rsidR="00B77C50">
        <w:rPr>
          <w:lang w:val="en-AU"/>
        </w:rPr>
        <w:t xml:space="preserve">April </w:t>
      </w:r>
      <w:r w:rsidR="00C639D4">
        <w:rPr>
          <w:lang w:val="en-AU"/>
        </w:rPr>
        <w:t>2016</w:t>
      </w:r>
      <w:r w:rsidRPr="00443D9C">
        <w:rPr>
          <w:lang w:val="en-AU"/>
        </w:rPr>
        <w:t>, an agreement was made to review the Commonwealth-state agreement and thus develop a p</w:t>
      </w:r>
      <w:r w:rsidR="00C639D4">
        <w:rPr>
          <w:lang w:val="en-AU"/>
        </w:rPr>
        <w:t>rocess to formalise IAA’s role.</w:t>
      </w:r>
    </w:p>
    <w:tbl>
      <w:tblPr>
        <w:tblW w:w="9072" w:type="dxa"/>
        <w:tblInd w:w="108"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CellMar>
          <w:left w:w="0" w:type="dxa"/>
          <w:right w:w="0" w:type="dxa"/>
        </w:tblCellMar>
        <w:tblLook w:val="04A0" w:firstRow="1" w:lastRow="0" w:firstColumn="1" w:lastColumn="0" w:noHBand="0" w:noVBand="1"/>
      </w:tblPr>
      <w:tblGrid>
        <w:gridCol w:w="1985"/>
        <w:gridCol w:w="567"/>
        <w:gridCol w:w="6520"/>
      </w:tblGrid>
      <w:tr w:rsidR="001A2334" w:rsidRPr="00B25C94" w14:paraId="48B1DB17" w14:textId="77777777" w:rsidTr="00AB1D36">
        <w:trPr>
          <w:trHeight w:val="766"/>
        </w:trPr>
        <w:tc>
          <w:tcPr>
            <w:tcW w:w="1985" w:type="dxa"/>
            <w:shd w:val="clear" w:color="auto" w:fill="0079C1" w:themeFill="text2"/>
            <w:tcMar>
              <w:top w:w="0" w:type="dxa"/>
              <w:left w:w="108" w:type="dxa"/>
              <w:bottom w:w="0" w:type="dxa"/>
              <w:right w:w="108" w:type="dxa"/>
            </w:tcMar>
            <w:vAlign w:val="center"/>
            <w:hideMark/>
          </w:tcPr>
          <w:p w14:paraId="1501C648" w14:textId="6E7F1128" w:rsidR="001A2334" w:rsidRPr="00B25C94" w:rsidRDefault="001A2334" w:rsidP="00AB1D36">
            <w:pPr>
              <w:pStyle w:val="TableHeading1"/>
            </w:pPr>
            <w:r>
              <w:t>Measure B1b</w:t>
            </w:r>
          </w:p>
        </w:tc>
        <w:tc>
          <w:tcPr>
            <w:tcW w:w="567" w:type="dxa"/>
            <w:tcBorders>
              <w:right w:val="nil"/>
            </w:tcBorders>
            <w:shd w:val="clear" w:color="auto" w:fill="BFE7FF" w:themeFill="text2" w:themeFillTint="33"/>
          </w:tcPr>
          <w:p w14:paraId="0020711B" w14:textId="77777777" w:rsidR="001A2334" w:rsidRPr="00B25C94" w:rsidRDefault="001A2334" w:rsidP="00AB1D36">
            <w:pPr>
              <w:pStyle w:val="Paragraph"/>
            </w:pPr>
          </w:p>
        </w:tc>
        <w:tc>
          <w:tcPr>
            <w:tcW w:w="6520" w:type="dxa"/>
            <w:tcBorders>
              <w:top w:val="single" w:sz="4" w:space="0" w:color="0079C1" w:themeColor="text2"/>
              <w:left w:val="nil"/>
              <w:bottom w:val="single" w:sz="4" w:space="0" w:color="0079C1" w:themeColor="text2"/>
            </w:tcBorders>
            <w:shd w:val="clear" w:color="auto" w:fill="BFE7FF" w:themeFill="text2" w:themeFillTint="33"/>
          </w:tcPr>
          <w:p w14:paraId="779FCE14" w14:textId="73E5C88B" w:rsidR="001A2334" w:rsidRPr="00B25C94" w:rsidRDefault="001A2334" w:rsidP="00AB1D36">
            <w:pPr>
              <w:pStyle w:val="Paragraph"/>
            </w:pPr>
            <w:r w:rsidRPr="001A2334">
              <w:t>STCAs report an improvement in their experience of working with the Commonwealth government agencies</w:t>
            </w:r>
          </w:p>
        </w:tc>
      </w:tr>
    </w:tbl>
    <w:p w14:paraId="539FE5D3" w14:textId="630659CB" w:rsidR="00CF1950" w:rsidRDefault="00CF1950" w:rsidP="00CF1950">
      <w:pPr>
        <w:pStyle w:val="Bullet1"/>
        <w:rPr>
          <w:lang w:val="en-AU"/>
        </w:rPr>
      </w:pPr>
      <w:r w:rsidRPr="003A46CF">
        <w:rPr>
          <w:lang w:val="en-AU"/>
        </w:rPr>
        <w:t xml:space="preserve">During the early implementation phase, working relationships between IAA and STCAs </w:t>
      </w:r>
      <w:r w:rsidR="006546DF">
        <w:rPr>
          <w:lang w:val="en-AU"/>
        </w:rPr>
        <w:t>may have been</w:t>
      </w:r>
      <w:r w:rsidR="005F7479">
        <w:rPr>
          <w:lang w:val="en-AU"/>
        </w:rPr>
        <w:t xml:space="preserve"> </w:t>
      </w:r>
      <w:r w:rsidR="00657DE6">
        <w:rPr>
          <w:lang w:val="en-AU"/>
        </w:rPr>
        <w:t xml:space="preserve">influenced </w:t>
      </w:r>
      <w:r w:rsidR="00657DE6" w:rsidRPr="003A46CF">
        <w:rPr>
          <w:lang w:val="en-AU"/>
        </w:rPr>
        <w:t>by</w:t>
      </w:r>
      <w:r w:rsidRPr="003A46CF">
        <w:rPr>
          <w:lang w:val="en-AU"/>
        </w:rPr>
        <w:t xml:space="preserve"> the lack o</w:t>
      </w:r>
      <w:r>
        <w:rPr>
          <w:lang w:val="en-AU"/>
        </w:rPr>
        <w:t>f clarity regarding IAA’s role:</w:t>
      </w:r>
    </w:p>
    <w:p w14:paraId="3840A419" w14:textId="77777777" w:rsidR="00CF1950" w:rsidRDefault="00CF1950" w:rsidP="00CF1950">
      <w:pPr>
        <w:pStyle w:val="Bullet2"/>
        <w:rPr>
          <w:lang w:val="en-AU"/>
        </w:rPr>
      </w:pPr>
      <w:r w:rsidRPr="003A46CF">
        <w:rPr>
          <w:lang w:val="en-AU"/>
        </w:rPr>
        <w:t xml:space="preserve">STCAs were particularly concerned about service duplication </w:t>
      </w:r>
    </w:p>
    <w:p w14:paraId="22E421C2" w14:textId="77777777" w:rsidR="00CF1950" w:rsidRDefault="00CF1950" w:rsidP="00CF1950">
      <w:pPr>
        <w:pStyle w:val="Bullet2"/>
        <w:rPr>
          <w:lang w:val="en-AU"/>
        </w:rPr>
      </w:pPr>
      <w:r w:rsidRPr="003A46CF">
        <w:rPr>
          <w:lang w:val="en-AU"/>
        </w:rPr>
        <w:t>Some STCAs reported a lack of understanding/differentiation between IAA’s role and that of AGD, thus making transitioning from AGD to IAA as the central information/contact point problematic in some cases</w:t>
      </w:r>
    </w:p>
    <w:p w14:paraId="24EFDEAE" w14:textId="173CAE4C" w:rsidR="00CF1950" w:rsidRDefault="00CF1950" w:rsidP="001A2334">
      <w:pPr>
        <w:pStyle w:val="Bullet1"/>
        <w:rPr>
          <w:lang w:val="en-AU"/>
        </w:rPr>
      </w:pPr>
      <w:r w:rsidRPr="003A46CF">
        <w:rPr>
          <w:lang w:val="en-AU"/>
        </w:rPr>
        <w:t>From a Commonwealth agency perspective, IAA was seen as instrumental in improving working relationships and in clarifying roles in the ICA process</w:t>
      </w:r>
      <w:r w:rsidR="00B77C50">
        <w:rPr>
          <w:lang w:val="en-AU"/>
        </w:rPr>
        <w:t>.</w:t>
      </w:r>
    </w:p>
    <w:p w14:paraId="0BB29F81" w14:textId="546A1B8E" w:rsidR="00621CA2" w:rsidRDefault="00643590" w:rsidP="00621CA2">
      <w:pPr>
        <w:pStyle w:val="Paragraph"/>
        <w:rPr>
          <w:lang w:val="en-AU"/>
        </w:rPr>
      </w:pPr>
      <w:r>
        <w:rPr>
          <w:lang w:val="en-AU"/>
        </w:rPr>
        <w:t>T</w:t>
      </w:r>
      <w:r w:rsidR="00621CA2">
        <w:rPr>
          <w:lang w:val="en-AU"/>
        </w:rPr>
        <w:t xml:space="preserve">he stakeholder perspectives </w:t>
      </w:r>
      <w:r w:rsidR="007567F3">
        <w:rPr>
          <w:lang w:val="en-AU"/>
        </w:rPr>
        <w:t xml:space="preserve">presented </w:t>
      </w:r>
      <w:r w:rsidR="00621CA2">
        <w:rPr>
          <w:lang w:val="en-AU"/>
        </w:rPr>
        <w:t xml:space="preserve">in this report were collected at a particular point in time and therefore, do not reflect any recent changes that have occurred as a result of recent IAA activities reported in </w:t>
      </w:r>
      <w:r w:rsidR="00621CA2" w:rsidRPr="00621CA2">
        <w:rPr>
          <w:rStyle w:val="Emphasis"/>
        </w:rPr>
        <w:t xml:space="preserve">Section </w:t>
      </w:r>
      <w:r w:rsidR="00621CA2" w:rsidRPr="00621CA2">
        <w:rPr>
          <w:rStyle w:val="Emphasis"/>
        </w:rPr>
        <w:fldChar w:fldCharType="begin"/>
      </w:r>
      <w:r w:rsidR="00621CA2" w:rsidRPr="00621CA2">
        <w:rPr>
          <w:rStyle w:val="Emphasis"/>
        </w:rPr>
        <w:instrText xml:space="preserve"> REF _Ref462841736 \r \h </w:instrText>
      </w:r>
      <w:r w:rsidR="00621CA2">
        <w:rPr>
          <w:rStyle w:val="Emphasis"/>
        </w:rPr>
        <w:instrText xml:space="preserve"> \* MERGEFORMAT </w:instrText>
      </w:r>
      <w:r w:rsidR="00621CA2" w:rsidRPr="00621CA2">
        <w:rPr>
          <w:rStyle w:val="Emphasis"/>
        </w:rPr>
      </w:r>
      <w:r w:rsidR="00621CA2" w:rsidRPr="00621CA2">
        <w:rPr>
          <w:rStyle w:val="Emphasis"/>
        </w:rPr>
        <w:fldChar w:fldCharType="separate"/>
      </w:r>
      <w:r w:rsidR="00487073">
        <w:rPr>
          <w:rStyle w:val="Emphasis"/>
        </w:rPr>
        <w:t>5.4</w:t>
      </w:r>
      <w:r w:rsidR="00621CA2" w:rsidRPr="00621CA2">
        <w:rPr>
          <w:rStyle w:val="Emphasis"/>
        </w:rPr>
        <w:fldChar w:fldCharType="end"/>
      </w:r>
      <w:r w:rsidR="00621CA2">
        <w:rPr>
          <w:rStyle w:val="Emphasis"/>
        </w:rPr>
        <w:t>.</w:t>
      </w:r>
    </w:p>
    <w:p w14:paraId="72D3CDFF" w14:textId="45D73CED" w:rsidR="00CF1950" w:rsidRPr="00A25212" w:rsidRDefault="00CF1950" w:rsidP="001A2334">
      <w:pPr>
        <w:pStyle w:val="Heading3"/>
        <w:rPr>
          <w:lang w:val="en-AU"/>
        </w:rPr>
      </w:pPr>
      <w:r w:rsidRPr="00A25212">
        <w:rPr>
          <w:lang w:val="en-AU"/>
        </w:rPr>
        <w:t>Post-implementation IAA service delivery developments</w:t>
      </w:r>
    </w:p>
    <w:p w14:paraId="42929564" w14:textId="2B010388" w:rsidR="00CF1950" w:rsidRDefault="00CF1950" w:rsidP="003B07DF">
      <w:pPr>
        <w:pStyle w:val="Paragraph"/>
        <w:rPr>
          <w:lang w:val="en-AU"/>
        </w:rPr>
      </w:pPr>
      <w:r w:rsidRPr="00A25212">
        <w:rPr>
          <w:lang w:val="en-AU"/>
        </w:rPr>
        <w:t xml:space="preserve">Since its initial implementation, the IAA has evolved beyond the original parameters specified in the </w:t>
      </w:r>
      <w:r w:rsidR="008B0955">
        <w:t>Reform</w:t>
      </w:r>
      <w:r w:rsidR="008B0955" w:rsidRPr="00A25212">
        <w:rPr>
          <w:lang w:val="en-AU"/>
        </w:rPr>
        <w:t xml:space="preserve"> </w:t>
      </w:r>
      <w:r w:rsidRPr="00A25212">
        <w:rPr>
          <w:lang w:val="en-AU"/>
        </w:rPr>
        <w:t xml:space="preserve">Implementation Plan (Intercountry Adoption Reform: Implementation Plan 2015).  </w:t>
      </w:r>
      <w:r w:rsidR="00B77C50">
        <w:rPr>
          <w:lang w:val="en-AU"/>
        </w:rPr>
        <w:t xml:space="preserve">Many of these changes have been a proactive response to identified needs and stakeholder consultation/feedback. </w:t>
      </w:r>
    </w:p>
    <w:p w14:paraId="32650B39" w14:textId="7CBE47B2" w:rsidR="00CF1950" w:rsidRDefault="00CF1950" w:rsidP="00CF1950">
      <w:pPr>
        <w:pStyle w:val="Paragraph"/>
        <w:rPr>
          <w:lang w:eastAsia="en-AU"/>
        </w:rPr>
      </w:pPr>
      <w:r>
        <w:rPr>
          <w:lang w:eastAsia="en-AU"/>
        </w:rPr>
        <w:t xml:space="preserve">Developments to date </w:t>
      </w:r>
      <w:r w:rsidR="008567C9">
        <w:rPr>
          <w:lang w:eastAsia="en-AU"/>
        </w:rPr>
        <w:t xml:space="preserve">can be </w:t>
      </w:r>
      <w:r>
        <w:rPr>
          <w:lang w:eastAsia="en-AU"/>
        </w:rPr>
        <w:t xml:space="preserve">categorised into three </w:t>
      </w:r>
      <w:r w:rsidR="008567C9">
        <w:rPr>
          <w:lang w:eastAsia="en-AU"/>
        </w:rPr>
        <w:t>groups:</w:t>
      </w:r>
    </w:p>
    <w:p w14:paraId="696C64F8" w14:textId="77777777" w:rsidR="00CF1950" w:rsidRDefault="00CF1950" w:rsidP="00CF1950">
      <w:pPr>
        <w:pStyle w:val="Bullet1"/>
      </w:pPr>
      <w:r>
        <w:t>Structural changes</w:t>
      </w:r>
    </w:p>
    <w:p w14:paraId="68E81715" w14:textId="38A2F3F2" w:rsidR="008567C9" w:rsidRDefault="008567C9" w:rsidP="00B77C50">
      <w:pPr>
        <w:pStyle w:val="Bullet2"/>
      </w:pPr>
      <w:r>
        <w:lastRenderedPageBreak/>
        <w:t>T</w:t>
      </w:r>
      <w:r w:rsidRPr="008567C9">
        <w:t xml:space="preserve">eams have been restructured so that there is now one team </w:t>
      </w:r>
      <w:r w:rsidR="00643590">
        <w:t xml:space="preserve">in DSS </w:t>
      </w:r>
      <w:r w:rsidRPr="008567C9">
        <w:t xml:space="preserve">which includes the IAA </w:t>
      </w:r>
      <w:r w:rsidR="00C639D4">
        <w:t>service and the policy function</w:t>
      </w:r>
      <w:r w:rsidR="00B77C50">
        <w:t xml:space="preserve">.  </w:t>
      </w:r>
      <w:r w:rsidR="00B77C50" w:rsidRPr="00B77C50">
        <w:t xml:space="preserve">This restructuring is expected to result in closer linkages between </w:t>
      </w:r>
      <w:r w:rsidR="00A12C64">
        <w:t xml:space="preserve">service </w:t>
      </w:r>
      <w:r w:rsidR="00B77C50" w:rsidRPr="00B77C50">
        <w:t>delivery and policy.</w:t>
      </w:r>
    </w:p>
    <w:p w14:paraId="7E6A6112" w14:textId="77777777" w:rsidR="00CF1950" w:rsidRDefault="00CF1950" w:rsidP="00CF1950">
      <w:pPr>
        <w:pStyle w:val="Bullet1"/>
      </w:pPr>
      <w:r>
        <w:t>Expansion of client focus</w:t>
      </w:r>
    </w:p>
    <w:p w14:paraId="59562914" w14:textId="5E4BE06A" w:rsidR="008567C9" w:rsidRDefault="008567C9" w:rsidP="008567C9">
      <w:pPr>
        <w:pStyle w:val="Bullet2"/>
      </w:pPr>
      <w:r>
        <w:t>T</w:t>
      </w:r>
      <w:r w:rsidRPr="008567C9">
        <w:t xml:space="preserve">o include greater </w:t>
      </w:r>
      <w:r w:rsidR="00385538">
        <w:t>concentration</w:t>
      </w:r>
      <w:r w:rsidRPr="008567C9">
        <w:t xml:space="preserve"> on all stages in the ICA process</w:t>
      </w:r>
    </w:p>
    <w:p w14:paraId="2AD16DD4" w14:textId="77777777" w:rsidR="008567C9" w:rsidRDefault="00CF1950" w:rsidP="00CF1950">
      <w:pPr>
        <w:pStyle w:val="Bullet1"/>
      </w:pPr>
      <w:r>
        <w:t>Stakeholder engagement</w:t>
      </w:r>
    </w:p>
    <w:p w14:paraId="36B6616E" w14:textId="3F61DCB5" w:rsidR="00CF1950" w:rsidRDefault="008567C9" w:rsidP="008567C9">
      <w:pPr>
        <w:pStyle w:val="Bullet2"/>
        <w:rPr>
          <w:lang w:val="en-AU"/>
        </w:rPr>
      </w:pPr>
      <w:r>
        <w:rPr>
          <w:lang w:val="en-AU"/>
        </w:rPr>
        <w:t>I</w:t>
      </w:r>
      <w:r w:rsidR="00CF1950" w:rsidRPr="00A25212">
        <w:rPr>
          <w:lang w:val="en-AU"/>
        </w:rPr>
        <w:t>n July and August 2016, IAA undertook service visits to the STCAs and local service providers to increase face-to-face engagement and clarify the role of IAA</w:t>
      </w:r>
    </w:p>
    <w:p w14:paraId="1152BA28" w14:textId="037CB050" w:rsidR="00CF1950" w:rsidRPr="00D413DD" w:rsidRDefault="00CF1950" w:rsidP="00CF1950">
      <w:pPr>
        <w:pStyle w:val="Bullet1"/>
        <w:numPr>
          <w:ilvl w:val="0"/>
          <w:numId w:val="0"/>
        </w:numPr>
        <w:rPr>
          <w:lang w:val="en-AU"/>
        </w:rPr>
      </w:pPr>
      <w:r w:rsidRPr="00D413DD">
        <w:rPr>
          <w:lang w:val="en-AU"/>
        </w:rPr>
        <w:t xml:space="preserve">The following </w:t>
      </w:r>
      <w:r w:rsidR="00795ECB">
        <w:rPr>
          <w:lang w:val="en-AU"/>
        </w:rPr>
        <w:t>activities</w:t>
      </w:r>
      <w:r w:rsidR="00795ECB" w:rsidRPr="00D413DD">
        <w:rPr>
          <w:lang w:val="en-AU"/>
        </w:rPr>
        <w:t xml:space="preserve"> </w:t>
      </w:r>
      <w:r w:rsidRPr="00D413DD">
        <w:rPr>
          <w:lang w:val="en-AU"/>
        </w:rPr>
        <w:t>were reported to be currently underway:</w:t>
      </w:r>
    </w:p>
    <w:p w14:paraId="2DBC5C0F" w14:textId="1ED9A1C6" w:rsidR="00CF1950" w:rsidRPr="00D413DD" w:rsidRDefault="00CF1950" w:rsidP="00CF1950">
      <w:pPr>
        <w:pStyle w:val="Bullet1"/>
        <w:rPr>
          <w:lang w:val="en-AU"/>
        </w:rPr>
      </w:pPr>
      <w:r w:rsidRPr="006C05A5">
        <w:rPr>
          <w:lang w:val="en-AU"/>
        </w:rPr>
        <w:t xml:space="preserve">Addressing specific stakeholder </w:t>
      </w:r>
      <w:r w:rsidR="00385538">
        <w:rPr>
          <w:lang w:val="en-AU"/>
        </w:rPr>
        <w:t xml:space="preserve">needs </w:t>
      </w:r>
      <w:r w:rsidRPr="006C05A5">
        <w:rPr>
          <w:lang w:val="en-AU"/>
        </w:rPr>
        <w:t xml:space="preserve">including </w:t>
      </w:r>
      <w:r>
        <w:rPr>
          <w:lang w:val="en-AU"/>
        </w:rPr>
        <w:t>e</w:t>
      </w:r>
      <w:r w:rsidRPr="006C05A5">
        <w:rPr>
          <w:lang w:val="en-AU"/>
        </w:rPr>
        <w:t>xpatriate stakeholders</w:t>
      </w:r>
      <w:r>
        <w:rPr>
          <w:lang w:val="en-AU"/>
        </w:rPr>
        <w:t xml:space="preserve"> and post-adoption support</w:t>
      </w:r>
      <w:r w:rsidRPr="00D413DD">
        <w:rPr>
          <w:lang w:val="en-AU"/>
        </w:rPr>
        <w:t xml:space="preserve"> </w:t>
      </w:r>
    </w:p>
    <w:p w14:paraId="2E2488E3" w14:textId="77777777" w:rsidR="00CF1950" w:rsidRPr="00D413DD" w:rsidRDefault="00CF1950" w:rsidP="00CF1950">
      <w:pPr>
        <w:pStyle w:val="Bullet1"/>
        <w:rPr>
          <w:lang w:val="en-AU"/>
        </w:rPr>
      </w:pPr>
      <w:r w:rsidRPr="00D413DD">
        <w:rPr>
          <w:lang w:val="en-AU"/>
        </w:rPr>
        <w:t>Developmen</w:t>
      </w:r>
      <w:r>
        <w:rPr>
          <w:lang w:val="en-AU"/>
        </w:rPr>
        <w:t>t of an online eligibility tool</w:t>
      </w:r>
      <w:r w:rsidRPr="00D413DD">
        <w:rPr>
          <w:lang w:val="en-AU"/>
        </w:rPr>
        <w:t xml:space="preserve">  </w:t>
      </w:r>
    </w:p>
    <w:p w14:paraId="4AA43359" w14:textId="77777777" w:rsidR="00CF1950" w:rsidRDefault="00CF1950" w:rsidP="008567C9">
      <w:pPr>
        <w:pStyle w:val="Bullet1"/>
        <w:rPr>
          <w:lang w:val="en-AU"/>
        </w:rPr>
      </w:pPr>
      <w:r w:rsidRPr="00D413DD">
        <w:rPr>
          <w:lang w:val="en-AU"/>
        </w:rPr>
        <w:t>Consideration of a new client record management system.</w:t>
      </w:r>
    </w:p>
    <w:p w14:paraId="33F8D7DA" w14:textId="77777777" w:rsidR="001E74B7" w:rsidRDefault="00B44CE6" w:rsidP="00351122">
      <w:pPr>
        <w:pStyle w:val="Heading3"/>
      </w:pPr>
      <w:r>
        <w:t>Are</w:t>
      </w:r>
      <w:r w:rsidR="001E74B7" w:rsidRPr="001E74B7">
        <w:t xml:space="preserve"> prospective adoptive parents and adoptive parents’ experiences of the </w:t>
      </w:r>
      <w:r w:rsidR="0036036C">
        <w:t>ICA</w:t>
      </w:r>
      <w:r w:rsidR="001E74B7" w:rsidRPr="001E74B7">
        <w:t xml:space="preserve"> process positive?</w:t>
      </w:r>
    </w:p>
    <w:p w14:paraId="1DD5406A" w14:textId="452C18ED" w:rsidR="008567C9" w:rsidRPr="00920EFF" w:rsidRDefault="008567C9" w:rsidP="008567C9">
      <w:pPr>
        <w:pStyle w:val="Paragraph"/>
        <w:rPr>
          <w:lang w:eastAsia="en-AU"/>
        </w:rPr>
      </w:pPr>
      <w:r>
        <w:rPr>
          <w:lang w:eastAsia="en-AU"/>
        </w:rPr>
        <w:t>Achievements regarding access to information and referral to support services are discussed separately in the following sections.</w:t>
      </w:r>
    </w:p>
    <w:p w14:paraId="1914DDEE" w14:textId="77777777" w:rsidR="008567C9" w:rsidRDefault="008567C9" w:rsidP="008567C9">
      <w:pPr>
        <w:pStyle w:val="Heading4"/>
      </w:pPr>
      <w:r>
        <w:t xml:space="preserve">Access to information </w:t>
      </w:r>
    </w:p>
    <w:p w14:paraId="5092A882" w14:textId="140E985E" w:rsidR="008567C9" w:rsidRDefault="008567C9" w:rsidP="008567C9">
      <w:pPr>
        <w:pStyle w:val="ParagraphKeep"/>
      </w:pPr>
      <w:r>
        <w:t>Four elements of access to information were considered in this report:</w:t>
      </w:r>
    </w:p>
    <w:p w14:paraId="25577425" w14:textId="77777777" w:rsidR="008567C9" w:rsidRDefault="008567C9" w:rsidP="008567C9">
      <w:pPr>
        <w:pStyle w:val="Bullet1"/>
      </w:pPr>
      <w:r>
        <w:t>Stakeholder assessment of the contribution of IAA to information access</w:t>
      </w:r>
    </w:p>
    <w:p w14:paraId="270F7F04" w14:textId="77777777" w:rsidR="008567C9" w:rsidRDefault="008567C9" w:rsidP="008567C9">
      <w:pPr>
        <w:pStyle w:val="Bullet1"/>
      </w:pPr>
      <w:r>
        <w:t>Uptake issues</w:t>
      </w:r>
    </w:p>
    <w:p w14:paraId="1888928C" w14:textId="77777777" w:rsidR="008567C9" w:rsidRDefault="008567C9" w:rsidP="008567C9">
      <w:pPr>
        <w:pStyle w:val="Bullet1"/>
      </w:pPr>
      <w:r>
        <w:t>Comprehensiveness of the information provided</w:t>
      </w:r>
    </w:p>
    <w:p w14:paraId="4A6AD362" w14:textId="77777777" w:rsidR="008567C9" w:rsidRDefault="008567C9" w:rsidP="008567C9">
      <w:pPr>
        <w:pStyle w:val="Bullet1"/>
      </w:pPr>
      <w:r>
        <w:t>Client expectations.</w:t>
      </w:r>
    </w:p>
    <w:p w14:paraId="0C4A577D" w14:textId="2D3E1A1C" w:rsidR="008567C9" w:rsidRPr="008567C9" w:rsidRDefault="008567C9" w:rsidP="008567C9">
      <w:pPr>
        <w:pStyle w:val="Paragraph"/>
        <w:rPr>
          <w:rStyle w:val="Strong"/>
          <w:lang w:eastAsia="en-AU"/>
        </w:rPr>
      </w:pPr>
      <w:r w:rsidRPr="008567C9">
        <w:rPr>
          <w:rStyle w:val="Strong"/>
          <w:lang w:eastAsia="en-AU"/>
        </w:rPr>
        <w:t>Stakeholder assessment of the contribution of IAA to information access</w:t>
      </w:r>
    </w:p>
    <w:p w14:paraId="1B0B17D3" w14:textId="702F4F12" w:rsidR="008567C9" w:rsidRDefault="008567C9" w:rsidP="008567C9">
      <w:pPr>
        <w:pStyle w:val="Paragraph"/>
        <w:rPr>
          <w:lang w:eastAsia="en-AU"/>
        </w:rPr>
      </w:pPr>
      <w:r>
        <w:rPr>
          <w:lang w:eastAsia="en-AU"/>
        </w:rPr>
        <w:t>Stakeholders differed in their assessment of the contribution this information made to the ICA community:</w:t>
      </w:r>
    </w:p>
    <w:p w14:paraId="139DC316" w14:textId="29613AF0" w:rsidR="008567C9" w:rsidRDefault="008567C9" w:rsidP="00AD4A05">
      <w:pPr>
        <w:pStyle w:val="Bullet1"/>
      </w:pPr>
      <w:r>
        <w:t>Commonwealth stakeholders:</w:t>
      </w:r>
    </w:p>
    <w:p w14:paraId="2651D6C5" w14:textId="7F3E08C2" w:rsidR="008567C9" w:rsidRDefault="008567C9" w:rsidP="00AD4A05">
      <w:pPr>
        <w:pStyle w:val="Bullet2"/>
      </w:pPr>
      <w:r>
        <w:t>generally agreed that IAA has improved access to information</w:t>
      </w:r>
    </w:p>
    <w:p w14:paraId="2CA90AC0" w14:textId="6D924122" w:rsidR="008567C9" w:rsidRDefault="008567C9" w:rsidP="00AD4A05">
      <w:pPr>
        <w:pStyle w:val="Bullet2"/>
      </w:pPr>
      <w:r>
        <w:t>considered the phone service was seen as particularly useful noting that the IAA service overall was not seen as a substitute for the STCAs</w:t>
      </w:r>
    </w:p>
    <w:p w14:paraId="6C0E30A7" w14:textId="062001E9" w:rsidR="008567C9" w:rsidRDefault="008567C9" w:rsidP="00AD4A05">
      <w:pPr>
        <w:pStyle w:val="Bullet1"/>
      </w:pPr>
      <w:r>
        <w:t>At STCA level:</w:t>
      </w:r>
    </w:p>
    <w:p w14:paraId="776D6CC0" w14:textId="465AAB71" w:rsidR="008567C9" w:rsidRDefault="008567C9" w:rsidP="00AD4A05">
      <w:pPr>
        <w:pStyle w:val="Bullet2"/>
      </w:pPr>
      <w:r>
        <w:t>the IAA website was seen as important precursor to STCA contact and provided clients with information in a more user-friendly format than had previously been available</w:t>
      </w:r>
    </w:p>
    <w:p w14:paraId="3BF20C25" w14:textId="2D5E0DCF" w:rsidR="008567C9" w:rsidRDefault="008567C9" w:rsidP="00AD4A05">
      <w:pPr>
        <w:pStyle w:val="Bullet2"/>
      </w:pPr>
      <w:r>
        <w:t xml:space="preserve">Some queried the value-add of this information because it was also available on the AGD </w:t>
      </w:r>
      <w:r w:rsidR="00C639D4">
        <w:t>website</w:t>
      </w:r>
    </w:p>
    <w:p w14:paraId="4FC8ADCC" w14:textId="13FE3BA5" w:rsidR="008567C9" w:rsidRDefault="008567C9" w:rsidP="00AD4A05">
      <w:pPr>
        <w:pStyle w:val="Bullet1"/>
      </w:pPr>
      <w:r>
        <w:lastRenderedPageBreak/>
        <w:t>Academics welcomed the provision of a centralised information service</w:t>
      </w:r>
      <w:r w:rsidR="00AD4A05">
        <w:t>.</w:t>
      </w:r>
    </w:p>
    <w:p w14:paraId="60C05A73" w14:textId="0C44768C" w:rsidR="008567C9" w:rsidRDefault="008567C9" w:rsidP="008567C9">
      <w:pPr>
        <w:pStyle w:val="Paragraph"/>
        <w:rPr>
          <w:lang w:eastAsia="en-AU"/>
        </w:rPr>
      </w:pPr>
      <w:r>
        <w:rPr>
          <w:lang w:eastAsia="en-AU"/>
        </w:rPr>
        <w:t xml:space="preserve">Any duplication of information provision to service users by IAA and the Commonwealth agencies/STCAs was not seen to be problematic.  The emotionally-charged nature of ICA processes meant service users triangulate and confirm advice/information from multiple sources.  </w:t>
      </w:r>
    </w:p>
    <w:p w14:paraId="4E5AEAD5" w14:textId="1A59ECAF" w:rsidR="008567C9" w:rsidRPr="00F9075E" w:rsidRDefault="008567C9" w:rsidP="008567C9">
      <w:pPr>
        <w:pStyle w:val="Paragraph"/>
        <w:rPr>
          <w:rStyle w:val="Strong"/>
          <w:lang w:eastAsia="en-AU"/>
        </w:rPr>
      </w:pPr>
      <w:r w:rsidRPr="00F9075E">
        <w:rPr>
          <w:rStyle w:val="Strong"/>
          <w:lang w:eastAsia="en-AU"/>
        </w:rPr>
        <w:t>Uptake issues</w:t>
      </w:r>
    </w:p>
    <w:p w14:paraId="731AC456" w14:textId="77777777" w:rsidR="00DC2597" w:rsidRDefault="00DC2597" w:rsidP="00DC2597">
      <w:pPr>
        <w:pStyle w:val="Bullet1"/>
      </w:pPr>
      <w:r>
        <w:t>Underutilisation of the 1800 information line was evident with 75.5% (166/220) of survey respondents indicating they had not used the 1800 information line</w:t>
      </w:r>
    </w:p>
    <w:p w14:paraId="64EB1E43" w14:textId="77777777" w:rsidR="00DC2597" w:rsidRPr="00FF0F38" w:rsidRDefault="00DC2597" w:rsidP="00DC2597">
      <w:pPr>
        <w:pStyle w:val="Bullet1"/>
        <w:rPr>
          <w:lang w:val="en-AU"/>
        </w:rPr>
      </w:pPr>
      <w:r w:rsidRPr="00FF0F38">
        <w:rPr>
          <w:lang w:val="en-AU"/>
        </w:rPr>
        <w:t>The two main reasons cited by non-users for not having used the IAA 1800 information line were that respondents did not</w:t>
      </w:r>
      <w:r>
        <w:rPr>
          <w:lang w:val="en-AU"/>
        </w:rPr>
        <w:t xml:space="preserve"> know about the service (63/166</w:t>
      </w:r>
      <w:r w:rsidRPr="00FF0F38">
        <w:rPr>
          <w:lang w:val="en-AU"/>
        </w:rPr>
        <w:t>, 38.0%) or that they had contacted their STCA directly (47/166, 28.31%)</w:t>
      </w:r>
    </w:p>
    <w:p w14:paraId="2AF4D678" w14:textId="77777777" w:rsidR="00DC2597" w:rsidRPr="00F82B2C" w:rsidRDefault="00DC2597" w:rsidP="00DC2597">
      <w:pPr>
        <w:pStyle w:val="Bullet1"/>
      </w:pPr>
      <w:r>
        <w:t>More than one-third of all survey respondents (36.8</w:t>
      </w:r>
      <w:r w:rsidRPr="00F82B2C">
        <w:t>%</w:t>
      </w:r>
      <w:r>
        <w:t>, 81/220)</w:t>
      </w:r>
      <w:r w:rsidRPr="00F82B2C">
        <w:t xml:space="preserve"> had not used the website  </w:t>
      </w:r>
    </w:p>
    <w:p w14:paraId="0DD4832D" w14:textId="77777777" w:rsidR="00DC2597" w:rsidRDefault="00DC2597" w:rsidP="00DC2597">
      <w:pPr>
        <w:pStyle w:val="Bullet1"/>
      </w:pPr>
      <w:r w:rsidRPr="00F82B2C">
        <w:rPr>
          <w:lang w:val="en-AU"/>
        </w:rPr>
        <w:t>The two main reasons for not having used the IAA website were that the service did not exist when the respondent had started the process (35/81, 43.2%) or that respondents did not know about the service (32/81, 39.5%).</w:t>
      </w:r>
      <w:r>
        <w:t xml:space="preserve"> </w:t>
      </w:r>
    </w:p>
    <w:p w14:paraId="473BD0FC" w14:textId="3418F14F" w:rsidR="008567C9" w:rsidRPr="00F9075E" w:rsidRDefault="008567C9" w:rsidP="00AD4A05">
      <w:pPr>
        <w:pStyle w:val="Paragraph"/>
        <w:keepNext/>
        <w:rPr>
          <w:rStyle w:val="Strong"/>
          <w:lang w:eastAsia="en-AU"/>
        </w:rPr>
      </w:pPr>
      <w:r w:rsidRPr="00F9075E">
        <w:rPr>
          <w:rStyle w:val="Strong"/>
          <w:lang w:eastAsia="en-AU"/>
        </w:rPr>
        <w:t>Comprehensiveness of the information provided</w:t>
      </w:r>
    </w:p>
    <w:p w14:paraId="5CCD401E" w14:textId="66CB97D0" w:rsidR="008567C9" w:rsidRDefault="008567C9" w:rsidP="00AD4A05">
      <w:pPr>
        <w:pStyle w:val="Paragraph"/>
        <w:keepNext/>
        <w:rPr>
          <w:lang w:eastAsia="en-AU"/>
        </w:rPr>
      </w:pPr>
      <w:r>
        <w:rPr>
          <w:lang w:eastAsia="en-AU"/>
        </w:rPr>
        <w:t>IAA’s primary focus on the information needs of prospective adoptive parents during the service’s initial implementation phase was seen by many of the external stakeholders to limit the comprehensive of the information provided.  In particular, gaps were identified in relation to adult adoptees, expatriate adoptions and ad hoc adoptions.</w:t>
      </w:r>
    </w:p>
    <w:p w14:paraId="4921A04E" w14:textId="3049F929" w:rsidR="008567C9" w:rsidRDefault="008567C9" w:rsidP="008567C9">
      <w:pPr>
        <w:pStyle w:val="Paragraph"/>
        <w:rPr>
          <w:lang w:eastAsia="en-AU"/>
        </w:rPr>
      </w:pPr>
      <w:r>
        <w:rPr>
          <w:lang w:eastAsia="en-AU"/>
        </w:rPr>
        <w:t>Parent support and advocacy group</w:t>
      </w:r>
      <w:r w:rsidR="00C639D4">
        <w:rPr>
          <w:lang w:eastAsia="en-AU"/>
        </w:rPr>
        <w:t>s</w:t>
      </w:r>
      <w:r>
        <w:rPr>
          <w:lang w:eastAsia="en-AU"/>
        </w:rPr>
        <w:t xml:space="preserve"> highlighted the importance of web information being accurate and comprehensive.</w:t>
      </w:r>
    </w:p>
    <w:p w14:paraId="36C3C93A" w14:textId="696BC9D1" w:rsidR="008567C9" w:rsidRDefault="008567C9" w:rsidP="008567C9">
      <w:pPr>
        <w:pStyle w:val="Paragraph"/>
        <w:rPr>
          <w:lang w:eastAsia="en-AU"/>
        </w:rPr>
      </w:pPr>
      <w:r>
        <w:rPr>
          <w:lang w:eastAsia="en-AU"/>
        </w:rPr>
        <w:t xml:space="preserve">For academic </w:t>
      </w:r>
      <w:r w:rsidR="00657DE6">
        <w:rPr>
          <w:lang w:eastAsia="en-AU"/>
        </w:rPr>
        <w:t>informants,</w:t>
      </w:r>
      <w:r>
        <w:rPr>
          <w:lang w:eastAsia="en-AU"/>
        </w:rPr>
        <w:t xml:space="preserve"> a key consideration was the need for IAA to recognise that the information needs of ICA stakeholders differ considerably depending on their stage in the process</w:t>
      </w:r>
      <w:r w:rsidR="00F9075E">
        <w:rPr>
          <w:lang w:eastAsia="en-AU"/>
        </w:rPr>
        <w:t>.</w:t>
      </w:r>
    </w:p>
    <w:p w14:paraId="100B83C6" w14:textId="3A0FEE15" w:rsidR="008567C9" w:rsidRPr="00F9075E" w:rsidRDefault="008567C9" w:rsidP="008567C9">
      <w:pPr>
        <w:pStyle w:val="Paragraph"/>
        <w:rPr>
          <w:rStyle w:val="Strong"/>
          <w:lang w:eastAsia="en-AU"/>
        </w:rPr>
      </w:pPr>
      <w:r w:rsidRPr="00F9075E">
        <w:rPr>
          <w:rStyle w:val="Strong"/>
          <w:lang w:eastAsia="en-AU"/>
        </w:rPr>
        <w:t>Client expectations</w:t>
      </w:r>
    </w:p>
    <w:p w14:paraId="24CB0445" w14:textId="68420E3F" w:rsidR="008567C9" w:rsidRDefault="008567C9" w:rsidP="008567C9">
      <w:pPr>
        <w:pStyle w:val="Paragraph"/>
        <w:rPr>
          <w:lang w:eastAsia="en-AU"/>
        </w:rPr>
      </w:pPr>
      <w:r>
        <w:rPr>
          <w:lang w:eastAsia="en-AU"/>
        </w:rPr>
        <w:t>Stakeholders indicated that client assessment of the utility of available information was informed by their expectations, some of which were unrealistic.</w:t>
      </w:r>
    </w:p>
    <w:p w14:paraId="008279CB" w14:textId="77777777" w:rsidR="001E74B7" w:rsidRDefault="001E74B7" w:rsidP="00351122">
      <w:pPr>
        <w:pStyle w:val="Heading3"/>
      </w:pPr>
      <w:bookmarkStart w:id="189" w:name="_Ref458120773"/>
      <w:r w:rsidRPr="001E74B7">
        <w:t>Are adoptive parents’ experiences of immigration and passport processes improved?</w:t>
      </w:r>
      <w:bookmarkEnd w:id="189"/>
    </w:p>
    <w:p w14:paraId="13FD76A9" w14:textId="338F4F83" w:rsidR="00CF1950" w:rsidRDefault="00CF1950" w:rsidP="003B07DF">
      <w:pPr>
        <w:pStyle w:val="Paragraph"/>
        <w:rPr>
          <w:lang w:val="en-AU"/>
        </w:rPr>
      </w:pPr>
      <w:r w:rsidRPr="00F36F4E">
        <w:rPr>
          <w:lang w:val="en-AU"/>
        </w:rPr>
        <w:t>IAA</w:t>
      </w:r>
      <w:r>
        <w:rPr>
          <w:lang w:val="en-AU"/>
        </w:rPr>
        <w:t>’s</w:t>
      </w:r>
      <w:r w:rsidRPr="00F36F4E">
        <w:rPr>
          <w:lang w:val="en-AU"/>
        </w:rPr>
        <w:t xml:space="preserve"> role as a conduit between clients and immigration and passport processes was seen as the key means whereby clients’ experiences had been improved</w:t>
      </w:r>
      <w:r w:rsidR="002D5798">
        <w:rPr>
          <w:lang w:val="en-AU"/>
        </w:rPr>
        <w:t>.</w:t>
      </w:r>
    </w:p>
    <w:p w14:paraId="5FF1CDF5" w14:textId="77777777" w:rsidR="001E74B7" w:rsidRPr="001E74B7" w:rsidRDefault="001E74B7" w:rsidP="00351122">
      <w:pPr>
        <w:pStyle w:val="Heading3"/>
      </w:pPr>
      <w:bookmarkStart w:id="190" w:name="_Ref458119955"/>
      <w:r w:rsidRPr="001E74B7">
        <w:t xml:space="preserve">Does the service inform </w:t>
      </w:r>
      <w:r w:rsidR="0036036C">
        <w:t>ICA</w:t>
      </w:r>
      <w:r w:rsidRPr="001E74B7">
        <w:t xml:space="preserve"> policies and practices?</w:t>
      </w:r>
      <w:bookmarkEnd w:id="190"/>
    </w:p>
    <w:p w14:paraId="2DAE7620" w14:textId="77777777" w:rsidR="0057502A" w:rsidRPr="00757B05" w:rsidRDefault="0057502A" w:rsidP="0057502A">
      <w:pPr>
        <w:pStyle w:val="Paragraph"/>
        <w:rPr>
          <w:lang w:eastAsia="en-AU"/>
        </w:rPr>
      </w:pPr>
      <w:bookmarkStart w:id="191" w:name="_Toc457978353"/>
      <w:r w:rsidRPr="00757B05">
        <w:rPr>
          <w:lang w:eastAsia="en-AU"/>
        </w:rPr>
        <w:t>Discussions with IAA indicated that service representatives contribute to ICA policies and practices through a number of mechanisms</w:t>
      </w:r>
      <w:r>
        <w:rPr>
          <w:lang w:eastAsia="en-AU"/>
        </w:rPr>
        <w:t>.  C</w:t>
      </w:r>
      <w:r w:rsidRPr="00757B05">
        <w:rPr>
          <w:lang w:eastAsia="en-AU"/>
        </w:rPr>
        <w:t>onsultations with external stakeholders clearly illustrated these stakeholders were unaware of</w:t>
      </w:r>
      <w:r>
        <w:rPr>
          <w:lang w:eastAsia="en-AU"/>
        </w:rPr>
        <w:t xml:space="preserve"> IAA’s work in these areas</w:t>
      </w:r>
      <w:r w:rsidRPr="00757B05">
        <w:rPr>
          <w:lang w:eastAsia="en-AU"/>
        </w:rPr>
        <w:t>.</w:t>
      </w:r>
    </w:p>
    <w:p w14:paraId="18F671DC" w14:textId="4B7BE230" w:rsidR="0057502A" w:rsidRPr="00757B05" w:rsidRDefault="0057502A" w:rsidP="0057502A">
      <w:pPr>
        <w:pStyle w:val="ParagraphKeep"/>
        <w:rPr>
          <w:lang w:eastAsia="en-AU"/>
        </w:rPr>
      </w:pPr>
      <w:r w:rsidRPr="00757B05">
        <w:rPr>
          <w:lang w:eastAsia="en-AU"/>
        </w:rPr>
        <w:lastRenderedPageBreak/>
        <w:t xml:space="preserve">Key examples of IAA’s activities in this regard </w:t>
      </w:r>
      <w:r>
        <w:rPr>
          <w:lang w:eastAsia="en-AU"/>
        </w:rPr>
        <w:t>(</w:t>
      </w:r>
      <w:r w:rsidRPr="0057502A">
        <w:rPr>
          <w:rStyle w:val="Emphasis"/>
        </w:rPr>
        <w:t xml:space="preserve">Section </w:t>
      </w:r>
      <w:r w:rsidRPr="0057502A">
        <w:rPr>
          <w:rStyle w:val="Emphasis"/>
        </w:rPr>
        <w:fldChar w:fldCharType="begin"/>
      </w:r>
      <w:r w:rsidRPr="0057502A">
        <w:rPr>
          <w:rStyle w:val="Emphasis"/>
        </w:rPr>
        <w:instrText xml:space="preserve"> REF _Ref462938878 \r \h </w:instrText>
      </w:r>
      <w:r>
        <w:rPr>
          <w:rStyle w:val="Emphasis"/>
        </w:rPr>
        <w:instrText xml:space="preserve"> \* MERGEFORMAT </w:instrText>
      </w:r>
      <w:r w:rsidRPr="0057502A">
        <w:rPr>
          <w:rStyle w:val="Emphasis"/>
        </w:rPr>
      </w:r>
      <w:r w:rsidRPr="0057502A">
        <w:rPr>
          <w:rStyle w:val="Emphasis"/>
        </w:rPr>
        <w:fldChar w:fldCharType="separate"/>
      </w:r>
      <w:r w:rsidR="00487073">
        <w:rPr>
          <w:rStyle w:val="Emphasis"/>
        </w:rPr>
        <w:t>6.5.2</w:t>
      </w:r>
      <w:r w:rsidRPr="0057502A">
        <w:rPr>
          <w:rStyle w:val="Emphasis"/>
        </w:rPr>
        <w:fldChar w:fldCharType="end"/>
      </w:r>
      <w:r>
        <w:rPr>
          <w:lang w:eastAsia="en-AU"/>
        </w:rPr>
        <w:t xml:space="preserve">) </w:t>
      </w:r>
      <w:r w:rsidRPr="00757B05">
        <w:rPr>
          <w:lang w:eastAsia="en-AU"/>
        </w:rPr>
        <w:t>include:</w:t>
      </w:r>
    </w:p>
    <w:p w14:paraId="51BA2546" w14:textId="028A3205" w:rsidR="0057502A" w:rsidRPr="00757B05" w:rsidRDefault="0057502A" w:rsidP="0057502A">
      <w:pPr>
        <w:pStyle w:val="Bullet1"/>
      </w:pPr>
      <w:r w:rsidRPr="00757B05">
        <w:t>STCA-specific policy/practice</w:t>
      </w:r>
      <w:r>
        <w:t xml:space="preserve"> (e.g. Review</w:t>
      </w:r>
      <w:r w:rsidRPr="00757B05">
        <w:t xml:space="preserve"> of ad-hoc/relative adoption policy with AGD/Victorian Central </w:t>
      </w:r>
      <w:r w:rsidR="005F7479" w:rsidRPr="00757B05">
        <w:t xml:space="preserve">Authority </w:t>
      </w:r>
      <w:r w:rsidR="005F7479">
        <w:t>and</w:t>
      </w:r>
      <w:r>
        <w:t xml:space="preserve"> participating in various C</w:t>
      </w:r>
      <w:r w:rsidRPr="00757B05">
        <w:t>ommonwealth forums</w:t>
      </w:r>
      <w:r>
        <w:t>)</w:t>
      </w:r>
      <w:r w:rsidRPr="00757B05">
        <w:t xml:space="preserve"> </w:t>
      </w:r>
    </w:p>
    <w:p w14:paraId="1E21A329" w14:textId="2C8DAF66" w:rsidR="0057502A" w:rsidRPr="00757B05" w:rsidRDefault="0057502A" w:rsidP="00B06CB4">
      <w:pPr>
        <w:pStyle w:val="Bullet1"/>
      </w:pPr>
      <w:r w:rsidRPr="00757B05">
        <w:t>Supporting external stakeholders in relation to specific issues</w:t>
      </w:r>
      <w:r>
        <w:t xml:space="preserve"> such as c</w:t>
      </w:r>
      <w:r w:rsidRPr="00757B05">
        <w:t>hanges to evidence of citizenship</w:t>
      </w:r>
      <w:r>
        <w:t xml:space="preserve"> for Australian passports and changes to country-specific programs</w:t>
      </w:r>
    </w:p>
    <w:p w14:paraId="5BD9D21C" w14:textId="437576F2" w:rsidR="0057502A" w:rsidRPr="00757B05" w:rsidRDefault="0057502A" w:rsidP="0057502A">
      <w:pPr>
        <w:pStyle w:val="Bullet1"/>
      </w:pPr>
      <w:r w:rsidRPr="00757B05">
        <w:t xml:space="preserve">Initiating discussions with AGD and each STCA on program-specific issues </w:t>
      </w:r>
    </w:p>
    <w:p w14:paraId="4E5E51AA" w14:textId="299DBC31" w:rsidR="0057502A" w:rsidRPr="00757B05" w:rsidRDefault="0057502A" w:rsidP="0057502A">
      <w:pPr>
        <w:pStyle w:val="Bullet1"/>
      </w:pPr>
      <w:r w:rsidRPr="00757B05">
        <w:t xml:space="preserve">Facilitating </w:t>
      </w:r>
      <w:r>
        <w:t xml:space="preserve">and participating in </w:t>
      </w:r>
      <w:r w:rsidRPr="00757B05">
        <w:t>workshop</w:t>
      </w:r>
      <w:r>
        <w:t>s and forums</w:t>
      </w:r>
      <w:r w:rsidRPr="00757B05">
        <w:t xml:space="preserve"> </w:t>
      </w:r>
    </w:p>
    <w:p w14:paraId="42AF4E92" w14:textId="0C32B9CA" w:rsidR="0057502A" w:rsidRPr="00757B05" w:rsidRDefault="0057502A" w:rsidP="0057502A">
      <w:pPr>
        <w:pStyle w:val="Bullet1"/>
      </w:pPr>
      <w:r w:rsidRPr="00757B05">
        <w:t>Securing funding for</w:t>
      </w:r>
      <w:r>
        <w:t xml:space="preserve"> </w:t>
      </w:r>
      <w:r w:rsidRPr="00757B05">
        <w:t xml:space="preserve">a new Intercountry Adoption Tracing and Reunification Support Service – International Social Service (ISS) Australia.  </w:t>
      </w:r>
    </w:p>
    <w:p w14:paraId="1867296A" w14:textId="274C50D8" w:rsidR="002D5798" w:rsidRDefault="002D5798" w:rsidP="00351122">
      <w:pPr>
        <w:pStyle w:val="Heading2"/>
      </w:pPr>
      <w:bookmarkStart w:id="192" w:name="_Toc490481642"/>
      <w:bookmarkEnd w:id="191"/>
      <w:r>
        <w:t>Implications of findings – key considerations going forward</w:t>
      </w:r>
      <w:bookmarkEnd w:id="192"/>
    </w:p>
    <w:p w14:paraId="49D474D5" w14:textId="6D30137A" w:rsidR="00C6470F" w:rsidRDefault="00C6470F" w:rsidP="00C6470F">
      <w:pPr>
        <w:pStyle w:val="Paragraph"/>
        <w:rPr>
          <w:lang w:eastAsia="en-AU"/>
        </w:rPr>
      </w:pPr>
      <w:r>
        <w:rPr>
          <w:lang w:eastAsia="en-AU"/>
        </w:rPr>
        <w:t>The findings of this evaluation indicate that IAA has:</w:t>
      </w:r>
    </w:p>
    <w:p w14:paraId="7692F534" w14:textId="1DCB9BEA" w:rsidR="00C6470F" w:rsidRDefault="00C6470F" w:rsidP="00C6470F">
      <w:pPr>
        <w:pStyle w:val="Bullet1"/>
      </w:pPr>
      <w:r>
        <w:t xml:space="preserve">Achieved all milestones and deliverables </w:t>
      </w:r>
      <w:r w:rsidRPr="00C67255">
        <w:t>specified in the</w:t>
      </w:r>
      <w:r w:rsidR="008B0955">
        <w:t xml:space="preserve"> Reform</w:t>
      </w:r>
      <w:r w:rsidRPr="00C67255">
        <w:t xml:space="preserve"> Implementation Plan</w:t>
      </w:r>
    </w:p>
    <w:p w14:paraId="7ED5C652" w14:textId="1145D944" w:rsidR="00C6470F" w:rsidRDefault="00C6470F" w:rsidP="00C6470F">
      <w:pPr>
        <w:pStyle w:val="Bullet1"/>
      </w:pPr>
      <w:r>
        <w:t>Achieved or is demonstrating</w:t>
      </w:r>
      <w:r w:rsidRPr="00C67255">
        <w:t xml:space="preserve"> strong progress in relation to </w:t>
      </w:r>
      <w:r>
        <w:t xml:space="preserve">most of the measures of success and KPIs specified in the </w:t>
      </w:r>
      <w:r w:rsidR="008B0955">
        <w:t xml:space="preserve">Reform </w:t>
      </w:r>
      <w:r>
        <w:t xml:space="preserve">Implementation Plan.  </w:t>
      </w:r>
    </w:p>
    <w:p w14:paraId="44B685C4" w14:textId="5CA5E0A8" w:rsidR="002D5798" w:rsidRDefault="002D5798" w:rsidP="002D5798">
      <w:pPr>
        <w:pStyle w:val="Paragraph"/>
        <w:rPr>
          <w:lang w:eastAsia="en-AU"/>
        </w:rPr>
      </w:pPr>
      <w:r>
        <w:rPr>
          <w:lang w:eastAsia="en-AU"/>
        </w:rPr>
        <w:t>However, it is also apparent that:</w:t>
      </w:r>
    </w:p>
    <w:p w14:paraId="23D8B0C6" w14:textId="20E70832" w:rsidR="002D5798" w:rsidRDefault="002D5798" w:rsidP="002D5798">
      <w:pPr>
        <w:pStyle w:val="Bullet1"/>
      </w:pPr>
      <w:r>
        <w:t>Many of these KPI are now redundant as the patterns of client interaction and the evolving nature of service provision extend beyond that which was envisaged prior to implementation</w:t>
      </w:r>
      <w:r w:rsidR="002847B1">
        <w:t xml:space="preserve">.  </w:t>
      </w:r>
    </w:p>
    <w:p w14:paraId="54F34157" w14:textId="49833D12" w:rsidR="002D5798" w:rsidRDefault="002D5798" w:rsidP="002D5798">
      <w:pPr>
        <w:pStyle w:val="Bullet1"/>
      </w:pPr>
      <w:r>
        <w:t>Current data collection and management does not adequately allow assessment against all the current KPIs</w:t>
      </w:r>
    </w:p>
    <w:p w14:paraId="1BBF1E8E" w14:textId="6C45C16C" w:rsidR="00DF7397" w:rsidRDefault="00E81C19" w:rsidP="002D5798">
      <w:pPr>
        <w:pStyle w:val="Bullet1"/>
      </w:pPr>
      <w:r>
        <w:t>For STCAs, t</w:t>
      </w:r>
      <w:r w:rsidR="005F7479">
        <w:t>here has been a lack of</w:t>
      </w:r>
      <w:r w:rsidR="00DF7397">
        <w:t>:</w:t>
      </w:r>
    </w:p>
    <w:p w14:paraId="238F4CAD" w14:textId="31786847" w:rsidR="00DF7397" w:rsidRDefault="00DF7397" w:rsidP="00DF7397">
      <w:pPr>
        <w:pStyle w:val="Bullet2"/>
      </w:pPr>
      <w:r>
        <w:t>C</w:t>
      </w:r>
      <w:r w:rsidR="002D5798">
        <w:t xml:space="preserve">larity about the role of IAA </w:t>
      </w:r>
      <w:r w:rsidR="00F609F7">
        <w:t>influencing</w:t>
      </w:r>
      <w:r w:rsidR="002D5798">
        <w:t xml:space="preserve"> stakeholder engagement in the early stages of implementation</w:t>
      </w:r>
    </w:p>
    <w:p w14:paraId="0E89110E" w14:textId="77777777" w:rsidR="00DF7397" w:rsidRDefault="00DF7397" w:rsidP="00DF7397">
      <w:pPr>
        <w:pStyle w:val="Bullet2"/>
      </w:pPr>
      <w:r>
        <w:t>Transparency about IAA activities particularly in the area of policy and practice</w:t>
      </w:r>
    </w:p>
    <w:p w14:paraId="22DF2879" w14:textId="77777777" w:rsidR="00DF7397" w:rsidRDefault="00DF7397" w:rsidP="00DF7397">
      <w:pPr>
        <w:pStyle w:val="Bullet1"/>
      </w:pPr>
      <w:r>
        <w:t>Uptake of IAA services by targeted service users has been limited by:</w:t>
      </w:r>
    </w:p>
    <w:p w14:paraId="5173DD03" w14:textId="562B6E7E" w:rsidR="002D5798" w:rsidRDefault="00DF7397" w:rsidP="00DF7397">
      <w:pPr>
        <w:pStyle w:val="Bullet2"/>
      </w:pPr>
      <w:r>
        <w:t xml:space="preserve">A lack of awareness about IAA </w:t>
      </w:r>
    </w:p>
    <w:p w14:paraId="5B3AAD7D" w14:textId="55670D65" w:rsidR="00DF7397" w:rsidRDefault="00DF7397" w:rsidP="00DF7397">
      <w:pPr>
        <w:pStyle w:val="Bullet2"/>
      </w:pPr>
      <w:r>
        <w:t>Lack of differentiation between IAA and other ICA stakeholders (STCAS and AGD in particular)</w:t>
      </w:r>
      <w:r w:rsidR="00E81C19">
        <w:t xml:space="preserve"> which </w:t>
      </w:r>
      <w:r w:rsidR="005F7479">
        <w:t>may have</w:t>
      </w:r>
      <w:r w:rsidR="00E81C19">
        <w:t xml:space="preserve"> caused confusion</w:t>
      </w:r>
    </w:p>
    <w:p w14:paraId="11EFA9D0" w14:textId="6BDE31B0" w:rsidR="00E81C19" w:rsidRDefault="00E81C19" w:rsidP="00DF7397">
      <w:pPr>
        <w:pStyle w:val="Bullet2"/>
      </w:pPr>
      <w:r>
        <w:t>A perception in the early stages that the service was primarily targeting prospective adoptive parents.</w:t>
      </w:r>
    </w:p>
    <w:p w14:paraId="708F6E31" w14:textId="0F2AA6CF" w:rsidR="002D5798" w:rsidRDefault="00E81C19" w:rsidP="00E81C19">
      <w:pPr>
        <w:pStyle w:val="Paragraph"/>
      </w:pPr>
      <w:r>
        <w:t>Efforts to resolve these issues</w:t>
      </w:r>
      <w:r w:rsidR="00643590">
        <w:t xml:space="preserve"> have already commenced</w:t>
      </w:r>
      <w:r>
        <w:t>.  Of particular note, is the expansion of IAA’s focus to include people at all stages of the ICA process, the engagement of LifeWorks and ISS to assist adoptee</w:t>
      </w:r>
      <w:r w:rsidR="00C639D4">
        <w:t>s</w:t>
      </w:r>
      <w:r>
        <w:t xml:space="preserve"> with counselling and family reunification, and IAA’s recent round of service visits designed to foster stakeholder engagement and clarify IAA’s role</w:t>
      </w:r>
      <w:r w:rsidR="0057662E">
        <w:t xml:space="preserve">.  </w:t>
      </w:r>
      <w:r w:rsidR="0057662E" w:rsidRPr="0057662E">
        <w:t>Revisions to the Commonwealth-state agreement will do much to clarify</w:t>
      </w:r>
      <w:r w:rsidR="0057662E">
        <w:t xml:space="preserve"> IAAs role in relation to other Commonwealth agencies.</w:t>
      </w:r>
    </w:p>
    <w:p w14:paraId="279981D2" w14:textId="77777777" w:rsidR="00385538" w:rsidRDefault="00385538" w:rsidP="00385538">
      <w:pPr>
        <w:pStyle w:val="Paragraph"/>
        <w:rPr>
          <w:lang w:eastAsia="en-AU"/>
        </w:rPr>
      </w:pPr>
      <w:r>
        <w:rPr>
          <w:lang w:eastAsia="en-AU"/>
        </w:rPr>
        <w:lastRenderedPageBreak/>
        <w:t>Going forward, a number of factors warrant consideration to facilitate the ongoing development of IAA and ensure its capacity to meet its KPIs and the expectations of the ICA community.  Key considerations include:</w:t>
      </w:r>
    </w:p>
    <w:p w14:paraId="4716149A" w14:textId="77777777" w:rsidR="00385538" w:rsidRDefault="00385538" w:rsidP="00385538">
      <w:pPr>
        <w:pStyle w:val="Bullet1"/>
      </w:pPr>
      <w:r>
        <w:t>Review current KPIs to more accurately reflect the current and future scope of IAA’s activities</w:t>
      </w:r>
    </w:p>
    <w:p w14:paraId="35214471" w14:textId="77777777" w:rsidR="00385538" w:rsidRDefault="00385538" w:rsidP="00385538">
      <w:pPr>
        <w:pStyle w:val="Bullet1"/>
      </w:pPr>
      <w:r>
        <w:t>Review current data collection and management system so that its capacity to capture and analyse data is enhanced</w:t>
      </w:r>
    </w:p>
    <w:p w14:paraId="584B7D7D" w14:textId="77777777" w:rsidR="00385538" w:rsidRDefault="00385538" w:rsidP="00385538">
      <w:pPr>
        <w:pStyle w:val="Bullet1"/>
      </w:pPr>
      <w:r>
        <w:t>Increased data sharing between IAA and STCAs so that referral outcomes can be established</w:t>
      </w:r>
    </w:p>
    <w:p w14:paraId="631A0777" w14:textId="77777777" w:rsidR="00385538" w:rsidRDefault="00385538" w:rsidP="00385538">
      <w:pPr>
        <w:pStyle w:val="Bullet1"/>
      </w:pPr>
      <w:r>
        <w:t>Continued engagement with STCAs to:</w:t>
      </w:r>
    </w:p>
    <w:p w14:paraId="789D3F03" w14:textId="77777777" w:rsidR="00385538" w:rsidRDefault="00385538" w:rsidP="00385538">
      <w:pPr>
        <w:pStyle w:val="Bullet2"/>
      </w:pPr>
      <w:r>
        <w:t>Further develop working relationships</w:t>
      </w:r>
    </w:p>
    <w:p w14:paraId="43874DAD" w14:textId="77777777" w:rsidR="00385538" w:rsidRDefault="00385538" w:rsidP="00385538">
      <w:pPr>
        <w:pStyle w:val="Bullet2"/>
      </w:pPr>
      <w:r>
        <w:t>Communicate IAA activities, particularly in relation to policy and practice, and to jointly collaborate in the development of these policies and practice</w:t>
      </w:r>
    </w:p>
    <w:p w14:paraId="38BBBBCB" w14:textId="734CBBC0" w:rsidR="00385538" w:rsidRDefault="00385538" w:rsidP="00385538">
      <w:pPr>
        <w:pStyle w:val="Bullet2"/>
      </w:pPr>
      <w:r>
        <w:t>Promote IAA on STCA websites.  At the time of the website review undertaken in this evaluation, not all STCAs currently did so (</w:t>
      </w:r>
      <w:r w:rsidRPr="00A41F8B">
        <w:rPr>
          <w:rStyle w:val="Emphasis"/>
        </w:rPr>
        <w:fldChar w:fldCharType="begin"/>
      </w:r>
      <w:r w:rsidRPr="00A41F8B">
        <w:rPr>
          <w:rStyle w:val="Emphasis"/>
        </w:rPr>
        <w:instrText xml:space="preserve"> REF _Ref462645321 \h </w:instrText>
      </w:r>
      <w:r>
        <w:rPr>
          <w:rStyle w:val="Emphasis"/>
        </w:rPr>
        <w:instrText xml:space="preserve"> \* MERGEFORMAT </w:instrText>
      </w:r>
      <w:r w:rsidRPr="00A41F8B">
        <w:rPr>
          <w:rStyle w:val="Emphasis"/>
        </w:rPr>
      </w:r>
      <w:r w:rsidRPr="00A41F8B">
        <w:rPr>
          <w:rStyle w:val="Emphasis"/>
        </w:rPr>
        <w:fldChar w:fldCharType="separate"/>
      </w:r>
      <w:r w:rsidR="00487073" w:rsidRPr="00487073">
        <w:rPr>
          <w:rStyle w:val="Emphasis"/>
        </w:rPr>
        <w:t>Table 3</w:t>
      </w:r>
      <w:r w:rsidR="00487073" w:rsidRPr="00487073">
        <w:rPr>
          <w:rStyle w:val="Emphasis"/>
        </w:rPr>
        <w:noBreakHyphen/>
        <w:t>3</w:t>
      </w:r>
      <w:r w:rsidRPr="00A41F8B">
        <w:rPr>
          <w:rStyle w:val="Emphasis"/>
        </w:rPr>
        <w:fldChar w:fldCharType="end"/>
      </w:r>
      <w:r>
        <w:t>) and this may impact on client awareness of the IAA services in these jurisdictions</w:t>
      </w:r>
    </w:p>
    <w:p w14:paraId="15201B56" w14:textId="77777777" w:rsidR="00385538" w:rsidRDefault="00385538" w:rsidP="00385538">
      <w:pPr>
        <w:pStyle w:val="Bullet1"/>
      </w:pPr>
      <w:r>
        <w:t>Greater promotion of IAA so that its target clients are aware of the breadth of its services</w:t>
      </w:r>
    </w:p>
    <w:p w14:paraId="0BC57BC0" w14:textId="77777777" w:rsidR="00385538" w:rsidRDefault="00385538" w:rsidP="00385538">
      <w:pPr>
        <w:pStyle w:val="Bullet1"/>
      </w:pPr>
      <w:r>
        <w:t xml:space="preserve">Clarification of IAA’s role.  This not only involves clarifying </w:t>
      </w:r>
      <w:r w:rsidRPr="0057662E">
        <w:t>IAA</w:t>
      </w:r>
      <w:r>
        <w:t>’</w:t>
      </w:r>
      <w:r w:rsidRPr="0057662E">
        <w:t>s role in relation to other Commonwealth agencies</w:t>
      </w:r>
      <w:r>
        <w:t xml:space="preserve"> through r</w:t>
      </w:r>
      <w:r w:rsidRPr="0057662E">
        <w:t>evisions to the Commonwealth-state agreement</w:t>
      </w:r>
      <w:r>
        <w:t>, but also in the public perception by differentiating its functions from AGD.  Ongoing engagement with target clients will assist in this regard as would revision to the web content on both the IAA and AGD websites.</w:t>
      </w:r>
    </w:p>
    <w:p w14:paraId="66E2E7E7" w14:textId="32292F7F" w:rsidR="00351122" w:rsidRDefault="00385538" w:rsidP="00385538">
      <w:pPr>
        <w:pStyle w:val="Paragraph"/>
      </w:pPr>
      <w:r>
        <w:t>The list of factors presented above directly aligns with IAA’s KPIs and to the gaps identified in this evaluation.  C</w:t>
      </w:r>
      <w:r w:rsidRPr="00435C39">
        <w:t>onsultations with a diverse range of stakeholders identified a number of key suggestions for consideration going forward (</w:t>
      </w:r>
      <w:r w:rsidRPr="00435C39">
        <w:rPr>
          <w:rStyle w:val="Emphasis"/>
        </w:rPr>
        <w:t xml:space="preserve">Chapter </w:t>
      </w:r>
      <w:r w:rsidRPr="00435C39">
        <w:t>7).</w:t>
      </w:r>
      <w:r>
        <w:t xml:space="preserve">  These latter suggestions give voice to some of the needs and visions of other key stakeholders in the ICA community and warrant further consideration.</w:t>
      </w:r>
    </w:p>
    <w:p w14:paraId="29E76A40" w14:textId="77777777" w:rsidR="00351122" w:rsidRPr="008E36B1" w:rsidRDefault="00351122" w:rsidP="008E36B1">
      <w:pPr>
        <w:pStyle w:val="Paragraph"/>
      </w:pPr>
    </w:p>
    <w:p w14:paraId="0C57CDF7" w14:textId="77777777" w:rsidR="00331334" w:rsidRPr="008E36B1" w:rsidRDefault="00331334" w:rsidP="008E36B1">
      <w:pPr>
        <w:pStyle w:val="Paragraph"/>
        <w:sectPr w:rsidR="00331334" w:rsidRPr="008E36B1" w:rsidSect="00986AD0">
          <w:pgSz w:w="11907" w:h="16840" w:code="9"/>
          <w:pgMar w:top="993" w:right="1134" w:bottom="993" w:left="1418" w:header="567" w:footer="567" w:gutter="0"/>
          <w:cols w:space="680"/>
        </w:sectPr>
      </w:pPr>
    </w:p>
    <w:p w14:paraId="2D7B4EB8" w14:textId="69DD451E" w:rsidR="00DF4FCB" w:rsidRPr="002B47AA" w:rsidRDefault="00B36A43" w:rsidP="00DF4FCB">
      <w:pPr>
        <w:rPr>
          <w:lang w:eastAsia="en-AU"/>
        </w:rPr>
      </w:pPr>
      <w:r>
        <w:rPr>
          <w:noProof/>
          <w:lang w:val="en-AU" w:eastAsia="en-AU"/>
        </w:rPr>
        <w:lastRenderedPageBreak/>
        <mc:AlternateContent>
          <mc:Choice Requires="wps">
            <w:drawing>
              <wp:anchor distT="0" distB="0" distL="114300" distR="114300" simplePos="0" relativeHeight="251658240" behindDoc="1" locked="0" layoutInCell="1" allowOverlap="1" wp14:anchorId="3B34CFC1" wp14:editId="67B72AAC">
                <wp:simplePos x="0" y="0"/>
                <wp:positionH relativeFrom="page">
                  <wp:posOffset>-66675</wp:posOffset>
                </wp:positionH>
                <wp:positionV relativeFrom="page">
                  <wp:posOffset>0</wp:posOffset>
                </wp:positionV>
                <wp:extent cx="7631430" cy="10763885"/>
                <wp:effectExtent l="0" t="0" r="7620" b="0"/>
                <wp:wrapNone/>
                <wp:docPr id="12" name="Rectangle 12" title="&quot; &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1430" cy="107638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D1EFB" id="Rectangle 12" o:spid="_x0000_s1026" alt="Title: &quot; &quot;" style="position:absolute;margin-left:-5.25pt;margin-top:0;width:600.9pt;height:847.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j5rAIAALcFAAAOAAAAZHJzL2Uyb0RvYy54bWysVEtv2zAMvg/YfxB02G21k6aPeXWKoEWH&#10;AUFbtB16VmUpNiaLqqTESX/9KMl2s67YYVgOjih+/PgQybPzbavIRljXgC7p5CCnRGgOVaNXJf3x&#10;cPX5lBLnma6YAi1KuhOOns8/fjjrTCGmUIOqhCVIol3RmZLW3psiyxyvRcvcARihUSnBtsyjaFdZ&#10;ZVmH7K3Kpnl+nHVgK2OBC+fw9jIp6TzySym4v5HSCU9USTE2H782fp/CN5ufsWJlmakb3ofB/iGK&#10;ljUanY5Ul8wzsrbNH1Rtwy04kP6AQ5uBlA0XMQfMZpK/yea+ZkbEXLA4zoxlcv+Pll9vbi1pKny7&#10;KSWatfhGd1g1pldKkHDnG6/w8tPzGvxXkv5C2TrjCrS+N7c2JO7MEvhPh4rsN00QXI/ZStsGLKZN&#10;tvENduMbiK0nHC9Pjg8ns0N8Ko66SY7i6elR8JexYrA31vlvAloSDiW1GG8sPtssnU/QARJDA9VU&#10;V41SUQidJS6UJRuGPeG3057c7aOUDlgNwSoRhpuYWUompuV3SgSc0ndCYhEx/GkMJLbvqxPGudB+&#10;klQ1q0TyfZTjb/A+hBUTjYSBWaL/kbsnGJCJZOBOUfb4YCpi94/G+d8CS8ajRfQM2o/GbaPBvkeg&#10;MKvec8IPRUqlCVV6gmqHLWYhzZ4z/KrBZ1sy52+ZxWHDt8YF4m/wIxV0JYX+REkN9uW9+4DHGUAt&#10;JR0Ob0nd85pZQYn6rnE6vkxmszDtUZgdnUxRsPuap32NXrcXgL0wwVVleDwGvFfDUVpoH3HPLIJX&#10;VDHN0XdJubeDcOHTUsFNxcViEWE44Yb5pb43PJCHqoa2fNg+Mmv63vXY99cwDDor3rRwwgZLDYu1&#10;B9nE/n6ta19v3A6xcfpNFtbPvhxRr/t2/gsAAP//AwBQSwMEFAAGAAgAAAAhAHOsFC/eAAAACgEA&#10;AA8AAABkcnMvZG93bnJldi54bWxMj8FOwzAQRO9I/IO1SNxax1QtaYhTIaT0iNpA1es2XpKI2I5i&#10;tw1/z/YEtx3NaPZNvplsLy40hs47DWqegCBXe9O5RsPnRzlLQYSIzmDvHWn4oQCb4v4ux8z4q9vT&#10;pYqN4BIXMtTQxjhkUoa6JYth7gdy7H350WJkOTbSjHjlctvLpyRZSYud4w8tDvTWUv1dna2G8vhM&#10;6V7tttvpsNilpnqPJZLWjw/T6wuISFP8C8MNn9GhYKaTPzsTRK9hppIlRzXwoput1moB4sTXar1U&#10;IItc/p9Q/AIAAP//AwBQSwECLQAUAAYACAAAACEAtoM4kv4AAADhAQAAEwAAAAAAAAAAAAAAAAAA&#10;AAAAW0NvbnRlbnRfVHlwZXNdLnhtbFBLAQItABQABgAIAAAAIQA4/SH/1gAAAJQBAAALAAAAAAAA&#10;AAAAAAAAAC8BAABfcmVscy8ucmVsc1BLAQItABQABgAIAAAAIQD+SAj5rAIAALcFAAAOAAAAAAAA&#10;AAAAAAAAAC4CAABkcnMvZTJvRG9jLnhtbFBLAQItABQABgAIAAAAIQBzrBQv3gAAAAoBAAAPAAAA&#10;AAAAAAAAAAAAAAYFAABkcnMvZG93bnJldi54bWxQSwUGAAAAAAQABADzAAAAEQYAAAAA&#10;" fillcolor="#0079c1 [3215]" stroked="f" strokeweight="2pt">
                <v:path arrowok="t"/>
                <w10:wrap anchorx="page" anchory="page"/>
              </v:rect>
            </w:pict>
          </mc:Fallback>
        </mc:AlternateContent>
      </w:r>
      <w:bookmarkStart w:id="193" w:name="_Ref490033835"/>
      <w:bookmarkStart w:id="194" w:name="_Ref490033843"/>
    </w:p>
    <w:bookmarkStart w:id="195" w:name="_Ref490131374"/>
    <w:bookmarkStart w:id="196" w:name="_Toc490481643"/>
    <w:p w14:paraId="53B3F1A2" w14:textId="77777777" w:rsidR="00054340" w:rsidRPr="002D5EE1" w:rsidRDefault="00B36A43" w:rsidP="00283E1C">
      <w:pPr>
        <w:pStyle w:val="Heading7"/>
      </w:pPr>
      <w:r w:rsidRPr="002D5EE1">
        <w:rPr>
          <w:noProof/>
          <w:lang w:val="en-AU"/>
        </w:rPr>
        <mc:AlternateContent>
          <mc:Choice Requires="wps">
            <w:drawing>
              <wp:anchor distT="0" distB="0" distL="114300" distR="114300" simplePos="0" relativeHeight="251652096" behindDoc="1" locked="0" layoutInCell="1" allowOverlap="1" wp14:anchorId="178F12AF" wp14:editId="0A066A35">
                <wp:simplePos x="0" y="0"/>
                <wp:positionH relativeFrom="page">
                  <wp:align>left</wp:align>
                </wp:positionH>
                <wp:positionV relativeFrom="page">
                  <wp:align>top</wp:align>
                </wp:positionV>
                <wp:extent cx="7560310" cy="10763885"/>
                <wp:effectExtent l="0" t="0" r="2540" b="0"/>
                <wp:wrapNone/>
                <wp:docPr id="16" name="Rectangle 16" title="&quot; &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7638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4F478" id="Rectangle 16" o:spid="_x0000_s1026" alt="Title: &quot; &quot;" style="position:absolute;margin-left:0;margin-top:0;width:595.3pt;height:847.55pt;z-index:-2516643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8/KrgIAALcFAAAOAAAAZHJzL2Uyb0RvYy54bWysVN9P2zAQfp+0/8Hyw95GkkILy0hRxcQ0&#10;qQIETDwbx26iOT5ju027v35nOykdQ3uY1ofU5/vuux++u/OLbafIRljXgq5ocZRTIjSHutWrin5/&#10;uPp4RonzTNdMgRYV3QlHL+bv3533phQTaEDVwhIk0a7sTUUb702ZZY43omPuCIzQqJRgO+ZRtKus&#10;tqxH9k5lkzyfZT3Y2ljgwjm8/ZKUdB75pRTc30jphCeqohibj18bv0/hm83PWbmyzDQtH8Jg/xBF&#10;x1qNTvdUX5hnZG3bP6i6lltwIP0Rhy4DKVsuYg6YTZG/yua+YUbEXLA4zuzL5P4fLb/e3FrS1vh2&#10;M0o06/CN7rBqTK+UIOHOt17h5YfnNfjPJP2FsvXGlWh9b25tSNyZJfAfDhXZb5oguAGzlbYLWEyb&#10;bOMb7PZvILaecLw8nc7y4wKfiqOuyE9nx2dn0+AvY+Vob6zzXwV0JBwqajHeWHy2WTqfoCMkhgaq&#10;ra9apaIQOktcKks2DHvCbycDuTtEKR2wGoJVIgw3MbOUTEzL75QIOKXvhMQiYviTGEhs3xcnjHOh&#10;fZFUDatF8j3N8Td6H8OKiUbCwCzR/557IBiRiWTkTlEO+GAqYvfvjfO/BZaM9xbRM2i/N+5aDfYt&#10;AoVZDZ4TfixSKk2o0hPUO2wxC2n2nOFXLT7bkjl/yywOG741LhB/gx+poK8oDCdKGrA/37oPeJwB&#10;1FLS4/BW1D2vmRWUqG8ap+NTcXISpj0KJ9PTCQr2UPN0qNHr7hKwFwpcVYbHY8B7NR6lhe4R98wi&#10;eEUV0xx9V5R7OwqXPi0V3FRcLBYRhhNumF/qe8MDeahqaMuH7SOzZuhdj31/DeOgs/JVCydssNSw&#10;WHuQbezvl7oO9cbtEBtn2GRh/RzKEfWyb+e/AAAA//8DAFBLAwQUAAYACAAAACEAgQxhttwAAAAH&#10;AQAADwAAAGRycy9kb3ducmV2LnhtbEyPQU/DMAyF75P2HyIjcdvSgihdaTpNSN0RbYVpV68xbUXj&#10;VE22lX9PxgUu1rOe9d7nfD2ZXlxodJ1lBfEyAkFcW91xo+DjvVykIJxH1thbJgXf5GBdzGc5Ztpe&#10;eU+XyjcihLDLUEHr/ZBJ6eqWDLqlHYiD92lHgz6sYyP1iNcQbnr5EEWJNNhxaGhxoNeW6q/qbBSU&#10;x2dK9/Fuu50Oj7tUV2++RFLq/m7avIDwNPm/Y7jhB3QoAtPJnlk70SsIj/jfefPiVZSAOAWVrJ5i&#10;kEUu//MXPwAAAP//AwBQSwECLQAUAAYACAAAACEAtoM4kv4AAADhAQAAEwAAAAAAAAAAAAAAAAAA&#10;AAAAW0NvbnRlbnRfVHlwZXNdLnhtbFBLAQItABQABgAIAAAAIQA4/SH/1gAAAJQBAAALAAAAAAAA&#10;AAAAAAAAAC8BAABfcmVscy8ucmVsc1BLAQItABQABgAIAAAAIQB7R8/KrgIAALcFAAAOAAAAAAAA&#10;AAAAAAAAAC4CAABkcnMvZTJvRG9jLnhtbFBLAQItABQABgAIAAAAIQCBDGG23AAAAAcBAAAPAAAA&#10;AAAAAAAAAAAAAAgFAABkcnMvZG93bnJldi54bWxQSwUGAAAAAAQABADzAAAAEQYAAAAA&#10;" fillcolor="#0079c1 [3215]" stroked="f" strokeweight="2pt">
                <v:path arrowok="t"/>
                <w10:wrap anchorx="page" anchory="page"/>
              </v:rect>
            </w:pict>
          </mc:Fallback>
        </mc:AlternateContent>
      </w:r>
      <w:r w:rsidR="00E66DE5" w:rsidRPr="002D5EE1">
        <w:t xml:space="preserve">Key </w:t>
      </w:r>
      <w:r w:rsidR="00D34B29" w:rsidRPr="002D5EE1">
        <w:t>considerations and support needs in ICA</w:t>
      </w:r>
      <w:bookmarkEnd w:id="193"/>
      <w:bookmarkEnd w:id="194"/>
      <w:bookmarkEnd w:id="195"/>
      <w:bookmarkEnd w:id="196"/>
    </w:p>
    <w:p w14:paraId="3949AA65" w14:textId="77777777" w:rsidR="00331334" w:rsidRDefault="00331334">
      <w:r>
        <w:br w:type="page"/>
      </w:r>
    </w:p>
    <w:p w14:paraId="5A1AB6A9" w14:textId="77777777" w:rsidR="00126818" w:rsidRDefault="00D34B29" w:rsidP="00283E1C">
      <w:pPr>
        <w:pStyle w:val="Heading8"/>
      </w:pPr>
      <w:r>
        <w:lastRenderedPageBreak/>
        <w:t>Background</w:t>
      </w:r>
    </w:p>
    <w:p w14:paraId="4DDE66A8" w14:textId="77777777" w:rsidR="00D34B29" w:rsidRPr="00D34B29" w:rsidRDefault="00D34B29" w:rsidP="00D34B29">
      <w:pPr>
        <w:pStyle w:val="Paragraph"/>
      </w:pPr>
      <w:r w:rsidRPr="00D34B29">
        <w:t xml:space="preserve">To inform the evaluation of the </w:t>
      </w:r>
      <w:r w:rsidR="0036036C">
        <w:t>ICA</w:t>
      </w:r>
      <w:r w:rsidRPr="00D34B29">
        <w:t xml:space="preserve"> Australia (IAA) service, a brief literature and web scan was undertaken to identify key challenges and considerations relating to </w:t>
      </w:r>
      <w:r w:rsidR="0036036C">
        <w:t>ICA</w:t>
      </w:r>
      <w:r w:rsidRPr="00D34B29">
        <w:t xml:space="preserve"> (ICA), as well as the information and support needs of potential and actual ICA clients.  </w:t>
      </w:r>
    </w:p>
    <w:p w14:paraId="68151F22" w14:textId="77777777" w:rsidR="00D34B29" w:rsidRDefault="00D34B29" w:rsidP="00D34B29">
      <w:pPr>
        <w:pStyle w:val="Paragraph"/>
      </w:pPr>
      <w:r w:rsidRPr="00D34B29">
        <w:t>The results of the scan are summarised in this appendix.</w:t>
      </w:r>
    </w:p>
    <w:p w14:paraId="0D584EF8" w14:textId="77777777" w:rsidR="00D34B29" w:rsidRDefault="00D34B29" w:rsidP="00283E1C">
      <w:pPr>
        <w:pStyle w:val="Heading8"/>
      </w:pPr>
      <w:r>
        <w:t>Introduction</w:t>
      </w:r>
    </w:p>
    <w:p w14:paraId="0FDA3DFD" w14:textId="72290E9A" w:rsidR="00D34B29" w:rsidRPr="00D9183C" w:rsidRDefault="00863490" w:rsidP="00D34B29">
      <w:pPr>
        <w:pStyle w:val="Paragraph"/>
      </w:pPr>
      <w:r w:rsidRPr="00D9183C">
        <w:rPr>
          <w:lang w:eastAsia="en-AU"/>
        </w:rPr>
        <w:fldChar w:fldCharType="begin" w:fldLock="1"/>
      </w:r>
      <w:r w:rsidR="004C7063">
        <w:rPr>
          <w:lang w:eastAsia="en-AU"/>
        </w:rPr>
        <w:instrText>ADDIN CSL_CITATION { "citationItems" : [ { "id" : "ITEM-1", "itemData" : { "DOI" : "10.1111/j.1467-6443.2010.01376.x", "ISSN" : "09521909", "PMID" : "20845588", "abstract" : "This paper brings historical perspectives to bear on the ambivalent and contradictory position of adoption in Australian public policy. It examines the divergent histories of Australian domestic and intercountry adoption (ICA) since the mid-1970s and the impact of these histories on adoption policy in Australia. It identifies tendencies in contemporary ICA to repeat elements of pre-reform era domestic adoption. In particular, it is argued that the resistance of ICA to the move to openness in local adoption has been an unacknowledged driver of ICA for many Australian families. We offer corrective readings of the rise of ICA in relation to domestic adoption and conclude by offering alternatives for adoption policy which better align the two kinds of adoption, focusing on the needs of children, as distinct from the desires of adults.", "author" : [ { "dropping-particle" : "", "family" : "Cuthbert", "given" : "Denise", "non-dropping-particle" : "", "parse-names" : false, "suffix" : "" }, { "dropping-particle" : "", "family" : "Spark", "given" : "Ceridwen", "non-dropping-particle" : "", "parse-names" : false, "suffix" : "" }, { "dropping-particle" : "", "family" : "Murphy", "given" : "Kate", "non-dropping-particle" : "", "parse-names" : false, "suffix" : "" } ], "container-title" : "Journal of Historical Sociology", "id" : "ITEM-1", "issue" : "3", "issued" : { "date-parts" : [ [ "2010" ] ] }, "page" : "427-452", "title" : "\u201cThat was Then, but This is Now\u201d: Historical Perspectives on Intercountry Adoption and Domestic Child Adoption in Australian Public Policy", "type" : "article-journal", "volume" : "23" }, "uris" : [ "http://www.mendeley.com/documents/?uuid=b87fdbf4-384a-4df0-b5e4-b1915f04c127", "http://www.mendeley.com/documents/?uuid=217dd373-00db-4f48-a3f0-7169d817b577" ] } ], "mendeley" : { "formattedCitation" : "(Cuthbert et al. 2010b)", "manualFormatting" : "As Cuthbert et al. (2010)", "plainTextFormattedCitation" : "(Cuthbert et al. 2010b)", "previouslyFormattedCitation" : "(Cuthbert et al. 2010b)" }, "properties" : { "noteIndex" : 0 }, "schema" : "https://github.com/citation-style-language/schema/raw/master/csl-citation.json" }</w:instrText>
      </w:r>
      <w:r w:rsidRPr="00D9183C">
        <w:rPr>
          <w:lang w:eastAsia="en-AU"/>
        </w:rPr>
        <w:fldChar w:fldCharType="separate"/>
      </w:r>
      <w:r w:rsidR="00D34B29" w:rsidRPr="00D9183C">
        <w:rPr>
          <w:noProof/>
          <w:lang w:eastAsia="en-AU"/>
        </w:rPr>
        <w:t>As Cuthbert et al. (2010)</w:t>
      </w:r>
      <w:r w:rsidRPr="00D9183C">
        <w:rPr>
          <w:lang w:eastAsia="en-AU"/>
        </w:rPr>
        <w:fldChar w:fldCharType="end"/>
      </w:r>
      <w:r w:rsidR="00D34B29" w:rsidRPr="00D9183C">
        <w:rPr>
          <w:lang w:eastAsia="en-AU"/>
        </w:rPr>
        <w:t xml:space="preserve"> point out</w:t>
      </w:r>
      <w:r w:rsidR="00914083" w:rsidRPr="00D9183C">
        <w:rPr>
          <w:lang w:eastAsia="en-AU"/>
        </w:rPr>
        <w:t>: “</w:t>
      </w:r>
      <w:r w:rsidR="00D34B29" w:rsidRPr="00D9183C">
        <w:rPr>
          <w:lang w:eastAsia="en-AU"/>
        </w:rPr>
        <w:t>Adoption has always been ambiguously situated between being understood primarily as a mechanism by which children in need of family may be placed with caring parents, and one by which the interests of adults in need of children to form a family may be served</w:t>
      </w:r>
      <w:r w:rsidR="008E36B1">
        <w:rPr>
          <w:lang w:eastAsia="en-AU"/>
        </w:rPr>
        <w:t>”</w:t>
      </w:r>
      <w:r w:rsidR="00D34B29" w:rsidRPr="00D9183C">
        <w:rPr>
          <w:lang w:eastAsia="en-AU"/>
        </w:rPr>
        <w:t xml:space="preserve">.  This ambiguity highlights the two distinct stakeholder groups in the adoption arrangement, parents and children, whose needs and expectations warrant acknowledgement particularly in the ICA context.  </w:t>
      </w:r>
    </w:p>
    <w:p w14:paraId="4288C7BC" w14:textId="77777777" w:rsidR="00D34B29" w:rsidRPr="00D9183C" w:rsidRDefault="00D34B29" w:rsidP="00D34B29">
      <w:pPr>
        <w:pStyle w:val="Paragraph"/>
      </w:pPr>
      <w:r w:rsidRPr="00D9183C">
        <w:t xml:space="preserve">The 2014 Australian Interdepartmental Committee (IDC) report on ICA recommended that there be an “increased focus on better support for prospective adoptive parents throughout the process of adoption even if it is not possible to substantially impact the rate of adoption” </w:t>
      </w:r>
      <w:r w:rsidR="00863490" w:rsidRPr="00D9183C">
        <w:fldChar w:fldCharType="begin" w:fldLock="1"/>
      </w:r>
      <w:r w:rsidRPr="00D9183C">
        <w:instrText>ADDIN CSL_CITATION { "citationItems" : [ { "id" : "ITEM-1", "itemData" : { "author" : [ { "dropping-particle" : "", "family" : "Department of the Prime Minister and Cabinet", "given" : "", "non-dropping-particle" : "", "parse-names" : false, "suffix" : "" } ], "id" : "ITEM-1", "issued" : { "date-parts" : [ [ "2014" ] ] }, "title" : "Report of the Interdepartmental Committee on Intercountry Adoption", "type" : "report" }, "uris" : [ "http://www.mendeley.com/documents/?uuid=330ffba5-453a-408b-b602-2fc19a74a927" ] } ], "mendeley" : { "formattedCitation" : "(Department of the Prime Minister and Cabinet 2014)", "manualFormatting" : "(Department of the Prime Minister and Cabinet, 2014, p. 17)", "plainTextFormattedCitation" : "(Department of the Prime Minister and Cabinet 2014)", "previouslyFormattedCitation" : "(Department of the Prime Minister and Cabinet 2014)" }, "properties" : { "noteIndex" : 0 }, "schema" : "https://github.com/citation-style-language/schema/raw/master/csl-citation.json" }</w:instrText>
      </w:r>
      <w:r w:rsidR="00863490" w:rsidRPr="00D9183C">
        <w:fldChar w:fldCharType="separate"/>
      </w:r>
      <w:r w:rsidRPr="00D9183C">
        <w:rPr>
          <w:noProof/>
        </w:rPr>
        <w:t>(Department of the Prime Minister and Cabinet, 2014, p. 17)</w:t>
      </w:r>
      <w:r w:rsidR="00863490" w:rsidRPr="00D9183C">
        <w:fldChar w:fldCharType="end"/>
      </w:r>
      <w:r w:rsidRPr="00D9183C">
        <w:t xml:space="preserve">.  </w:t>
      </w:r>
    </w:p>
    <w:p w14:paraId="14635350" w14:textId="77777777" w:rsidR="00D34B29" w:rsidRDefault="00D34B29" w:rsidP="00D34B29">
      <w:pPr>
        <w:pStyle w:val="Paragraph"/>
      </w:pPr>
      <w:r w:rsidRPr="00D9183C">
        <w:t>Appropriate and adequate preparation and relevant expectation-setting for prospective ICA parents is required under the Hague Convention, and may involve counselling (both pre- and post-adoption ‘as necessary’), training and education</w:t>
      </w:r>
      <w:r w:rsidR="00B23E23">
        <w:t>—</w:t>
      </w:r>
      <w:r w:rsidRPr="00D9183C">
        <w:t xml:space="preserve">although how this is achieved varies </w:t>
      </w:r>
      <w:r w:rsidR="00863490" w:rsidRPr="00D9183C">
        <w:fldChar w:fldCharType="begin" w:fldLock="1"/>
      </w:r>
      <w:r w:rsidRPr="00D9183C">
        <w:instrText>ADDIN CSL_CITATION { "citationItems" : [ { "id" : "ITEM-1", "itemData" : { "author" : [ { "dropping-particle" : "", "family" : "Hague Conference on Private International Law (HCCH)", "given" : "", "non-dropping-particle" : "", "parse-names" : false, "suffix" : "" } ], "id" : "ITEM-1", "issued" : { "date-parts" : [ [ "2008" ] ] }, "publisher" : "Family Law", "publisher-place" : "Bristol", "title" : "The implementation and operation of the 1993 Hague intercountry adoption convention: Guide to Good Practice", "type" : "book" }, "uris" : [ "http://www.mendeley.com/documents/?uuid=80258b86-1c7d-4bb9-ab32-6bdfb3f6374f" ] } ], "mendeley" : { "formattedCitation" : "(Hague Conference on Private International Law (HCCH) 2008)", "plainTextFormattedCitation" : "(Hague Conference on Private International Law (HCCH) 2008)", "previouslyFormattedCitation" : "(Hague Conference on Private International Law (HCCH) 2008)" }, "properties" : { "noteIndex" : 0 }, "schema" : "https://github.com/citation-style-language/schema/raw/master/csl-citation.json" }</w:instrText>
      </w:r>
      <w:r w:rsidR="00863490" w:rsidRPr="00D9183C">
        <w:fldChar w:fldCharType="separate"/>
      </w:r>
      <w:r w:rsidRPr="00D9183C">
        <w:rPr>
          <w:noProof/>
        </w:rPr>
        <w:t>(Hague Conference on Private International Law (HCCH) 2008)</w:t>
      </w:r>
      <w:r w:rsidR="00863490" w:rsidRPr="00D9183C">
        <w:fldChar w:fldCharType="end"/>
      </w:r>
      <w:r w:rsidRPr="00D9183C">
        <w:t xml:space="preserve">.  Good preparation has been associated with satisfaction; and lower risk of medical, psychological, and developmental challenges </w:t>
      </w:r>
      <w:r w:rsidR="00863490" w:rsidRPr="00D9183C">
        <w:fldChar w:fldCharType="begin" w:fldLock="1"/>
      </w:r>
      <w:r w:rsidRPr="00D9183C">
        <w:instrText>ADDIN CSL_CITATION { "citationItems" : [ { "id" : "ITEM-1", "itemData" : { "abstract" : "Intercountry adoption offers both benefits and challenges for people wishing to become adoptive parents. Survey data from 326 U.S. families with intercountry adoptees were gathered to assess parental preparation for the adoption process, satisfaction with their adoption services, and participation in activities that correspond to the adopted child's birth culture. Findings indicated that preparation was positively associated with satisfaction and negatively associated with medical, psychological, and developmental challenges. In addition, family involvement in cultural activities was positively associated with preparation and negatively associated with medical, psychological, and developmental challenges. Implications are discussed for social workers and other professionals involved in adoption-related activities.", "author" : [ { "dropping-particle" : "", "family" : "Paulsen", "given" : "Charlotte", "non-dropping-particle" : "", "parse-names" : false, "suffix" : "" }, { "dropping-particle" : "", "family" : "Merighi", "given" : "Joseph R", "non-dropping-particle" : "", "parse-names" : false, "suffix" : "" } ], "container-title" : "Adoption Quarterly", "id" : "ITEM-1", "issue" : "1", "issued" : { "date-parts" : [ [ "2009" ] ] }, "page" : "1-18", "title" : "Adoption preparedness, cultural engagement, and parental satisfaction in intercountry adoption", "type" : "article-journal", "volume" : "12" }, "uris" : [ "http://www.mendeley.com/documents/?uuid=40100d2a-ad71-4cae-9bde-5624a1f5df01" ] } ], "mendeley" : { "formattedCitation" : "(Paulsen &amp; Merighi 2009)", "plainTextFormattedCitation" : "(Paulsen &amp; Merighi 2009)", "previouslyFormattedCitation" : "(Paulsen &amp; Merighi 2009)" }, "properties" : { "noteIndex" : 0 }, "schema" : "https://github.com/citation-style-language/schema/raw/master/csl-citation.json" }</w:instrText>
      </w:r>
      <w:r w:rsidR="00863490" w:rsidRPr="00D9183C">
        <w:fldChar w:fldCharType="separate"/>
      </w:r>
      <w:r w:rsidRPr="00D9183C">
        <w:rPr>
          <w:noProof/>
        </w:rPr>
        <w:t>(Paulsen &amp; Merighi 2009)</w:t>
      </w:r>
      <w:r w:rsidR="00863490" w:rsidRPr="00D9183C">
        <w:fldChar w:fldCharType="end"/>
      </w:r>
      <w:r w:rsidRPr="00D9183C">
        <w:t>.</w:t>
      </w:r>
    </w:p>
    <w:p w14:paraId="417FD9A3" w14:textId="77777777" w:rsidR="00453E67" w:rsidRDefault="00453E67" w:rsidP="00283E1C">
      <w:pPr>
        <w:pStyle w:val="Heading8"/>
      </w:pPr>
      <w:r>
        <w:t xml:space="preserve">Process related challenges </w:t>
      </w:r>
    </w:p>
    <w:p w14:paraId="60CD172F" w14:textId="77777777" w:rsidR="00C2196B" w:rsidRPr="00C2196B" w:rsidRDefault="00C2196B" w:rsidP="00B811BE">
      <w:pPr>
        <w:pStyle w:val="Paragraph"/>
        <w:rPr>
          <w:lang w:eastAsia="en-AU"/>
        </w:rPr>
      </w:pPr>
      <w:r w:rsidRPr="00C2196B">
        <w:rPr>
          <w:lang w:eastAsia="en-AU"/>
        </w:rPr>
        <w:t xml:space="preserve">The Hague Conference on Private International Law notes the importance of (and challenges associated with) defined roles, responsibilities and communications between a large number of organisations and authorities involved in ICA.  These issues are further compounded in countries with a federal structure </w:t>
      </w:r>
      <w:r w:rsidR="00863490" w:rsidRPr="00C2196B">
        <w:rPr>
          <w:lang w:eastAsia="en-AU"/>
        </w:rPr>
        <w:fldChar w:fldCharType="begin" w:fldLock="1"/>
      </w:r>
      <w:r w:rsidRPr="00C2196B">
        <w:rPr>
          <w:lang w:eastAsia="en-AU"/>
        </w:rPr>
        <w:instrText>ADDIN CSL_CITATION { "citationItems" : [ { "id" : "ITEM-1", "itemData" : { "author" : [ { "dropping-particle" : "", "family" : "Hague Conference on Private International Law (HCCH)", "given" : "", "non-dropping-particle" : "", "parse-names" : false, "suffix" : "" } ], "id" : "ITEM-1", "issued" : { "date-parts" : [ [ "2008" ] ] }, "publisher" : "Family Law", "publisher-place" : "Bristol", "title" : "The implementation and operation of the 1993 Hague intercountry adoption convention: Guide to Good Practice", "type" : "book" }, "uris" : [ "http://www.mendeley.com/documents/?uuid=80258b86-1c7d-4bb9-ab32-6bdfb3f6374f" ] } ], "mendeley" : { "formattedCitation" : "(Hague Conference on Private International Law (HCCH) 2008)", "plainTextFormattedCitation" : "(Hague Conference on Private International Law (HCCH) 2008)", "previouslyFormattedCitation" : "(Hague Conference on Private International Law (HCCH) 2008)" }, "properties" : { "noteIndex" : 0 }, "schema" : "https://github.com/citation-style-language/schema/raw/master/csl-citation.json" }</w:instrText>
      </w:r>
      <w:r w:rsidR="00863490" w:rsidRPr="00C2196B">
        <w:rPr>
          <w:lang w:eastAsia="en-AU"/>
        </w:rPr>
        <w:fldChar w:fldCharType="separate"/>
      </w:r>
      <w:r w:rsidRPr="00C2196B">
        <w:rPr>
          <w:noProof/>
          <w:lang w:eastAsia="en-AU"/>
        </w:rPr>
        <w:t>(Hague Conference on Private International Law (HCCH) 2008)</w:t>
      </w:r>
      <w:r w:rsidR="00863490" w:rsidRPr="00C2196B">
        <w:rPr>
          <w:lang w:eastAsia="en-AU"/>
        </w:rPr>
        <w:fldChar w:fldCharType="end"/>
      </w:r>
      <w:r w:rsidRPr="00C2196B">
        <w:rPr>
          <w:lang w:eastAsia="en-AU"/>
        </w:rPr>
        <w:t>.</w:t>
      </w:r>
    </w:p>
    <w:p w14:paraId="36FF3F2A" w14:textId="77777777" w:rsidR="00C2196B" w:rsidRPr="00C2196B" w:rsidRDefault="00C2196B" w:rsidP="00B811BE">
      <w:pPr>
        <w:pStyle w:val="Paragraph"/>
      </w:pPr>
      <w:r w:rsidRPr="00C2196B">
        <w:t>The impediments to ICA in Australia identified in the IDC report include:</w:t>
      </w:r>
    </w:p>
    <w:p w14:paraId="792706F8" w14:textId="1DEC4F34" w:rsidR="00C2196B" w:rsidRPr="00C2196B" w:rsidRDefault="00C2196B" w:rsidP="00B811BE">
      <w:pPr>
        <w:pStyle w:val="Bullet1"/>
      </w:pPr>
      <w:r w:rsidRPr="00C2196B">
        <w:t>The small number of countries with which Australia has an ICA program</w:t>
      </w:r>
    </w:p>
    <w:p w14:paraId="69435AB1" w14:textId="77777777" w:rsidR="00C2196B" w:rsidRPr="00C2196B" w:rsidRDefault="00C2196B" w:rsidP="00B811BE">
      <w:pPr>
        <w:pStyle w:val="Bullet1"/>
      </w:pPr>
      <w:r w:rsidRPr="00C2196B">
        <w:t>The cost, waiting time and uncertainty of the process, related to both Australian and international processes</w:t>
      </w:r>
    </w:p>
    <w:p w14:paraId="57FB2937" w14:textId="77777777" w:rsidR="00C2196B" w:rsidRPr="00C2196B" w:rsidRDefault="00C2196B" w:rsidP="00B811BE">
      <w:pPr>
        <w:pStyle w:val="Bullet1"/>
      </w:pPr>
      <w:r w:rsidRPr="00C2196B">
        <w:t xml:space="preserve">The requirements imposed and quality of the administration of ICA processes by STCAs </w:t>
      </w:r>
    </w:p>
    <w:p w14:paraId="596918EB" w14:textId="77777777" w:rsidR="00C2196B" w:rsidRPr="00C2196B" w:rsidRDefault="00C2196B" w:rsidP="00B811BE">
      <w:pPr>
        <w:pStyle w:val="Bullet1"/>
      </w:pPr>
      <w:r w:rsidRPr="00C2196B">
        <w:t xml:space="preserve">The (low) standard of post-adoption services </w:t>
      </w:r>
      <w:r w:rsidR="00863490" w:rsidRPr="00C2196B">
        <w:fldChar w:fldCharType="begin" w:fldLock="1"/>
      </w:r>
      <w:r w:rsidRPr="00C2196B">
        <w:instrText>ADDIN CSL_CITATION { "citationItems" : [ { "id" : "ITEM-1", "itemData" : { "author" : [ { "dropping-particle" : "", "family" : "Department of the Prime Minister and Cabinet", "given" : "", "non-dropping-particle" : "", "parse-names" : false, "suffix" : "" } ], "id" : "ITEM-1", "issued" : { "date-parts" : [ [ "2014" ] ] }, "title" : "Report of the Interdepartmental Committee on Intercountry Adoption", "type" : "report" }, "uris" : [ "http://www.mendeley.com/documents/?uuid=330ffba5-453a-408b-b602-2fc19a74a927" ] } ], "mendeley" : { "formattedCitation" : "(Department of the Prime Minister and Cabinet 2014)", "plainTextFormattedCitation" : "(Department of the Prime Minister and Cabinet 2014)", "previouslyFormattedCitation" : "(Department of the Prime Minister and Cabinet 2014)" }, "properties" : { "noteIndex" : 0 }, "schema" : "https://github.com/citation-style-language/schema/raw/master/csl-citation.json" }</w:instrText>
      </w:r>
      <w:r w:rsidR="00863490" w:rsidRPr="00C2196B">
        <w:fldChar w:fldCharType="separate"/>
      </w:r>
      <w:r w:rsidRPr="00C2196B">
        <w:rPr>
          <w:noProof/>
        </w:rPr>
        <w:t>(Department of the Prime Minister and Cabinet 2014)</w:t>
      </w:r>
      <w:r w:rsidR="00863490" w:rsidRPr="00C2196B">
        <w:fldChar w:fldCharType="end"/>
      </w:r>
      <w:r w:rsidRPr="00C2196B">
        <w:t>.</w:t>
      </w:r>
    </w:p>
    <w:p w14:paraId="2FEDC577" w14:textId="77777777" w:rsidR="00C2196B" w:rsidRPr="00C2196B" w:rsidRDefault="00C2196B" w:rsidP="00B811BE">
      <w:pPr>
        <w:pStyle w:val="Paragraph"/>
      </w:pPr>
      <w:r w:rsidRPr="00C2196B">
        <w:t xml:space="preserve">There is a perception that adoption (particularly </w:t>
      </w:r>
      <w:r w:rsidR="0036036C">
        <w:t>ICA</w:t>
      </w:r>
      <w:r w:rsidRPr="00C2196B">
        <w:t xml:space="preserve">) in Australia is a lengthy and costly process </w:t>
      </w:r>
      <w:r w:rsidR="00863490" w:rsidRPr="00C2196B">
        <w:fldChar w:fldCharType="begin" w:fldLock="1"/>
      </w:r>
      <w:r w:rsidRPr="00C2196B">
        <w:instrText>ADDIN CSL_CITATION { "citationItems" : [ { "id" : "ITEM-1", "itemData" : { "URL" : "http://www.adoptchange.org.au/Assets/714/1/FINAL-AdoptChange-ResearchAugust2015.pdf", "accessed" : { "date-parts" : [ [ "2016", "7", "20" ] ] }, "author" : [ { "dropping-particle" : "", "family" : "Adopt Change", "given" : "", "non-dropping-particle" : "", "parse-names" : false, "suffix" : "" } ], "id" : "ITEM-1", "issued" : { "date-parts" : [ [ "2015" ] ] }, "title" : "Modern families: Attitudes and perceptions of adoption in Australia", "type" : "webpage" }, "uris" : [ "http://www.mendeley.com/documents/?uuid=5fb298b6-e60f-4afd-921e-5b780e66b00d" ] } ], "mendeley" : { "formattedCitation" : "(Adopt Change 2015)", "plainTextFormattedCitation" : "(Adopt Change 2015)", "previouslyFormattedCitation" : "(Adopt Change 2015)" }, "properties" : { "noteIndex" : 0 }, "schema" : "https://github.com/citation-style-language/schema/raw/master/csl-citation.json" }</w:instrText>
      </w:r>
      <w:r w:rsidR="00863490" w:rsidRPr="00C2196B">
        <w:fldChar w:fldCharType="separate"/>
      </w:r>
      <w:r w:rsidRPr="00C2196B">
        <w:rPr>
          <w:noProof/>
        </w:rPr>
        <w:t>(Adopt Change 2015)</w:t>
      </w:r>
      <w:r w:rsidR="00863490" w:rsidRPr="00C2196B">
        <w:fldChar w:fldCharType="end"/>
      </w:r>
      <w:r w:rsidRPr="00C2196B">
        <w:t xml:space="preserve">.  In addition, the Report of the Interdepartmental Committee on </w:t>
      </w:r>
      <w:r w:rsidR="0036036C">
        <w:t>ICA</w:t>
      </w:r>
      <w:r w:rsidRPr="00C2196B">
        <w:t xml:space="preserve"> identified the following challenges:</w:t>
      </w:r>
    </w:p>
    <w:p w14:paraId="4FBD34C1" w14:textId="77777777" w:rsidR="00C2196B" w:rsidRPr="00C2196B" w:rsidRDefault="00C2196B" w:rsidP="00B811BE">
      <w:pPr>
        <w:pStyle w:val="Bullet1"/>
      </w:pPr>
      <w:r w:rsidRPr="00C2196B">
        <w:lastRenderedPageBreak/>
        <w:t xml:space="preserve">The </w:t>
      </w:r>
      <w:r w:rsidR="00D62F44">
        <w:t>Commonwealth</w:t>
      </w:r>
      <w:r w:rsidRPr="00C2196B">
        <w:t xml:space="preserve">’s approach to selecting </w:t>
      </w:r>
      <w:r w:rsidR="0036036C">
        <w:t>ICA</w:t>
      </w:r>
      <w:r w:rsidRPr="00C2196B">
        <w:t xml:space="preserve"> partner countries</w:t>
      </w:r>
    </w:p>
    <w:p w14:paraId="289DB7BE" w14:textId="77777777" w:rsidR="00C2196B" w:rsidRPr="00C2196B" w:rsidRDefault="00C2196B" w:rsidP="00B811BE">
      <w:pPr>
        <w:pStyle w:val="Bullet1"/>
      </w:pPr>
      <w:r w:rsidRPr="00C2196B">
        <w:t xml:space="preserve">The current </w:t>
      </w:r>
      <w:r w:rsidR="00D62F44">
        <w:t>Commonwealth</w:t>
      </w:r>
      <w:r w:rsidRPr="00C2196B">
        <w:t xml:space="preserve">/state model of regulating </w:t>
      </w:r>
      <w:r w:rsidR="0036036C">
        <w:t>ICA</w:t>
      </w:r>
      <w:r w:rsidRPr="00C2196B">
        <w:t xml:space="preserve"> and the lack of nationally consistent laws, policies and procedures</w:t>
      </w:r>
    </w:p>
    <w:p w14:paraId="459EAF84" w14:textId="77777777" w:rsidR="00C2196B" w:rsidRPr="00C2196B" w:rsidRDefault="00C2196B" w:rsidP="00B811BE">
      <w:pPr>
        <w:pStyle w:val="Bullet1"/>
      </w:pPr>
      <w:r w:rsidRPr="00C2196B">
        <w:t>The quality of States’ and Territories’ administration and level of support provided to prospective adoptive parents</w:t>
      </w:r>
    </w:p>
    <w:p w14:paraId="73C03D55" w14:textId="77777777" w:rsidR="00C2196B" w:rsidRPr="00C2196B" w:rsidRDefault="00C2196B" w:rsidP="00B811BE">
      <w:pPr>
        <w:pStyle w:val="Bullet1"/>
      </w:pPr>
      <w:r w:rsidRPr="00C2196B">
        <w:t xml:space="preserve">The standard of post-adoption support services </w:t>
      </w:r>
      <w:r w:rsidR="00863490" w:rsidRPr="00C2196B">
        <w:fldChar w:fldCharType="begin" w:fldLock="1"/>
      </w:r>
      <w:r w:rsidRPr="00C2196B">
        <w:instrText>ADDIN CSL_CITATION { "citationItems" : [ { "id" : "ITEM-1", "itemData" : { "author" : [ { "dropping-particle" : "", "family" : "Department of the Prime Minister and Cabinet", "given" : "", "non-dropping-particle" : "", "parse-names" : false, "suffix" : "" } ], "id" : "ITEM-1", "issued" : { "date-parts" : [ [ "2014" ] ] }, "title" : "Report of the Interdepartmental Committee on Intercountry Adoption", "type" : "report" }, "uris" : [ "http://www.mendeley.com/documents/?uuid=4c4bcbce-ce75-4fea-8aa7-c079507828c7" ] } ], "mendeley" : { "formattedCitation" : "(Department of the Prime Minister and Cabinet 2014)", "plainTextFormattedCitation" : "(Department of the Prime Minister and Cabinet 2014)", "previouslyFormattedCitation" : "(Department of the Prime Minister and Cabinet 2014)" }, "properties" : { "noteIndex" : 0 }, "schema" : "https://github.com/citation-style-language/schema/raw/master/csl-citation.json" }</w:instrText>
      </w:r>
      <w:r w:rsidR="00863490" w:rsidRPr="00C2196B">
        <w:fldChar w:fldCharType="separate"/>
      </w:r>
      <w:r w:rsidRPr="00C2196B">
        <w:rPr>
          <w:noProof/>
        </w:rPr>
        <w:t>(Department of the Prime Minister and Cabinet 2014)</w:t>
      </w:r>
      <w:r w:rsidR="00863490" w:rsidRPr="00C2196B">
        <w:fldChar w:fldCharType="end"/>
      </w:r>
      <w:r w:rsidRPr="00C2196B">
        <w:t xml:space="preserve">. </w:t>
      </w:r>
    </w:p>
    <w:p w14:paraId="30FDD2AD" w14:textId="77777777" w:rsidR="00C2196B" w:rsidRPr="00C2196B" w:rsidRDefault="00C2196B" w:rsidP="00B811BE">
      <w:pPr>
        <w:pStyle w:val="Paragraph"/>
      </w:pPr>
      <w:r w:rsidRPr="00C2196B">
        <w:t xml:space="preserve">However, a literature review undertaken for DSS “found no studies specifically linking the adoption process and the rates of </w:t>
      </w:r>
      <w:r w:rsidR="0036036C">
        <w:t>ICA</w:t>
      </w:r>
      <w:r w:rsidRPr="00C2196B">
        <w:t>, and the processes are not identified as significant drivers of rates of adoption in the empirical literature”</w:t>
      </w:r>
      <w:r w:rsidR="00155065">
        <w:t xml:space="preserve"> </w:t>
      </w:r>
      <w:r w:rsidR="00863490" w:rsidRPr="00C2196B">
        <w:fldChar w:fldCharType="begin" w:fldLock="1"/>
      </w:r>
      <w:r w:rsidRPr="00C2196B">
        <w:instrText>ADDIN CSL_CITATION { "citationItems" : [ { "id" : "ITEM-1", "itemData" : { "author" : [ { "dropping-particle" : "", "family" : "Katz", "given" : "Ilan", "non-dropping-particle" : "", "parse-names" : false, "suffix" : "" }, { "dropping-particle" : "", "family" : "Hilferty", "given" : "Fiona", "non-dropping-particle" : "", "parse-names" : false, "suffix" : "" }, { "dropping-particle" : "", "family" : "Wichelen", "given" : "Sonja", "non-dropping-particle" : "Van", "parse-names" : false, "suffix" : "" } ], "id" : "ITEM-1", "issued" : { "date-parts" : [ [ "2016" ] ] }, "publisher" : "University of New South Wales Social Policy Research Centre", "publisher-place" : "Sydney", "title" : "Literature review on factors influencing intercountry adoption rates", "type" : "book" }, "uris" : [ "http://www.mendeley.com/documents/?uuid=2a2580cb-9924-450f-b13f-821efe884ef2" ] } ], "mendeley" : { "formattedCitation" : "(Katz et al. 2016)", "manualFormatting" : "(Katz, Hilferty, &amp; Van Wichelen, 2016, p. 33)", "plainTextFormattedCitation" : "(Katz et al. 2016)", "previouslyFormattedCitation" : "(Katz et al. 2016)" }, "properties" : { "noteIndex" : 0 }, "schema" : "https://github.com/citation-style-language/schema/raw/master/csl-citation.json" }</w:instrText>
      </w:r>
      <w:r w:rsidR="00863490" w:rsidRPr="00C2196B">
        <w:fldChar w:fldCharType="separate"/>
      </w:r>
      <w:r w:rsidRPr="00C2196B">
        <w:rPr>
          <w:noProof/>
        </w:rPr>
        <w:t>(Katz, Hilferty, &amp; Van Wichelen, 2016, p. 33)</w:t>
      </w:r>
      <w:r w:rsidR="00863490" w:rsidRPr="00C2196B">
        <w:fldChar w:fldCharType="end"/>
      </w:r>
      <w:r w:rsidRPr="00C2196B">
        <w:t>.</w:t>
      </w:r>
    </w:p>
    <w:p w14:paraId="148806CD" w14:textId="77777777" w:rsidR="00126818" w:rsidRDefault="00C2196B" w:rsidP="00283E1C">
      <w:pPr>
        <w:pStyle w:val="Heading8"/>
      </w:pPr>
      <w:r w:rsidRPr="002D5EE1">
        <w:t>Child</w:t>
      </w:r>
      <w:r>
        <w:t xml:space="preserve"> related factors</w:t>
      </w:r>
    </w:p>
    <w:p w14:paraId="417992AE" w14:textId="77777777" w:rsidR="00C2196B" w:rsidRPr="00C2196B" w:rsidRDefault="00C2196B" w:rsidP="00B811BE">
      <w:pPr>
        <w:pStyle w:val="Paragraph"/>
      </w:pPr>
      <w:r w:rsidRPr="00C2196B">
        <w:t xml:space="preserve">The characteristics of children available for ICA is changing over time.  Increasingly, children with special needs including older children, those with illness or impairment, and those who are part of a sibling group are representing a larger proportion of children available for adoption </w:t>
      </w:r>
      <w:r w:rsidR="00863490" w:rsidRPr="00C2196B">
        <w:fldChar w:fldCharType="begin" w:fldLock="1"/>
      </w:r>
      <w:r w:rsidRPr="00C2196B">
        <w:instrText>ADDIN CSL_CITATION { "citationItems" : [ { "id" : "ITEM-1", "itemData" : { "author" : [ { "dropping-particle" : "", "family" : "Department of the Prime Minister and Cabinet", "given" : "", "non-dropping-particle" : "", "parse-names" : false, "suffix" : "" } ], "id" : "ITEM-1", "issued" : { "date-parts" : [ [ "2014" ] ] }, "title" : "Report of the Interdepartmental Committee on Intercountry Adoption", "type" : "report" }, "uris" : [ "http://www.mendeley.com/documents/?uuid=4c4bcbce-ce75-4fea-8aa7-c079507828c7" ] } ], "mendeley" : { "formattedCitation" : "(Department of the Prime Minister and Cabinet 2014)", "plainTextFormattedCitation" : "(Department of the Prime Minister and Cabinet 2014)", "previouslyFormattedCitation" : "(Department of the Prime Minister and Cabinet 2014)" }, "properties" : { "noteIndex" : 0 }, "schema" : "https://github.com/citation-style-language/schema/raw/master/csl-citation.json" }</w:instrText>
      </w:r>
      <w:r w:rsidR="00863490" w:rsidRPr="00C2196B">
        <w:fldChar w:fldCharType="separate"/>
      </w:r>
      <w:r w:rsidRPr="00C2196B">
        <w:rPr>
          <w:noProof/>
        </w:rPr>
        <w:t>(Department of the Prime Minister and Cabinet 2014)</w:t>
      </w:r>
      <w:r w:rsidR="00863490" w:rsidRPr="00C2196B">
        <w:fldChar w:fldCharType="end"/>
      </w:r>
      <w:r w:rsidRPr="00C2196B">
        <w:t xml:space="preserve">.  While ICAs involving children with special needs have not increased as much in Australia as in other parts of the world, this trend nevertheless brings new challenges to prospective and successful ICA clients.  </w:t>
      </w:r>
    </w:p>
    <w:p w14:paraId="6FFCFD7E" w14:textId="77777777" w:rsidR="00C2196B" w:rsidRPr="00C2196B" w:rsidRDefault="00C2196B" w:rsidP="00B811BE">
      <w:pPr>
        <w:pStyle w:val="Paragraph"/>
      </w:pPr>
      <w:r w:rsidRPr="00C2196B">
        <w:t>The groups identified as ‘special needs’ by countries with which Australia has an ICA program vary, but include:</w:t>
      </w:r>
    </w:p>
    <w:p w14:paraId="5795B445" w14:textId="77777777" w:rsidR="00C2196B" w:rsidRPr="00C2196B" w:rsidRDefault="00C2196B" w:rsidP="00B811BE">
      <w:pPr>
        <w:pStyle w:val="Bullet1"/>
      </w:pPr>
      <w:r w:rsidRPr="00C2196B">
        <w:t xml:space="preserve">Older children </w:t>
      </w:r>
    </w:p>
    <w:p w14:paraId="2531B1AE" w14:textId="77777777" w:rsidR="00C2196B" w:rsidRPr="00C2196B" w:rsidRDefault="00C2196B" w:rsidP="00B811BE">
      <w:pPr>
        <w:pStyle w:val="Bullet1"/>
      </w:pPr>
      <w:r w:rsidRPr="00C2196B">
        <w:t>Sibling groups</w:t>
      </w:r>
    </w:p>
    <w:p w14:paraId="7E7A284A" w14:textId="77777777" w:rsidR="00C2196B" w:rsidRPr="00C2196B" w:rsidRDefault="00C2196B" w:rsidP="00B811BE">
      <w:pPr>
        <w:pStyle w:val="Bullet1"/>
      </w:pPr>
      <w:r w:rsidRPr="00C2196B">
        <w:t>Those who have experienced social, emotional and psychological deprivation</w:t>
      </w:r>
    </w:p>
    <w:p w14:paraId="2F68950C" w14:textId="77777777" w:rsidR="00C2196B" w:rsidRPr="00C2196B" w:rsidRDefault="00C2196B" w:rsidP="00B811BE">
      <w:pPr>
        <w:pStyle w:val="Bullet1"/>
      </w:pPr>
      <w:r w:rsidRPr="00C2196B">
        <w:t>Those with:</w:t>
      </w:r>
    </w:p>
    <w:p w14:paraId="5A2AB211" w14:textId="77777777" w:rsidR="00C2196B" w:rsidRPr="00C2196B" w:rsidRDefault="00C2196B" w:rsidP="00B811BE">
      <w:pPr>
        <w:pStyle w:val="Bullet2"/>
      </w:pPr>
      <w:r w:rsidRPr="00C2196B">
        <w:t>complex health conditions</w:t>
      </w:r>
    </w:p>
    <w:p w14:paraId="32FE25AC" w14:textId="77777777" w:rsidR="00C2196B" w:rsidRPr="00C2196B" w:rsidRDefault="00C2196B" w:rsidP="00B811BE">
      <w:pPr>
        <w:pStyle w:val="Bullet2"/>
      </w:pPr>
      <w:r w:rsidRPr="00C2196B">
        <w:t>developmental or psychiatric disorders</w:t>
      </w:r>
    </w:p>
    <w:p w14:paraId="5AF7F5C0" w14:textId="77777777" w:rsidR="00C2196B" w:rsidRPr="00C2196B" w:rsidRDefault="00C2196B" w:rsidP="00B811BE">
      <w:pPr>
        <w:pStyle w:val="Bullet2"/>
      </w:pPr>
      <w:r w:rsidRPr="00C2196B">
        <w:t xml:space="preserve">behavioural or social conditions </w:t>
      </w:r>
      <w:r w:rsidR="00863490" w:rsidRPr="00C2196B">
        <w:fldChar w:fldCharType="begin" w:fldLock="1"/>
      </w:r>
      <w:r w:rsidRPr="00C2196B">
        <w:instrText>ADDIN CSL_CITATION { "citationItems" : [ { "id" : "ITEM-1", "itemData" : { "author" : [ { "dropping-particle" : "", "family" : "Commonwealth of Australia Department of Social Services", "given" : "", "non-dropping-particle" : "", "parse-names" : false, "suffix" : "" } ], "id" : "ITEM-1", "issued" : { "date-parts" : [ [ "0" ] ] }, "title" : "Characteristics of children that would benefit from intercountry adoption", "type" : "book" }, "uris" : [ "http://www.mendeley.com/documents/?uuid=ee247c31-fded-44ee-9000-855a4cb1c27a" ] } ], "mendeley" : { "formattedCitation" : "(Commonwealth of Australia Department of Social Services n.d.)", "plainTextFormattedCitation" : "(Commonwealth of Australia Department of Social Services n.d.)", "previouslyFormattedCitation" : "(Commonwealth of Australia Department of Social Services n.d.)" }, "properties" : { "noteIndex" : 0 }, "schema" : "https://github.com/citation-style-language/schema/raw/master/csl-citation.json" }</w:instrText>
      </w:r>
      <w:r w:rsidR="00863490" w:rsidRPr="00C2196B">
        <w:fldChar w:fldCharType="separate"/>
      </w:r>
      <w:r w:rsidRPr="00C2196B">
        <w:rPr>
          <w:noProof/>
        </w:rPr>
        <w:t>(</w:t>
      </w:r>
      <w:r w:rsidR="00D62F44">
        <w:rPr>
          <w:noProof/>
        </w:rPr>
        <w:t>Commonwealth</w:t>
      </w:r>
      <w:r w:rsidRPr="00C2196B">
        <w:rPr>
          <w:noProof/>
        </w:rPr>
        <w:t xml:space="preserve"> of Australia Department of Social Services n.d.)</w:t>
      </w:r>
      <w:r w:rsidR="00863490" w:rsidRPr="00C2196B">
        <w:fldChar w:fldCharType="end"/>
      </w:r>
      <w:r w:rsidRPr="00C2196B">
        <w:t>.</w:t>
      </w:r>
    </w:p>
    <w:p w14:paraId="759B9E6A" w14:textId="77777777" w:rsidR="00C2196B" w:rsidRPr="00C2196B" w:rsidRDefault="00C2196B" w:rsidP="00B811BE">
      <w:pPr>
        <w:pStyle w:val="Paragraph"/>
      </w:pPr>
      <w:r w:rsidRPr="00C2196B">
        <w:t xml:space="preserve">Many ICA adoptees experience institutionalisation prior to adoption. </w:t>
      </w:r>
      <w:r w:rsidR="00155065">
        <w:t xml:space="preserve"> </w:t>
      </w:r>
      <w:r w:rsidRPr="00C2196B">
        <w:t xml:space="preserve">This can have a profound impact on the health and development of the adoptee </w:t>
      </w:r>
      <w:r w:rsidR="00863490" w:rsidRPr="00C2196B">
        <w:fldChar w:fldCharType="begin" w:fldLock="1"/>
      </w:r>
      <w:r w:rsidRPr="00C2196B">
        <w:instrText>ADDIN CSL_CITATION { "citationItems" : [ { "id" : "ITEM-1", "itemData" : { "DOI" : "10.1177/00224669050390030301", "ISBN" : "0022-4669", "ISSN" : "00224669", "PMID" : "18658098", "abstract" : "Research regarding children of intercountry adoption is limited, and most children of intercountry adoption have complex histories that may place them at risk for difficulty or failure in the classroom. Although the performances of some children from orphanage environments approximate those of chronological-age peers 2 to 4 years postadoption, duration of deprivation is consistently related, both historically and currently, to the cognitive delays and behavioral difficulties displayed by many postinstitutionalized children. Research regarding children of intercountry adoption is reviewed, and recommendations for future research are offered. [PUBLICATION ABSTRACT]", "author" : [ { "dropping-particle" : "", "family" : "Meese", "given" : "Ruth Lyn", "non-dropping-particle" : "", "parse-names" : false, "suffix" : "" } ], "container-title" : "The Journal of Special Education", "id" : "ITEM-1", "issue" : "3", "issued" : { "date-parts" : [ [ "2005" ] ] }, "page" : "157-167", "title" : "A Few New Children: Postinstitutionalized Children of Intercountry Adoption", "type" : "article-journal", "volume" : "39" }, "uris" : [ "http://www.mendeley.com/documents/?uuid=a8e95430-aeb4-4288-bc7e-b080a60b93f5", "http://www.mendeley.com/documents/?uuid=b0d219a1-1b8a-402b-8959-c072f2a5f3d4" ] } ], "mendeley" : { "formattedCitation" : "(Meese 2005a)", "plainTextFormattedCitation" : "(Meese 2005a)", "previouslyFormattedCitation" : "(Meese 2005a)" }, "properties" : { "noteIndex" : 0 }, "schema" : "https://github.com/citation-style-language/schema/raw/master/csl-citation.json" }</w:instrText>
      </w:r>
      <w:r w:rsidR="00863490" w:rsidRPr="00C2196B">
        <w:fldChar w:fldCharType="separate"/>
      </w:r>
      <w:r w:rsidRPr="00C2196B">
        <w:rPr>
          <w:noProof/>
        </w:rPr>
        <w:t>(Meese 2005a)</w:t>
      </w:r>
      <w:r w:rsidR="00863490" w:rsidRPr="00C2196B">
        <w:fldChar w:fldCharType="end"/>
      </w:r>
      <w:r w:rsidRPr="00C2196B">
        <w:t xml:space="preserve"> and pose particular parenting challenges to the adoptive parents.  </w:t>
      </w:r>
    </w:p>
    <w:p w14:paraId="6E193646" w14:textId="77777777" w:rsidR="00C2196B" w:rsidRPr="00C2196B" w:rsidRDefault="00C2196B" w:rsidP="00B811BE">
      <w:pPr>
        <w:pStyle w:val="Paragraph"/>
      </w:pPr>
      <w:r w:rsidRPr="00C2196B">
        <w:t xml:space="preserve">In line with the objectives of the current evaluation, this section focuses, in particular, on child-related factors that pose challenges and or information/support needs for prospective or actual ICA clients.  </w:t>
      </w:r>
    </w:p>
    <w:p w14:paraId="58441FAD" w14:textId="77777777" w:rsidR="0084696D" w:rsidRDefault="00C2196B" w:rsidP="004876F6">
      <w:pPr>
        <w:pStyle w:val="Heading9"/>
      </w:pPr>
      <w:r>
        <w:t>Health</w:t>
      </w:r>
    </w:p>
    <w:p w14:paraId="4880209D" w14:textId="5F6280F4" w:rsidR="00C2196B" w:rsidRPr="00B811BE" w:rsidRDefault="00C2196B" w:rsidP="00B811BE">
      <w:pPr>
        <w:pStyle w:val="Paragraph"/>
      </w:pPr>
      <w:r w:rsidRPr="00B811BE">
        <w:t xml:space="preserve">Post-institutionalised ICA adoptees typically exhibit health problems, delayed growth, and delayed social, cognitive, motor, and language skills at the time of their adoption.  The extent to which these delays can be overcome will depend on the age at adoption </w:t>
      </w:r>
      <w:r w:rsidR="00863490" w:rsidRPr="00B811BE">
        <w:fldChar w:fldCharType="begin" w:fldLock="1"/>
      </w:r>
      <w:r w:rsidRPr="00B811BE">
        <w:instrText>ADDIN CSL_CITATION { "citationItems" : [ { "id" : "ITEM-1", "itemData" : { "DOI" : "10.1177/00224669050390030301", "ISBN" : "0022-4669", "ISSN" : "00224669", "PMID" : "18658098", "abstract" : "Research regarding children of intercountry adoption is limited, and most children of intercountry adoption have complex histories that may place them at risk for difficulty or failure in the classroom. Although the performances of some children from orphanage environments approximate those of chronological-age peers 2 to 4 years postadoption, duration of deprivation is consistently related, both historically and currently, to the cognitive delays and behavioral difficulties displayed by many postinstitutionalized children. Research regarding children of intercountry adoption is reviewed, and recommendations for future research are offered. [PUBLICATION ABSTRACT]", "author" : [ { "dropping-particle" : "", "family" : "Meese", "given" : "Ruth Lyn", "non-dropping-particle" : "", "parse-names" : false, "suffix" : "" } ], "container-title" : "The Journal of Special Education", "id" : "ITEM-1", "issue" : "3", "issued" : { "date-parts" : [ [ "2005" ] ] }, "page" : "157-167", "title" : "A Few New Children: Postinstitutionalized Children of Intercountry Adoption", "type" : "article-journal", "volume" : "39" }, "uris" : [ "http://www.mendeley.com/documents/?uuid=b0d219a1-1b8a-402b-8959-c072f2a5f3d4", "http://www.mendeley.com/documents/?uuid=a8e95430-aeb4-4288-bc7e-b080a60b93f5" ] } ], "mendeley" : { "formattedCitation" : "(Meese 2005b)", "plainTextFormattedCitation" : "(Meese 2005b)", "previouslyFormattedCitation" : "(Meese 2005b)" }, "properties" : { "noteIndex" : 0 }, "schema" : "https://github.com/citation-style-language/schema/raw/master/csl-citation.json" }</w:instrText>
      </w:r>
      <w:r w:rsidR="00863490" w:rsidRPr="00B811BE">
        <w:fldChar w:fldCharType="separate"/>
      </w:r>
      <w:r w:rsidRPr="00B811BE">
        <w:rPr>
          <w:noProof/>
        </w:rPr>
        <w:t>(Meese 2005b)</w:t>
      </w:r>
      <w:r w:rsidR="00863490" w:rsidRPr="00B811BE">
        <w:fldChar w:fldCharType="end"/>
      </w:r>
      <w:r w:rsidRPr="00B811BE">
        <w:t xml:space="preserve">.  Given the steady decline in </w:t>
      </w:r>
      <w:r w:rsidRPr="00B811BE">
        <w:lastRenderedPageBreak/>
        <w:t xml:space="preserve">the availability of ICA children aged one to four years </w:t>
      </w:r>
      <w:r w:rsidRPr="00B811BE">
        <w:rPr>
          <w:rStyle w:val="Emphasis"/>
          <w:i w:val="0"/>
          <w:iCs w:val="0"/>
        </w:rPr>
        <w:t>(</w:t>
      </w:r>
      <w:r w:rsidRPr="005F7479">
        <w:rPr>
          <w:rStyle w:val="Emphasis"/>
          <w:iCs w:val="0"/>
        </w:rPr>
        <w:t>Section</w:t>
      </w:r>
      <w:r w:rsidR="005F7479" w:rsidRPr="005F7479">
        <w:rPr>
          <w:rStyle w:val="Emphasis"/>
          <w:iCs w:val="0"/>
        </w:rPr>
        <w:t xml:space="preserve"> </w:t>
      </w:r>
      <w:r w:rsidR="00863490" w:rsidRPr="005F7479">
        <w:fldChar w:fldCharType="begin"/>
      </w:r>
      <w:r w:rsidR="00883F75" w:rsidRPr="005F7479">
        <w:rPr>
          <w:rStyle w:val="Emphasis"/>
          <w:iCs w:val="0"/>
        </w:rPr>
        <w:instrText xml:space="preserve"> REF _Ref458173494 \w \h </w:instrText>
      </w:r>
      <w:r w:rsidR="005F7479">
        <w:instrText xml:space="preserve"> \* MERGEFORMAT </w:instrText>
      </w:r>
      <w:r w:rsidR="00863490" w:rsidRPr="005F7479">
        <w:fldChar w:fldCharType="separate"/>
      </w:r>
      <w:r w:rsidR="00487073">
        <w:rPr>
          <w:rStyle w:val="Emphasis"/>
          <w:iCs w:val="0"/>
        </w:rPr>
        <w:t>2.3</w:t>
      </w:r>
      <w:r w:rsidR="00863490" w:rsidRPr="005F7479">
        <w:fldChar w:fldCharType="end"/>
      </w:r>
      <w:r w:rsidRPr="00B811BE">
        <w:rPr>
          <w:rStyle w:val="Emphasis"/>
          <w:i w:val="0"/>
          <w:iCs w:val="0"/>
        </w:rPr>
        <w:t>)</w:t>
      </w:r>
      <w:r w:rsidRPr="00B811BE">
        <w:t>, adoptive parents are increasingly likely to adopt ICA children who experience such delays.</w:t>
      </w:r>
    </w:p>
    <w:p w14:paraId="76700F08" w14:textId="77777777" w:rsidR="00C2196B" w:rsidRPr="00466517" w:rsidRDefault="00C2196B" w:rsidP="004876F6">
      <w:pPr>
        <w:pStyle w:val="Heading9"/>
      </w:pPr>
      <w:r w:rsidRPr="00466517">
        <w:t xml:space="preserve">Attachment and emotional wellbeing </w:t>
      </w:r>
    </w:p>
    <w:p w14:paraId="43FDAA9B" w14:textId="77777777" w:rsidR="00C2196B" w:rsidRPr="00466517" w:rsidRDefault="00C2196B" w:rsidP="00C2196B">
      <w:pPr>
        <w:pStyle w:val="Paragraph"/>
      </w:pPr>
      <w:r w:rsidRPr="00466517">
        <w:t>Institutionalised care also impacts on the attachment and emotional wellbeing of ICA adoptees as few children experience the kind of responsive care pre-adoption that is needed to foster attachment security.  Children adopted later in the first year of life or after show remarkable variability in their attachments</w:t>
      </w:r>
      <w:r w:rsidRPr="00466517">
        <w:rPr>
          <w:b/>
        </w:rPr>
        <w:t xml:space="preserve"> </w:t>
      </w:r>
      <w:r w:rsidR="00863490" w:rsidRPr="00466517">
        <w:fldChar w:fldCharType="begin" w:fldLock="1"/>
      </w:r>
      <w:r w:rsidRPr="00466517">
        <w:instrText>ADDIN CSL_CITATION { "citationItems" : [ { "id" : "ITEM-1", "itemData" : { "DOI" : "10.1177/00224669050390030301", "ISBN" : "0022-4669", "ISSN" : "00224669", "PMID" : "18658098", "abstract" : "Research regarding children of intercountry adoption is limited, and most children of intercountry adoption have complex histories that may place them at risk for difficulty or failure in the classroom. Although the performances of some children from orphanage environments approximate those of chronological-age peers 2 to 4 years postadoption, duration of deprivation is consistently related, both historically and currently, to the cognitive delays and behavioral difficulties displayed by many postinstitutionalized children. Research regarding children of intercountry adoption is reviewed, and recommendations for future research are offered. [PUBLICATION ABSTRACT]", "author" : [ { "dropping-particle" : "", "family" : "Meese", "given" : "Ruth Lyn", "non-dropping-particle" : "", "parse-names" : false, "suffix" : "" } ], "container-title" : "The Journal of Special Education", "id" : "ITEM-1", "issue" : "3", "issued" : { "date-parts" : [ [ "2005" ] ] }, "page" : "157-167", "title" : "A Few New Children: Postinstitutionalized Children of Intercountry Adoption", "type" : "article-journal", "volume" : "39" }, "uris" : [ "http://www.mendeley.com/documents/?uuid=b0d219a1-1b8a-402b-8959-c072f2a5f3d4", "http://www.mendeley.com/documents/?uuid=a8e95430-aeb4-4288-bc7e-b080a60b93f5" ] } ], "mendeley" : { "formattedCitation" : "(Meese 2005b)", "plainTextFormattedCitation" : "(Meese 2005b)", "previouslyFormattedCitation" : "(Meese 2005b)" }, "properties" : { "noteIndex" : 0 }, "schema" : "https://github.com/citation-style-language/schema/raw/master/csl-citation.json" }</w:instrText>
      </w:r>
      <w:r w:rsidR="00863490" w:rsidRPr="00466517">
        <w:fldChar w:fldCharType="separate"/>
      </w:r>
      <w:r w:rsidRPr="00466517">
        <w:rPr>
          <w:noProof/>
        </w:rPr>
        <w:t>(Meese 2005b)</w:t>
      </w:r>
      <w:r w:rsidR="00863490" w:rsidRPr="00466517">
        <w:fldChar w:fldCharType="end"/>
      </w:r>
      <w:r w:rsidRPr="00466517">
        <w:t>.</w:t>
      </w:r>
    </w:p>
    <w:p w14:paraId="7586CA28" w14:textId="77777777" w:rsidR="00C2196B" w:rsidRPr="00466517" w:rsidRDefault="00C2196B" w:rsidP="004876F6">
      <w:pPr>
        <w:pStyle w:val="Heading9"/>
      </w:pPr>
      <w:r w:rsidRPr="00466517">
        <w:t>Learning difficulties</w:t>
      </w:r>
    </w:p>
    <w:p w14:paraId="4F06562B" w14:textId="77777777" w:rsidR="00C2196B" w:rsidRPr="00466517" w:rsidRDefault="00C2196B" w:rsidP="00C2196B">
      <w:pPr>
        <w:pStyle w:val="Paragraph"/>
        <w:rPr>
          <w:lang w:eastAsia="en-AU"/>
        </w:rPr>
      </w:pPr>
      <w:r w:rsidRPr="00466517">
        <w:rPr>
          <w:lang w:eastAsia="en-AU"/>
        </w:rPr>
        <w:t>Compromised development can also generate learning difficulties.  This is particularly true in the case of ICAs because the adoption process generally involves the loss and replacement of the child’s first language.  This can result in ‘subtractive bilingualism’ or ‘language arrest’</w:t>
      </w:r>
      <w:r w:rsidR="00863490" w:rsidRPr="00466517">
        <w:rPr>
          <w:lang w:eastAsia="en-AU"/>
        </w:rPr>
        <w:fldChar w:fldCharType="begin" w:fldLock="1"/>
      </w:r>
      <w:r w:rsidRPr="00466517">
        <w:rPr>
          <w:lang w:eastAsia="en-AU"/>
        </w:rPr>
        <w:instrText>ADDIN CSL_CITATION { "citationItems" : [ { "id" : "ITEM-1", "itemData" : { "author" : [ { "dropping-particle" : "", "family" : "Roberts", "given" : "JA", "non-dropping-particle" : "", "parse-names" : false, "suffix" : "" }, { "dropping-particle" : "", "family" : "Pollock", "given" : "KE", "non-dropping-particle" : "", "parse-names" : false, "suffix" : "" }, { "dropping-particle" : "", "family" : "Krakow", "given" : "R", "non-dropping-particle" : "", "parse-names" : false, "suffix" : "" }, { "dropping-particle" : "", "family" : "Price", "given" : "J", "non-dropping-particle" : "", "parse-names" : false, "suffix" : "" }, { "dropping-particle" : "", "family" : "Fulmer", "given" : "KC", "non-dropping-particle" : "", "parse-names" : false, "suffix" : "" }, { "dropping-particle" : "", "family" : "Wang", "given" : "PP", "non-dropping-particle" : "", "parse-names" : false, "suffix" : "" } ], "container-title" : "Journal of Speech, Language and Hearing Research", "id" : "ITEM-1", "issue" : "1", "issued" : { "date-parts" : [ [ "2005" ] ] }, "page" : "93-108", "title" : "Language development in preschool-age children adopted from China", "type" : "article-journal", "volume" : "48" }, "uris" : [ "http://www.mendeley.com/documents/?uuid=c85a98bc-7e34-4a31-b4b1-51d17a92f2e9", "http://www.mendeley.com/documents/?uuid=5f1feea9-ba2b-4245-ae4b-92587675ca91" ] } ], "mendeley" : { "formattedCitation" : "(Roberts et al. 2005)", "plainTextFormattedCitation" : "(Roberts et al. 2005)", "previouslyFormattedCitation" : "(Roberts et al. 2005)" }, "properties" : { "noteIndex" : 0 }, "schema" : "https://github.com/citation-style-language/schema/raw/master/csl-citation.json" }</w:instrText>
      </w:r>
      <w:r w:rsidR="00863490" w:rsidRPr="00466517">
        <w:rPr>
          <w:lang w:eastAsia="en-AU"/>
        </w:rPr>
        <w:fldChar w:fldCharType="separate"/>
      </w:r>
      <w:r w:rsidRPr="00466517">
        <w:rPr>
          <w:noProof/>
          <w:lang w:eastAsia="en-AU"/>
        </w:rPr>
        <w:t>(Roberts et al. 2005)</w:t>
      </w:r>
      <w:r w:rsidR="00863490" w:rsidRPr="00466517">
        <w:rPr>
          <w:lang w:eastAsia="en-AU"/>
        </w:rPr>
        <w:fldChar w:fldCharType="end"/>
      </w:r>
      <w:r w:rsidRPr="00466517">
        <w:rPr>
          <w:lang w:eastAsia="en-AU"/>
        </w:rPr>
        <w:t xml:space="preserve">, and may lead to delayed acquisition of second language skills </w:t>
      </w:r>
      <w:r w:rsidR="00863490" w:rsidRPr="00466517">
        <w:rPr>
          <w:lang w:eastAsia="en-AU"/>
        </w:rPr>
        <w:fldChar w:fldCharType="begin" w:fldLock="1"/>
      </w:r>
      <w:r w:rsidRPr="00466517">
        <w:rPr>
          <w:lang w:eastAsia="en-AU"/>
        </w:rPr>
        <w:instrText>ADDIN CSL_CITATION { "citationItems" : [ { "id" : "ITEM-1", "itemData" : { "DOI" : "10.1111/j.1467-8624.2011.01578.x", "ISSN" : "00093920", "author" : [ { "dropping-particle" : "", "family" : "Gauthier", "given" : "Karine", "non-dropping-particle" : "", "parse-names" : false, "suffix" : "" }, { "dropping-particle" : "", "family" : "Genesee", "given" : "Fred", "non-dropping-particle" : "", "parse-names" : false, "suffix" : "" } ], "container-title" : "Child Development", "id" : "ITEM-1", "issue" : "3", "issued" : { "date-parts" : [ [ "2011" ] ] }, "page" : "887-901", "title" : "Language Development in Internationally Adopted Children: A Special Case of Early Second Language Learning", "type" : "article-journal", "volume" : "82" }, "uris" : [ "http://www.mendeley.com/documents/?uuid=f5c95a03-b541-4ef5-8d44-17a6617aa076", "http://www.mendeley.com/documents/?uuid=04268f9b-1664-47c3-89e2-a3f472a2d36f" ] } ], "mendeley" : { "formattedCitation" : "(Gauthier &amp; Genesee 2011)", "manualFormatting" : "(Roberts et al., 2005; Beverly, McGuinness, &amp; Blanton, 2008;Gauthier &amp; Genesee, 2011)", "plainTextFormattedCitation" : "(Gauthier &amp; Genesee 2011)", "previouslyFormattedCitation" : "(Gauthier &amp; Genesee 2011)" }, "properties" : { "noteIndex" : 0 }, "schema" : "https://github.com/citation-style-language/schema/raw/master/csl-citation.json" }</w:instrText>
      </w:r>
      <w:r w:rsidR="00863490" w:rsidRPr="00466517">
        <w:rPr>
          <w:lang w:eastAsia="en-AU"/>
        </w:rPr>
        <w:fldChar w:fldCharType="separate"/>
      </w:r>
      <w:r w:rsidRPr="00466517">
        <w:rPr>
          <w:noProof/>
          <w:lang w:eastAsia="en-AU"/>
        </w:rPr>
        <w:t xml:space="preserve">(Roberts et al., 2005; </w:t>
      </w:r>
      <w:r w:rsidR="00863490" w:rsidRPr="00466517">
        <w:rPr>
          <w:noProof/>
          <w:lang w:eastAsia="en-AU"/>
        </w:rPr>
        <w:fldChar w:fldCharType="begin" w:fldLock="1"/>
      </w:r>
      <w:r w:rsidRPr="00466517">
        <w:rPr>
          <w:noProof/>
          <w:lang w:eastAsia="en-AU"/>
        </w:rPr>
        <w:instrText>ADDIN CSL_CITATION { "citationItems" : [ { "id" : "ITEM-1", "itemData" : { "author" : [ { "dropping-particle" : "", "family" : "Beverly", "given" : "BL", "non-dropping-particle" : "", "parse-names" : false, "suffix" : "" }, { "dropping-particle" : "", "family" : "McGuinness", "given" : "TM", "non-dropping-particle" : "", "parse-names" : false, "suffix" : "" }, { "dropping-particle" : "", "family" : "Blanton", "given" : "DJ", "non-dropping-particle" : "", "parse-names" : false, "suffix" : "" } ], "container-title" : "Language, Speech and Hearing Services in Schools", "id" : "ITEM-1", "issue" : "3", "issued" : { "date-parts" : [ [ "2008" ] ] }, "page" : "303-314", "title" : "Communication and academic challenges in early adolescence for children who have been adopted from the former Soviet Union", "type" : "article-journal", "volume" : "39" }, "uris" : [ "http://www.mendeley.com/documents/?uuid=7dc4a115-d501-4bd0-9ed7-5d41f4fd3a7b", "http://www.mendeley.com/documents/?uuid=551dc7f6-e5e0-4f9f-9808-450ccdcdf898" ] } ], "mendeley" : { "formattedCitation" : "(Beverly et al. 2008)", "manualFormatting" : "Beverly, McGuinness, &amp; Blanton, 2008", "plainTextFormattedCitation" : "(Beverly et al. 2008)", "previouslyFormattedCitation" : "(Beverly et al. 2008)" }, "properties" : { "noteIndex" : 0 }, "schema" : "https://github.com/citation-style-language/schema/raw/master/csl-citation.json" }</w:instrText>
      </w:r>
      <w:r w:rsidR="00863490" w:rsidRPr="00466517">
        <w:rPr>
          <w:noProof/>
          <w:lang w:eastAsia="en-AU"/>
        </w:rPr>
        <w:fldChar w:fldCharType="separate"/>
      </w:r>
      <w:r w:rsidRPr="00466517">
        <w:rPr>
          <w:noProof/>
          <w:lang w:eastAsia="en-AU"/>
        </w:rPr>
        <w:t>Beverly, McGuinness, &amp; Blanton, 2008</w:t>
      </w:r>
      <w:r w:rsidR="00863490" w:rsidRPr="00466517">
        <w:rPr>
          <w:noProof/>
          <w:lang w:eastAsia="en-AU"/>
        </w:rPr>
        <w:fldChar w:fldCharType="end"/>
      </w:r>
      <w:r w:rsidRPr="00466517">
        <w:rPr>
          <w:noProof/>
          <w:lang w:eastAsia="en-AU"/>
        </w:rPr>
        <w:t>;Gauthier &amp; Genesee, 2011)</w:t>
      </w:r>
      <w:r w:rsidR="00863490" w:rsidRPr="00466517">
        <w:rPr>
          <w:lang w:eastAsia="en-AU"/>
        </w:rPr>
        <w:fldChar w:fldCharType="end"/>
      </w:r>
      <w:r w:rsidRPr="00466517">
        <w:rPr>
          <w:lang w:eastAsia="en-AU"/>
        </w:rPr>
        <w:t>.</w:t>
      </w:r>
    </w:p>
    <w:p w14:paraId="4124905B" w14:textId="77777777" w:rsidR="00C2196B" w:rsidRPr="00C2196B" w:rsidRDefault="00C2196B" w:rsidP="005926A8">
      <w:pPr>
        <w:pStyle w:val="Heading8"/>
      </w:pPr>
      <w:r>
        <w:t>Ongoing issues in adolescence and adulthood</w:t>
      </w:r>
    </w:p>
    <w:p w14:paraId="32C2B9A4" w14:textId="77777777" w:rsidR="00C2196B" w:rsidRPr="00466517" w:rsidRDefault="00C2196B" w:rsidP="00C2196B">
      <w:pPr>
        <w:pStyle w:val="Paragraph"/>
        <w:rPr>
          <w:lang w:eastAsia="en-AU"/>
        </w:rPr>
      </w:pPr>
      <w:r w:rsidRPr="00466517">
        <w:rPr>
          <w:lang w:eastAsia="en-AU"/>
        </w:rPr>
        <w:t xml:space="preserve">Issues for adoptees related to ICA are not confined to childhood or the immediate post-adoption period.  Rather, it is important to recognise that adoption is a life-long experience </w:t>
      </w:r>
      <w:r w:rsidR="00863490" w:rsidRPr="00466517">
        <w:rPr>
          <w:lang w:eastAsia="en-AU"/>
        </w:rPr>
        <w:fldChar w:fldCharType="begin" w:fldLock="1"/>
      </w:r>
      <w:r w:rsidRPr="00466517">
        <w:rPr>
          <w:lang w:eastAsia="en-AU"/>
        </w:rPr>
        <w:instrText>ADDIN CSL_CITATION { "citationItems" : [ { "id" : "ITEM-1", "itemData" : { "DOI" : "10.1017/S1474746412000115", "ISSN" : "1474-7464", "abstract" : "Drawing on select examples of adoption policy, this article considers key assumptions in discourse about the best interests of the child. The central argument is that the life-long impact of adoption needs to be recognised so that the long-term interests of adoptees are met, and not only when they are children. Based on doctoral research into the experiences of adult Korean adoptees in the United States and Australia, this article argues that currently post-adoption services are geared to adoptive parents and the adoptee-as- child and do not adequately address the needs of adoptees beyond childhood. Accurate and accessible information is important for adoptees as they try to understand their past and make sense of their identities.", "author" : [ { "dropping-particle" : "", "family" : "Walton", "given" : "Jessica", "non-dropping-particle" : "", "parse-names" : false, "suffix" : "" } ], "container-title" : "Social Policy and Society", "id" : "ITEM-1", "issue" : "03", "issued" : { "date-parts" : [ [ "2012" ] ] }, "page" : "443-454", "title" : "Supporting the Interests of Intercountry Adoptees beyond Childhood: Access to Adoption Information and Identity", "type" : "article-journal", "volume" : "11" }, "uris" : [ "http://www.mendeley.com/documents/?uuid=30e7fb00-67cc-478a-b4ed-aa62418136b3", "http://www.mendeley.com/documents/?uuid=2536ea24-6999-4f27-a9dd-70db47d890f9" ] } ], "mendeley" : { "formattedCitation" : "(Walton 2012)", "plainTextFormattedCitation" : "(Walton 2012)", "previouslyFormattedCitation" : "(Walton 2012)" }, "properties" : { "noteIndex" : 0 }, "schema" : "https://github.com/citation-style-language/schema/raw/master/csl-citation.json" }</w:instrText>
      </w:r>
      <w:r w:rsidR="00863490" w:rsidRPr="00466517">
        <w:rPr>
          <w:lang w:eastAsia="en-AU"/>
        </w:rPr>
        <w:fldChar w:fldCharType="separate"/>
      </w:r>
      <w:r w:rsidRPr="00466517">
        <w:rPr>
          <w:noProof/>
          <w:lang w:eastAsia="en-AU"/>
        </w:rPr>
        <w:t>(Walton 2012)</w:t>
      </w:r>
      <w:r w:rsidR="00863490" w:rsidRPr="00466517">
        <w:rPr>
          <w:lang w:eastAsia="en-AU"/>
        </w:rPr>
        <w:fldChar w:fldCharType="end"/>
      </w:r>
      <w:r w:rsidRPr="00466517">
        <w:rPr>
          <w:lang w:eastAsia="en-AU"/>
        </w:rPr>
        <w:t xml:space="preserve"> and as children mature, the ICA experience may impact them in a number of key ways as discussed below.  </w:t>
      </w:r>
    </w:p>
    <w:p w14:paraId="7358A676" w14:textId="77777777" w:rsidR="00C2196B" w:rsidRPr="00466517" w:rsidRDefault="00C2196B" w:rsidP="004876F6">
      <w:pPr>
        <w:pStyle w:val="Heading9"/>
      </w:pPr>
      <w:r w:rsidRPr="00466517">
        <w:t xml:space="preserve">Identity and cultural connection </w:t>
      </w:r>
    </w:p>
    <w:p w14:paraId="2AF6ED90" w14:textId="77777777" w:rsidR="00C2196B" w:rsidRPr="00466517" w:rsidRDefault="00C2196B" w:rsidP="00C2196B">
      <w:pPr>
        <w:pStyle w:val="Paragraph"/>
        <w:rPr>
          <w:lang w:eastAsia="en-AU"/>
        </w:rPr>
      </w:pPr>
      <w:r w:rsidRPr="00466517">
        <w:rPr>
          <w:lang w:eastAsia="en-AU"/>
        </w:rPr>
        <w:t xml:space="preserve">An important dimension of ICA is the intercultural dynamic, particularly as many ICAs involve children of different racial, cultural and linguistic background to their adoptive parents (Kim, 2002).  </w:t>
      </w:r>
    </w:p>
    <w:p w14:paraId="5E0467FB" w14:textId="77777777" w:rsidR="00C2196B" w:rsidRPr="00466517" w:rsidRDefault="00C2196B" w:rsidP="00C2196B">
      <w:pPr>
        <w:pStyle w:val="Paragraph"/>
        <w:rPr>
          <w:lang w:eastAsia="en-AU"/>
        </w:rPr>
      </w:pPr>
      <w:r w:rsidRPr="00466517">
        <w:rPr>
          <w:lang w:eastAsia="en-AU"/>
        </w:rPr>
        <w:t xml:space="preserve">Intercountry adoptees’ ties to first families are usually severed, hence the influence of first families on identity formation is limited.  Consequently, negotiation of race and cultural issues is primarily conducted through a Western lens. A key issue for adoptees is the difficulty and challenge of negotiating and reclaiming the ‘unknown’ part of their identity </w:t>
      </w:r>
      <w:r w:rsidR="00863490" w:rsidRPr="00466517">
        <w:rPr>
          <w:lang w:eastAsia="en-AU"/>
        </w:rPr>
        <w:fldChar w:fldCharType="begin" w:fldLock="1"/>
      </w:r>
      <w:r w:rsidRPr="00466517">
        <w:rPr>
          <w:lang w:eastAsia="en-AU"/>
        </w:rPr>
        <w:instrText>ADDIN CSL_CITATION { "citationItems" : [ { "id" : "ITEM-1", "itemData" : { "DOI" : "10.1017/S1474746412000115", "ISSN" : "1474-7464", "abstract" : "Drawing on select examples of adoption policy, this article considers key assumptions in discourse about the best interests of the child. The central argument is that the life-long impact of adoption needs to be recognised so that the long-term interests of adoptees are met, and not only when they are children. Based on doctoral research into the experiences of adult Korean adoptees in the United States and Australia, this article argues that currently post-adoption services are geared to adoptive parents and the adoptee-as- child and do not adequately address the needs of adoptees beyond childhood. Accurate and accessible information is important for adoptees as they try to understand their past and make sense of their identities.", "author" : [ { "dropping-particle" : "", "family" : "Walton", "given" : "Jessica", "non-dropping-particle" : "", "parse-names" : false, "suffix" : "" } ], "container-title" : "Social Policy and Society", "id" : "ITEM-1", "issue" : "03", "issued" : { "date-parts" : [ [ "2012" ] ] }, "page" : "443-454", "title" : "Supporting the Interests of Intercountry Adoptees beyond Childhood: Access to Adoption Information and Identity", "type" : "article-journal", "volume" : "11" }, "uris" : [ "http://www.mendeley.com/documents/?uuid=30e7fb00-67cc-478a-b4ed-aa62418136b3" ] } ], "mendeley" : { "formattedCitation" : "(Walton 2012)", "plainTextFormattedCitation" : "(Walton 2012)", "previouslyFormattedCitation" : "(Walton 2012)" }, "properties" : { "noteIndex" : 0 }, "schema" : "https://github.com/citation-style-language/schema/raw/master/csl-citation.json" }</w:instrText>
      </w:r>
      <w:r w:rsidR="00863490" w:rsidRPr="00466517">
        <w:rPr>
          <w:lang w:eastAsia="en-AU"/>
        </w:rPr>
        <w:fldChar w:fldCharType="separate"/>
      </w:r>
      <w:r w:rsidRPr="00466517">
        <w:rPr>
          <w:noProof/>
          <w:lang w:eastAsia="en-AU"/>
        </w:rPr>
        <w:t>(Walton 2012)</w:t>
      </w:r>
      <w:r w:rsidR="00863490" w:rsidRPr="00466517">
        <w:rPr>
          <w:lang w:eastAsia="en-AU"/>
        </w:rPr>
        <w:fldChar w:fldCharType="end"/>
      </w:r>
      <w:r w:rsidRPr="00466517">
        <w:rPr>
          <w:lang w:eastAsia="en-AU"/>
        </w:rPr>
        <w:t xml:space="preserve">.  </w:t>
      </w:r>
    </w:p>
    <w:p w14:paraId="6A15EAA3" w14:textId="77777777" w:rsidR="00C2196B" w:rsidRPr="00466517" w:rsidRDefault="00C2196B" w:rsidP="00C2196B">
      <w:pPr>
        <w:pStyle w:val="Paragraph"/>
        <w:rPr>
          <w:lang w:eastAsia="en-AU"/>
        </w:rPr>
      </w:pPr>
      <w:r w:rsidRPr="00466517">
        <w:rPr>
          <w:lang w:eastAsia="en-AU"/>
        </w:rPr>
        <w:t xml:space="preserve">For these reasons, adoptees need to be consulted about the kinds of post-adoption services that would be most helpful for them at different stages of their lives.  These concepts are fundamental to providing post-adoption services that are aimed at supporting adoptees and their families, not just adoptive parents and the newly adopted child (Walton, 2012).  It has been argued that intercountry adoptees need to be supported by governments to play a greater advisory and educative roles so that their needs at different stages of their life are met </w:t>
      </w:r>
      <w:r w:rsidR="00863490" w:rsidRPr="00466517">
        <w:rPr>
          <w:lang w:eastAsia="en-AU"/>
        </w:rPr>
        <w:fldChar w:fldCharType="begin" w:fldLock="1"/>
      </w:r>
      <w:r w:rsidRPr="00466517">
        <w:rPr>
          <w:lang w:eastAsia="en-AU"/>
        </w:rPr>
        <w:instrText>ADDIN CSL_CITATION { "citationItems" : [ { "id" : "ITEM-1", "itemData" : { "DOI" : "10.1093/bjsw/bcs171", "ISSN" : "1468263X", "abstract" : "Transnational adoption requires adoptive parents to negotiate complexities concerning difference and belonging within the family. Transnational adoption is mediated through societal and governmental prescriptions of suitability that include willingness and competency to raise children to maintain connections to their birth heritages. Tensions in the formation of parental identities are located in different racial, ethnic, cultural and class-based backgrounds to the children they adopt. This contrasts against dominant models of family where constructions of belonging are based on biological ties. A qualitative study of thirty-five Australian adoptive parents explored reflections on adoption processes and how the complex task of performing suitability was negotiated. Theoretical understandings were developed using a grounded theory approach. Contemporary social theory with a focus on race, cosmopolitanism and families further developed emergent theoretical understandings during analysis. Tensions in identity formation are discussed. The paper concludes that issues of race in identity formation are marginalised.", "author" : [ { "dropping-particle" : "", "family" : "Willing", "given" : "Indigo", "non-dropping-particle" : "", "parse-names" : false, "suffix" : "" }, { "dropping-particle" : "", "family" : "Fronek", "given" : "Patricia", "non-dropping-particle" : "", "parse-names" : false, "suffix" : "" } ], "container-title" : "British Journal of Social Work", "id" : "ITEM-1", "issue" : "5", "issued" : { "date-parts" : [ [ "2014" ] ] }, "page" : "1129-1146", "title" : "Constructing identities and issues of race in transnational adoption: The experiences of adoptive parents", "type" : "article-journal", "volume" : "44" }, "uris" : [ "http://www.mendeley.com/documents/?uuid=84669a16-650a-465f-acdb-fab7e9a44b8d", "http://www.mendeley.com/documents/?uuid=d0764ae3-55b6-4acc-9089-d708b8696e76" ] } ], "mendeley" : { "formattedCitation" : "(Willing &amp; Fronek 2014)", "manualFormatting" : "(Willing &amp; Fronek, 2014)", "plainTextFormattedCitation" : "(Willing &amp; Fronek 2014)", "previouslyFormattedCitation" : "(Willing &amp; Fronek 2014)" }, "properties" : { "noteIndex" : 0 }, "schema" : "https://github.com/citation-style-language/schema/raw/master/csl-citation.json" }</w:instrText>
      </w:r>
      <w:r w:rsidR="00863490" w:rsidRPr="00466517">
        <w:rPr>
          <w:lang w:eastAsia="en-AU"/>
        </w:rPr>
        <w:fldChar w:fldCharType="separate"/>
      </w:r>
      <w:r w:rsidRPr="00466517">
        <w:rPr>
          <w:noProof/>
          <w:lang w:eastAsia="en-AU"/>
        </w:rPr>
        <w:t>(Willing &amp; Fronek, 2014)</w:t>
      </w:r>
      <w:r w:rsidR="00863490" w:rsidRPr="00466517">
        <w:rPr>
          <w:lang w:eastAsia="en-AU"/>
        </w:rPr>
        <w:fldChar w:fldCharType="end"/>
      </w:r>
      <w:r w:rsidRPr="00466517">
        <w:rPr>
          <w:lang w:eastAsia="en-AU"/>
        </w:rPr>
        <w:t>.</w:t>
      </w:r>
    </w:p>
    <w:p w14:paraId="65D762FA" w14:textId="77777777" w:rsidR="00C2196B" w:rsidRPr="00466517" w:rsidRDefault="00C2196B" w:rsidP="00C2196B">
      <w:pPr>
        <w:pStyle w:val="Paragraph"/>
        <w:rPr>
          <w:lang w:eastAsia="en-AU"/>
        </w:rPr>
      </w:pPr>
      <w:r w:rsidRPr="00466517">
        <w:rPr>
          <w:lang w:eastAsia="en-AU"/>
        </w:rPr>
        <w:t>Likewise, while there is an emerging literature generated by researchers who are intercountry adoptees, birth families remain almost invisible in this literature</w:t>
      </w:r>
      <w:r w:rsidR="00863490" w:rsidRPr="00466517">
        <w:rPr>
          <w:lang w:eastAsia="en-AU"/>
        </w:rPr>
        <w:fldChar w:fldCharType="begin" w:fldLock="1"/>
      </w:r>
      <w:r w:rsidRPr="00466517">
        <w:rPr>
          <w:lang w:eastAsia="en-AU"/>
        </w:rPr>
        <w:instrText>ADDIN CSL_CITATION { "citationItems" : [ { "id" : "ITEM-1", "itemData" : { "DOI" : "10.1017/S1474746412000140", "ISSN" : "14747464", "abstract" : "This review surveys sociological literature on intercountry adoption from 1997 to 2010. The analysis finds a preponderance of literature from the United States, reflecting its place as a major receiving country, and a focus on adoption experience organised by reference to the adoption triad: adoptive parents, adoptees, birth families. Reflecting the power imbalances in intercountry adoption, the voices and views of adoptive parents dominate the literature. There is an emerging literature generated by researchers who are intercountry adoptees, while birth families remain almost invisible in this literature. A further gap identified by this review is work which examines intercountry adoption as a global social practice and work which critically examines policy.", "author" : [ { "dropping-particle" : "", "family" : "Willing", "given" : "Indigo a. Williams", "non-dropping-particle" : "", "parse-names" : false, "suffix" : "" }, { "dropping-particle" : "", "family" : "Cuthbert", "given" : "Denise", "non-dropping-particle" : "", "parse-names" : false, "suffix" : "" }, { "dropping-particle" : "", "family" : "Fronek", "given" : "Patricia", "non-dropping-particle" : "", "parse-names" : false, "suffix" : "" }, { "dropping-particle" : "", "family" : "Cuthbert", "given" : "Denise", "non-dropping-particle" : "", "parse-names" : false, "suffix" : "" } ], "container-title" : "Social Policy &amp; Society", "id" : "ITEM-1", "issue" : "3", "issued" : { "date-parts" : [ [ "2012" ] ] }, "page" : "465-479", "title" : "Review of Sociological Literature on Intercountry Adoption", "type" : "article-journal", "volume" : "11" }, "uris" : [ "http://www.mendeley.com/documents/?uuid=ab0302e4-72b4-4b4f-ab02-7e5c985f7342", "http://www.mendeley.com/documents/?uuid=4e5db2fe-ab85-44d9-9227-b8d9dc8bf9ec" ] } ], "mendeley" : { "formattedCitation" : "(Willing et al. 2012)", "manualFormatting" : " (Willing, Cuthbert, Fronek, &amp; Cuthbert, 2012)", "plainTextFormattedCitation" : "(Willing et al. 2012)", "previouslyFormattedCitation" : "(Willing et al. 2012)" }, "properties" : { "noteIndex" : 0 }, "schema" : "https://github.com/citation-style-language/schema/raw/master/csl-citation.json" }</w:instrText>
      </w:r>
      <w:r w:rsidR="00863490" w:rsidRPr="00466517">
        <w:rPr>
          <w:lang w:eastAsia="en-AU"/>
        </w:rPr>
        <w:fldChar w:fldCharType="separate"/>
      </w:r>
      <w:r w:rsidRPr="00466517">
        <w:rPr>
          <w:noProof/>
          <w:lang w:eastAsia="en-AU"/>
        </w:rPr>
        <w:t xml:space="preserve"> (Willing, Cuthbert, Fronek, &amp; Cuthbert, 2012)</w:t>
      </w:r>
      <w:r w:rsidR="00863490" w:rsidRPr="00466517">
        <w:rPr>
          <w:lang w:eastAsia="en-AU"/>
        </w:rPr>
        <w:fldChar w:fldCharType="end"/>
      </w:r>
      <w:r w:rsidRPr="00466517">
        <w:rPr>
          <w:lang w:eastAsia="en-AU"/>
        </w:rPr>
        <w:t>.</w:t>
      </w:r>
    </w:p>
    <w:p w14:paraId="12FD0304" w14:textId="77777777" w:rsidR="00C2196B" w:rsidRPr="00466517" w:rsidRDefault="00C2196B" w:rsidP="004876F6">
      <w:pPr>
        <w:pStyle w:val="Heading9"/>
      </w:pPr>
      <w:r w:rsidRPr="00466517">
        <w:t>Longer term needs</w:t>
      </w:r>
    </w:p>
    <w:p w14:paraId="0F695D0A" w14:textId="77777777" w:rsidR="00C2196B" w:rsidRPr="00466517" w:rsidRDefault="00C2196B" w:rsidP="00C2196B">
      <w:pPr>
        <w:pStyle w:val="Paragraph"/>
        <w:rPr>
          <w:lang w:eastAsia="en-AU"/>
        </w:rPr>
      </w:pPr>
      <w:r w:rsidRPr="00466517">
        <w:rPr>
          <w:lang w:eastAsia="en-AU"/>
        </w:rPr>
        <w:t>Studies on intercountry adoptees have shown evidence of longer-term emotional, behavioural, and social problems.  These include high rate</w:t>
      </w:r>
      <w:r w:rsidR="0049766E">
        <w:rPr>
          <w:lang w:eastAsia="en-AU"/>
        </w:rPr>
        <w:t>s</w:t>
      </w:r>
      <w:r w:rsidRPr="00466517">
        <w:rPr>
          <w:lang w:eastAsia="en-AU"/>
        </w:rPr>
        <w:t xml:space="preserve"> of suicide, suicide attempts, depress</w:t>
      </w:r>
      <w:r w:rsidR="0049766E">
        <w:rPr>
          <w:lang w:eastAsia="en-AU"/>
        </w:rPr>
        <w:t>ion, and alcohol and drug abuse</w:t>
      </w:r>
      <w:r w:rsidRPr="00466517">
        <w:rPr>
          <w:lang w:eastAsia="en-AU"/>
        </w:rPr>
        <w:t xml:space="preserve"> </w:t>
      </w:r>
      <w:r w:rsidR="00863490" w:rsidRPr="00466517">
        <w:rPr>
          <w:lang w:eastAsia="en-AU"/>
        </w:rPr>
        <w:fldChar w:fldCharType="begin" w:fldLock="1"/>
      </w:r>
      <w:r w:rsidRPr="00466517">
        <w:rPr>
          <w:lang w:eastAsia="en-AU"/>
        </w:rPr>
        <w:instrText>ADDIN CSL_CITATION { "citationItems" : [ { "id" : "ITEM-1", "itemData" : { "author" : [ { "dropping-particle" : "", "family" : "Kim", "given" : "Wun Jung", "non-dropping-particle" : "", "parse-names" : false, "suffix" : "" } ], "container-title" : "The Lancet", "id" : "ITEM-1", "issue" : "10", "issued" : { "date-parts" : [ [ "2002" ] ] }, "title" : "Benefits and risks of intercountry adoption Realising the potential of targeted therapies in oncology For personal use . Only reproduce with permission from The Lancet Publishing Group .", "type" : "article-journal", "volume" : "360" }, "uris" : [ "http://www.mendeley.com/documents/?uuid=363a4e40-9838-47bd-be60-7c2998071eed", "http://www.mendeley.com/documents/?uuid=cf7f2903-2a87-472a-b1dd-c98d743483c7" ] } ], "mendeley" : { "formattedCitation" : "(Kim 2002)", "plainTextFormattedCitation" : "(Kim 2002)", "previouslyFormattedCitation" : "(Kim 2002)" }, "properties" : { "noteIndex" : 0 }, "schema" : "https://github.com/citation-style-language/schema/raw/master/csl-citation.json" }</w:instrText>
      </w:r>
      <w:r w:rsidR="00863490" w:rsidRPr="00466517">
        <w:rPr>
          <w:lang w:eastAsia="en-AU"/>
        </w:rPr>
        <w:fldChar w:fldCharType="separate"/>
      </w:r>
      <w:r w:rsidRPr="00466517">
        <w:rPr>
          <w:noProof/>
          <w:lang w:eastAsia="en-AU"/>
        </w:rPr>
        <w:t>(Kim 2002)</w:t>
      </w:r>
      <w:r w:rsidR="00863490" w:rsidRPr="00466517">
        <w:rPr>
          <w:lang w:eastAsia="en-AU"/>
        </w:rPr>
        <w:fldChar w:fldCharType="end"/>
      </w:r>
      <w:r w:rsidRPr="00466517">
        <w:rPr>
          <w:lang w:eastAsia="en-AU"/>
        </w:rPr>
        <w:t>.</w:t>
      </w:r>
    </w:p>
    <w:p w14:paraId="5822FF08" w14:textId="77777777" w:rsidR="0084696D" w:rsidRDefault="006A5A58" w:rsidP="005A000D">
      <w:pPr>
        <w:pStyle w:val="Heading8"/>
      </w:pPr>
      <w:r>
        <w:lastRenderedPageBreak/>
        <w:t xml:space="preserve">Information and support needs </w:t>
      </w:r>
      <w:r w:rsidR="00803D96">
        <w:t>for people at all stages of ICA</w:t>
      </w:r>
    </w:p>
    <w:p w14:paraId="519EAACD" w14:textId="77777777" w:rsidR="006A5A58" w:rsidRDefault="006A5A58" w:rsidP="006A5A58">
      <w:pPr>
        <w:pStyle w:val="Paragraph"/>
      </w:pPr>
      <w:r w:rsidRPr="00466517">
        <w:t xml:space="preserve">The importance of adequate preparation and realistic expectations among prospective adoptive parents has been highlighted in the literature, with Compassion for Orphans in New Zealand noting that “the type and degree of support received by the adoptive family in the form of pre and post placement services and broader community and family support are also key predictors of success” </w:t>
      </w:r>
      <w:r w:rsidR="00863490" w:rsidRPr="00466517">
        <w:fldChar w:fldCharType="begin" w:fldLock="1"/>
      </w:r>
      <w:r w:rsidRPr="00466517">
        <w:instrText>ADDIN CSL_CITATION { "citationItems" : [ { "id" : "ITEM-1", "itemData" : { "URL" : "http://www.cfo.org.nz/index.php/details-of-pre-adoption-education", "accessed" : { "date-parts" : [ [ "2016", "3", "23" ] ] }, "author" : [ { "dropping-particle" : "", "family" : "Compassion for Orphans", "given" : "", "non-dropping-particle" : "", "parse-names" : false, "suffix" : "" } ], "id" : "ITEM-1", "issued" : { "date-parts" : [ [ "2014" ] ] }, "title" : "Details of pre-adoption education, pre-adoption support and post-adoption support", "type" : "webpage" }, "uris" : [ "http://www.mendeley.com/documents/?uuid=7be9f11f-9624-4d71-8627-cb19cd421036" ] } ], "mendeley" : { "formattedCitation" : "(Compassion for Orphans 2014)", "plainTextFormattedCitation" : "(Compassion for Orphans 2014)", "previouslyFormattedCitation" : "(Compassion for Orphans 2014)" }, "properties" : { "noteIndex" : 0 }, "schema" : "https://github.com/citation-style-language/schema/raw/master/csl-citation.json" }</w:instrText>
      </w:r>
      <w:r w:rsidR="00863490" w:rsidRPr="00466517">
        <w:fldChar w:fldCharType="separate"/>
      </w:r>
      <w:r w:rsidRPr="00466517">
        <w:rPr>
          <w:noProof/>
        </w:rPr>
        <w:t>(Compassion for Orphans 2014)</w:t>
      </w:r>
      <w:r w:rsidR="00863490" w:rsidRPr="00466517">
        <w:fldChar w:fldCharType="end"/>
      </w:r>
      <w:r w:rsidRPr="00466517">
        <w:t>.</w:t>
      </w:r>
    </w:p>
    <w:p w14:paraId="4F0B4C98" w14:textId="77777777" w:rsidR="00D34B29" w:rsidRPr="00D34B29" w:rsidRDefault="00D34B29" w:rsidP="00D34B29">
      <w:pPr>
        <w:spacing w:before="240" w:after="240" w:line="264" w:lineRule="auto"/>
        <w:rPr>
          <w:lang w:eastAsia="en-AU"/>
        </w:rPr>
      </w:pPr>
      <w:r w:rsidRPr="00D34B29">
        <w:rPr>
          <w:lang w:eastAsia="en-AU"/>
        </w:rPr>
        <w:t xml:space="preserve">Key challenges and considerations identified in this literature scan include factors related to both the process of ICA, the characteristics of children currently deemed in need and the ongoing and long-term needs of ICA adoptees and their parents. </w:t>
      </w:r>
    </w:p>
    <w:p w14:paraId="7F86400D" w14:textId="77777777" w:rsidR="00D34B29" w:rsidRPr="00D34B29" w:rsidRDefault="00D34B29" w:rsidP="00D34B29">
      <w:pPr>
        <w:spacing w:before="240" w:after="240" w:line="264" w:lineRule="auto"/>
        <w:rPr>
          <w:lang w:eastAsia="en-AU"/>
        </w:rPr>
      </w:pPr>
      <w:r w:rsidRPr="00D34B29">
        <w:rPr>
          <w:lang w:eastAsia="en-AU"/>
        </w:rPr>
        <w:t>Potential and actual adoptive parents require information and support to prepare and guide them not only through the logistics of the process of ICA, but also in the longer term.</w:t>
      </w:r>
    </w:p>
    <w:p w14:paraId="5C5434F2" w14:textId="77777777" w:rsidR="006A5A58" w:rsidRDefault="006A5A58" w:rsidP="004876F6">
      <w:pPr>
        <w:pStyle w:val="Heading9"/>
      </w:pPr>
      <w:r>
        <w:t>Information and support for prospective parents</w:t>
      </w:r>
    </w:p>
    <w:p w14:paraId="25801C6E" w14:textId="77777777" w:rsidR="006A5A58" w:rsidRPr="006A5A58" w:rsidRDefault="006A5A58" w:rsidP="00B811BE">
      <w:pPr>
        <w:pStyle w:val="Paragraph"/>
      </w:pPr>
      <w:r w:rsidRPr="006A5A58">
        <w:t>In an Australian study, professionals involved in the adoption process highlighted key messages for prospective ICA clients:</w:t>
      </w:r>
      <w:r w:rsidR="00155065">
        <w:t xml:space="preserve"> </w:t>
      </w:r>
      <w:r w:rsidRPr="006A5A58">
        <w:t xml:space="preserve"> in particular the focus on children’s need (i.e. finding families for children, rather than children for families) and the importance of flexibility for coping with a complex and lengthy process, as well as the transitions required once adoption has taken place </w:t>
      </w:r>
      <w:r w:rsidR="00863490" w:rsidRPr="006A5A58">
        <w:fldChar w:fldCharType="begin" w:fldLock="1"/>
      </w:r>
      <w:r w:rsidRPr="006A5A58">
        <w:instrText>ADDIN CSL_CITATION { "citationItems" : [ { "id" : "ITEM-1", "itemData" : { "DOI" : "10.1080/0312407X.2011.594899", "ISSN" : "0312-407X", "abstract" : "Abstract Australian families are changing and parenthood is increasingly being seen as an individual choice. One important arena for exercising such choice is adoption, which today takes place across national boundaries in the form of intercountry adoption. This is now the predominant type of adoption in Australia. In order to reach their goal of parenthood, individuals choosing intercountry adoption must undergo an education and assessment process. This paper presents the findings from research undertaken as part of a larger doctoral study, with prospective intercountry adoptive parents, intercountry adoptive parents, adoption professionals, and support group representatives living in Australia. Three groups were found to exist in relation to the intercountry adoption assessment process: embracers, acceptors, and pragmatists. Factors influencing each group are discussed and suggestions for strengthening the role and efficacy of education and assessment in the selection of Australian intercountry adoptive parents are recommended.", "author" : [ { "dropping-particle" : "", "family" : "Young", "given" : "Alexandra", "non-dropping-particle" : "", "parse-names" : false, "suffix" : "" } ], "container-title" : "Australian Social Work", "id" : "ITEM-1", "issue" : "May 2013", "issued" : { "date-parts" : [ [ "2011" ] ] }, "page" : "1-14", "title" : "A Study of Australian Intercountry Adoption: Choosing Applicants to Parent", "type" : "article-journal", "volume" : "0748" }, "uris" : [ "http://www.mendeley.com/documents/?uuid=4f20ef27-0151-4508-8453-f9ed1e6153bd" ] } ], "mendeley" : { "formattedCitation" : "(Young 2011)", "plainTextFormattedCitation" : "(Young 2011)", "previouslyFormattedCitation" : "(Young 2011)" }, "properties" : { "noteIndex" : 0 }, "schema" : "https://github.com/citation-style-language/schema/raw/master/csl-citation.json" }</w:instrText>
      </w:r>
      <w:r w:rsidR="00863490" w:rsidRPr="006A5A58">
        <w:fldChar w:fldCharType="separate"/>
      </w:r>
      <w:r w:rsidRPr="006A5A58">
        <w:rPr>
          <w:noProof/>
        </w:rPr>
        <w:t>(Young 2011)</w:t>
      </w:r>
      <w:r w:rsidR="00863490" w:rsidRPr="006A5A58">
        <w:fldChar w:fldCharType="end"/>
      </w:r>
      <w:r w:rsidRPr="006A5A58">
        <w:t>.</w:t>
      </w:r>
    </w:p>
    <w:p w14:paraId="3ECF6CBF" w14:textId="163F9C09" w:rsidR="006A5A58" w:rsidRPr="006A5A58" w:rsidRDefault="006A5A58" w:rsidP="00B811BE">
      <w:pPr>
        <w:pStyle w:val="Paragraph"/>
      </w:pPr>
      <w:r w:rsidRPr="006A5A58">
        <w:t>A 2010 doc</w:t>
      </w:r>
      <w:r w:rsidR="00B811BE">
        <w:t>ument prepared by the U.S. Center</w:t>
      </w:r>
      <w:r w:rsidRPr="006A5A58">
        <w:t xml:space="preserve"> for Adoption Policy recommended adoption agencies provide adequate preparation for caring for children with particular medical and psychological needs, identify local services and support networks, and establish formal mentoring relationships with other ICA parents </w:t>
      </w:r>
      <w:r w:rsidR="00863490" w:rsidRPr="006A5A58">
        <w:fldChar w:fldCharType="begin" w:fldLock="1"/>
      </w:r>
      <w:r w:rsidRPr="006A5A58">
        <w:instrText>ADDIN CSL_CITATION { "citationItems" : [ { "id" : "ITEM-1", "itemData" : { "DOI" : "10.1017/CBO9781107415324.004", "ISBN" : "9788578110796", "ISSN" : "1098-6596", "PMID" : "25246403", "author" : [ { "dropping-particle" : "", "family" : "Center for Adoption Policy", "given" : "", "non-dropping-particle" : "", "parse-names" : false, "suffix" : "" } ], "id" : "ITEM-1", "issued" : { "date-parts" : [ [ "2010" ] ] }, "title" : "Best practices in international adoption: proposed framework", "type" : "book" }, "uris" : [ "http://www.mendeley.com/documents/?uuid=a9f9fe99-1958-4699-8ece-43f8c787d31d" ] } ], "mendeley" : { "formattedCitation" : "(Center for Adoption Policy 2010)", "plainTextFormattedCitation" : "(Center for Adoption Policy 2010)", "previouslyFormattedCitation" : "(Center for Adoption Policy 2010)" }, "properties" : { "noteIndex" : 0 }, "schema" : "https://github.com/citation-style-language/schema/raw/master/csl-citation.json" }</w:instrText>
      </w:r>
      <w:r w:rsidR="00863490" w:rsidRPr="006A5A58">
        <w:fldChar w:fldCharType="separate"/>
      </w:r>
      <w:r w:rsidRPr="006A5A58">
        <w:rPr>
          <w:noProof/>
        </w:rPr>
        <w:t>(Center for Adoption Policy 2010)</w:t>
      </w:r>
      <w:r w:rsidR="00863490" w:rsidRPr="006A5A58">
        <w:fldChar w:fldCharType="end"/>
      </w:r>
      <w:r w:rsidRPr="006A5A58">
        <w:t xml:space="preserve">. </w:t>
      </w:r>
    </w:p>
    <w:p w14:paraId="368BAB7C" w14:textId="77777777" w:rsidR="006A5A58" w:rsidRPr="006A5A58" w:rsidRDefault="006A5A58" w:rsidP="00B811BE">
      <w:pPr>
        <w:pStyle w:val="Paragraph"/>
      </w:pPr>
      <w:r w:rsidRPr="006A5A58">
        <w:t xml:space="preserve">It has also been reported that prospective ICA parents are often experiencing personal issues of grief and loss related to infertility.  Consequently, education, empathy, support and/or counselling may be important as they transition from fertility services to ICA processes </w:t>
      </w:r>
      <w:r w:rsidR="00863490" w:rsidRPr="006A5A58">
        <w:fldChar w:fldCharType="begin" w:fldLock="1"/>
      </w:r>
      <w:r w:rsidRPr="006A5A58">
        <w:instrText>ADDIN CSL_CITATION { "citationItems" : [ { "id" : "ITEM-1", "itemData" : { "author" : [ { "dropping-particle" : "", "family" : "Australian Association of Social Workers", "given" : "", "non-dropping-particle" : "", "parse-names" : false, "suffix" : "" } ], "id" : "ITEM-1", "issued" : { "date-parts" : [ [ "2015" ] ] }, "title" : "Position Statement: Intercountry Adoption", "type" : "book" }, "uris" : [ "http://www.mendeley.com/documents/?uuid=91632c2c-6e6c-419f-8871-e7dce760629e" ] } ], "mendeley" : { "formattedCitation" : "(Australian Association of Social Workers 2015)", "plainTextFormattedCitation" : "(Australian Association of Social Workers 2015)", "previouslyFormattedCitation" : "(Australian Association of Social Workers 2015)" }, "properties" : { "noteIndex" : 0 }, "schema" : "https://github.com/citation-style-language/schema/raw/master/csl-citation.json" }</w:instrText>
      </w:r>
      <w:r w:rsidR="00863490" w:rsidRPr="006A5A58">
        <w:fldChar w:fldCharType="separate"/>
      </w:r>
      <w:r w:rsidRPr="006A5A58">
        <w:rPr>
          <w:noProof/>
        </w:rPr>
        <w:t>(Australian Association of Social Workers 2015)</w:t>
      </w:r>
      <w:r w:rsidR="00863490" w:rsidRPr="006A5A58">
        <w:fldChar w:fldCharType="end"/>
      </w:r>
      <w:r w:rsidRPr="006A5A58">
        <w:t>.</w:t>
      </w:r>
    </w:p>
    <w:p w14:paraId="273E948E" w14:textId="77777777" w:rsidR="006A5A58" w:rsidRDefault="006A5A58" w:rsidP="004876F6">
      <w:pPr>
        <w:pStyle w:val="Heading9"/>
      </w:pPr>
      <w:r>
        <w:t xml:space="preserve">Support through the process of </w:t>
      </w:r>
      <w:r w:rsidR="0036036C">
        <w:t>ICA</w:t>
      </w:r>
    </w:p>
    <w:p w14:paraId="26D5E3A1" w14:textId="77777777" w:rsidR="006A5A58" w:rsidRPr="006A5A58" w:rsidRDefault="006A5A58" w:rsidP="006A5A58">
      <w:pPr>
        <w:pStyle w:val="Paragraph"/>
        <w:rPr>
          <w:lang w:eastAsia="en-AU"/>
        </w:rPr>
      </w:pPr>
      <w:r w:rsidRPr="006A5A58">
        <w:rPr>
          <w:lang w:eastAsia="en-AU"/>
        </w:rPr>
        <w:t>When actively pursuing ICA, prospective parents require accurate and transparent information about the process, both from the Australian perspective (including both federal and state/territory-specific legislation and requirements) and that of the country of origin of the potential adoptee.  These needs span the timeframe from initial consideration of ICA through to finalising the legal requirements in both Australia and the country of origin and bringing a child/children to Australia.</w:t>
      </w:r>
    </w:p>
    <w:p w14:paraId="768A5B5F" w14:textId="77777777" w:rsidR="006A5A58" w:rsidRDefault="00803D96" w:rsidP="004876F6">
      <w:pPr>
        <w:pStyle w:val="Heading9"/>
      </w:pPr>
      <w:r>
        <w:t>Ongoing support needs of adoptive parents</w:t>
      </w:r>
    </w:p>
    <w:p w14:paraId="34E03B15" w14:textId="77777777" w:rsidR="00803D96" w:rsidRPr="00803D96" w:rsidRDefault="00803D96" w:rsidP="00803D96">
      <w:pPr>
        <w:pStyle w:val="Paragraph"/>
        <w:rPr>
          <w:lang w:eastAsia="en-AU"/>
        </w:rPr>
      </w:pPr>
      <w:r w:rsidRPr="00803D96">
        <w:rPr>
          <w:lang w:eastAsia="en-AU"/>
        </w:rPr>
        <w:t xml:space="preserve">Post-adoption support has been identified as an important component of the ICA process, and one that is often seen to be inadequate.  As noted in Section, ICA families face particular long-term issues and challenges.  A 2013 survey of ICA families in Queensland identified the first two years after placement as a key period in which support for families is lacking </w:t>
      </w:r>
      <w:r w:rsidR="00863490" w:rsidRPr="00803D96">
        <w:rPr>
          <w:lang w:eastAsia="en-AU"/>
        </w:rPr>
        <w:fldChar w:fldCharType="begin" w:fldLock="1"/>
      </w:r>
      <w:r w:rsidRPr="00803D96">
        <w:rPr>
          <w:lang w:eastAsia="en-AU"/>
        </w:rPr>
        <w:instrText>ADDIN CSL_CITATION { "citationItems" : [ { "id" : "ITEM-1", "itemData" : { "author" : [ { "dropping-particle" : "", "family" : "The Benevolent Society", "given" : "", "non-dropping-particle" : "", "parse-names" : false, "suffix" : "" } ], "id" : "ITEM-1", "issued" : { "date-parts" : [ [ "2013" ] ] }, "publisher" : "The Benevolent Society", "publisher-place" : "Paddington, NSW", "title" : "Post-adoption support needs of international adoptive families", "type" : "book" }, "uris" : [ "http://www.mendeley.com/documents/?uuid=c4f50216-5a53-4f3e-9912-ffb941253803", "http://www.mendeley.com/documents/?uuid=d635b43e-9707-4d3f-b4a0-a660d927a09d" ] } ], "mendeley" : { "formattedCitation" : "(The Benevolent Society 2013)", "plainTextFormattedCitation" : "(The Benevolent Society 2013)", "previouslyFormattedCitation" : "(The Benevolent Society 2013)" }, "properties" : { "noteIndex" : 0 }, "schema" : "https://github.com/citation-style-language/schema/raw/master/csl-citation.json" }</w:instrText>
      </w:r>
      <w:r w:rsidR="00863490" w:rsidRPr="00803D96">
        <w:rPr>
          <w:lang w:eastAsia="en-AU"/>
        </w:rPr>
        <w:fldChar w:fldCharType="separate"/>
      </w:r>
      <w:r w:rsidRPr="00803D96">
        <w:rPr>
          <w:noProof/>
          <w:lang w:eastAsia="en-AU"/>
        </w:rPr>
        <w:t>(The Benevolent Society 2013)</w:t>
      </w:r>
      <w:r w:rsidR="00863490" w:rsidRPr="00803D96">
        <w:rPr>
          <w:lang w:eastAsia="en-AU"/>
        </w:rPr>
        <w:fldChar w:fldCharType="end"/>
      </w:r>
      <w:r w:rsidRPr="00803D96">
        <w:rPr>
          <w:lang w:eastAsia="en-AU"/>
        </w:rPr>
        <w:t xml:space="preserve">.  In the U.S, the Center for Adoption Policy recommends ‘intensive support services’ post-placement and, importantly, identifies both the medical, developmental and psychological needs of adopted children and the support and mental health needs of adoptive parents  </w:t>
      </w:r>
      <w:r w:rsidR="00863490" w:rsidRPr="00803D96">
        <w:rPr>
          <w:lang w:eastAsia="en-AU"/>
        </w:rPr>
        <w:fldChar w:fldCharType="begin" w:fldLock="1"/>
      </w:r>
      <w:r w:rsidRPr="00803D96">
        <w:rPr>
          <w:lang w:eastAsia="en-AU"/>
        </w:rPr>
        <w:instrText>ADDIN CSL_CITATION { "citationItems" : [ { "id" : "ITEM-1", "itemData" : { "DOI" : "10.1017/CBO9781107415324.004", "ISBN" : "9788578110796", "ISSN" : "1098-6596", "PMID" : "25246403", "author" : [ { "dropping-particle" : "", "family" : "Center for Adoption Policy", "given" : "", "non-dropping-particle" : "", "parse-names" : false, "suffix" : "" } ], "id" : "ITEM-1", "issued" : { "date-parts" : [ [ "2010" ] ] }, "title" : "Best practices in international adoption: proposed framework", "type" : "book" }, "uris" : [ "http://www.mendeley.com/documents/?uuid=a9f9fe99-1958-4699-8ece-43f8c787d31d" ] } ], "mendeley" : { "formattedCitation" : "(Center for Adoption Policy 2010)", "plainTextFormattedCitation" : "(Center for Adoption Policy 2010)", "previouslyFormattedCitation" : "(Center for Adoption Policy 2010)" }, "properties" : { "noteIndex" : 0 }, "schema" : "https://github.com/citation-style-language/schema/raw/master/csl-citation.json" }</w:instrText>
      </w:r>
      <w:r w:rsidR="00863490" w:rsidRPr="00803D96">
        <w:rPr>
          <w:lang w:eastAsia="en-AU"/>
        </w:rPr>
        <w:fldChar w:fldCharType="separate"/>
      </w:r>
      <w:r w:rsidRPr="00803D96">
        <w:rPr>
          <w:noProof/>
          <w:lang w:eastAsia="en-AU"/>
        </w:rPr>
        <w:t>(Center for Adoption Policy 2010)</w:t>
      </w:r>
      <w:r w:rsidR="00863490" w:rsidRPr="00803D96">
        <w:rPr>
          <w:lang w:eastAsia="en-AU"/>
        </w:rPr>
        <w:fldChar w:fldCharType="end"/>
      </w:r>
      <w:r w:rsidRPr="00803D96">
        <w:rPr>
          <w:lang w:eastAsia="en-AU"/>
        </w:rPr>
        <w:t xml:space="preserve">. </w:t>
      </w:r>
    </w:p>
    <w:p w14:paraId="194759F1" w14:textId="77777777" w:rsidR="00803D96" w:rsidRPr="00803D96" w:rsidRDefault="00803D96" w:rsidP="00803D96">
      <w:pPr>
        <w:pStyle w:val="Paragraph"/>
        <w:rPr>
          <w:lang w:eastAsia="en-AU"/>
        </w:rPr>
      </w:pPr>
      <w:r w:rsidRPr="00803D96">
        <w:rPr>
          <w:lang w:eastAsia="en-AU"/>
        </w:rPr>
        <w:lastRenderedPageBreak/>
        <w:t xml:space="preserve">Professional support and formal and informal networking opportunities can greatly assist ICA parents in navigating the challenges they are likely to face. However, while adoptive parents recognise the need for specialists to be aware of the unique needs of ICA children, the limited availability of professionals with skills in the area can be a source of frustration for them </w:t>
      </w:r>
      <w:r w:rsidR="00863490" w:rsidRPr="00803D96">
        <w:rPr>
          <w:lang w:eastAsia="en-AU"/>
        </w:rPr>
        <w:fldChar w:fldCharType="begin" w:fldLock="1"/>
      </w:r>
      <w:r w:rsidRPr="00803D96">
        <w:rPr>
          <w:lang w:eastAsia="en-AU"/>
        </w:rPr>
        <w:instrText>ADDIN CSL_CITATION { "citationItems" : [ { "id" : "ITEM-1", "itemData" : { "DOI" : "10.1080/10926755.2012.754811", "author" : [ { "dropping-particle" : "", "family" : "Golding", "given" : "Shannon", "non-dropping-particle" : "", "parse-names" : false, "suffix" : "" }, { "dropping-particle" : "", "family" : "Leit\u00e3o", "given" : "Suze", "non-dropping-particle" : "", "parse-names" : false, "suffix" : "" }, { "dropping-particle" : "", "family" : "Williams", "given" : "Cori", "non-dropping-particle" : "", "parse-names" : false, "suffix" : "" } ], "id" : "ITEM-1", "issue" : "December", "issued" : { "date-parts" : [ [ "2015" ] ] }, "title" : "Speech and Language Development of Intercountry Adopted Children Aged 3 to 6 Years : An Explorative Study of Australian Parents \u2019 Knowledge , Beliefs , and Experiences Intercountry Adopted Children Aged 3 to 6 Years : An Explorative Study of Australian Pa", "type" : "article-journal", "volume" : "6755" }, "uris" : [ "http://www.mendeley.com/documents/?uuid=6a516348-bb37-48b6-bd26-f8657f3afdf8", "http://www.mendeley.com/documents/?uuid=f2310b3d-0b03-4ef2-bdae-1a9a43d63e8a" ] } ], "mendeley" : { "formattedCitation" : "(Golding et al. 2015)", "plainTextFormattedCitation" : "(Golding et al. 2015)", "previouslyFormattedCitation" : "(Golding et al. 2015)" }, "properties" : { "noteIndex" : 0 }, "schema" : "https://github.com/citation-style-language/schema/raw/master/csl-citation.json" }</w:instrText>
      </w:r>
      <w:r w:rsidR="00863490" w:rsidRPr="00803D96">
        <w:rPr>
          <w:lang w:eastAsia="en-AU"/>
        </w:rPr>
        <w:fldChar w:fldCharType="separate"/>
      </w:r>
      <w:r w:rsidRPr="00803D96">
        <w:rPr>
          <w:noProof/>
          <w:lang w:eastAsia="en-AU"/>
        </w:rPr>
        <w:t>(Golding et al. 2015)</w:t>
      </w:r>
      <w:r w:rsidR="00863490" w:rsidRPr="00803D96">
        <w:rPr>
          <w:lang w:eastAsia="en-AU"/>
        </w:rPr>
        <w:fldChar w:fldCharType="end"/>
      </w:r>
      <w:r w:rsidRPr="00803D96">
        <w:rPr>
          <w:lang w:eastAsia="en-AU"/>
        </w:rPr>
        <w:t xml:space="preserve">.  Despite an overwhelming amount of information being available on the internet, easily accessible, reliable information on the topics of  most relevance may be more difficult to find </w:t>
      </w:r>
      <w:r w:rsidR="00863490" w:rsidRPr="00803D96">
        <w:rPr>
          <w:lang w:eastAsia="en-AU"/>
        </w:rPr>
        <w:fldChar w:fldCharType="begin" w:fldLock="1"/>
      </w:r>
      <w:r w:rsidRPr="00803D96">
        <w:rPr>
          <w:lang w:eastAsia="en-AU"/>
        </w:rPr>
        <w:instrText>ADDIN CSL_CITATION { "citationItems" : [ { "id" : "ITEM-1", "itemData" : { "DOI" : "10.1080/10926755.2012.754811", "author" : [ { "dropping-particle" : "", "family" : "Golding", "given" : "Shannon", "non-dropping-particle" : "", "parse-names" : false, "suffix" : "" }, { "dropping-particle" : "", "family" : "Leit\u00e3o", "given" : "Suze", "non-dropping-particle" : "", "parse-names" : false, "suffix" : "" }, { "dropping-particle" : "", "family" : "Williams", "given" : "Cori", "non-dropping-particle" : "", "parse-names" : false, "suffix" : "" } ], "id" : "ITEM-1", "issue" : "December", "issued" : { "date-parts" : [ [ "2015" ] ] }, "title" : "Speech and Language Development of Intercountry Adopted Children Aged 3 to 6 Years : An Explorative Study of Australian Parents \u2019 Knowledge , Beliefs , and Experiences Intercountry Adopted Children Aged 3 to 6 Years : An Explorative Study of Australian Pa", "type" : "article-journal", "volume" : "6755" }, "uris" : [ "http://www.mendeley.com/documents/?uuid=f2310b3d-0b03-4ef2-bdae-1a9a43d63e8a" ] } ], "mendeley" : { "formattedCitation" : "(Golding et al. 2015)", "plainTextFormattedCitation" : "(Golding et al. 2015)", "previouslyFormattedCitation" : "(Golding et al. 2015)" }, "properties" : { "noteIndex" : 0 }, "schema" : "https://github.com/citation-style-language/schema/raw/master/csl-citation.json" }</w:instrText>
      </w:r>
      <w:r w:rsidR="00863490" w:rsidRPr="00803D96">
        <w:rPr>
          <w:lang w:eastAsia="en-AU"/>
        </w:rPr>
        <w:fldChar w:fldCharType="separate"/>
      </w:r>
      <w:r w:rsidRPr="00803D96">
        <w:rPr>
          <w:noProof/>
          <w:lang w:eastAsia="en-AU"/>
        </w:rPr>
        <w:t>(Golding et al. 2015)</w:t>
      </w:r>
      <w:r w:rsidR="00863490" w:rsidRPr="00803D96">
        <w:rPr>
          <w:lang w:eastAsia="en-AU"/>
        </w:rPr>
        <w:fldChar w:fldCharType="end"/>
      </w:r>
      <w:r w:rsidR="00155065">
        <w:rPr>
          <w:lang w:eastAsia="en-AU"/>
        </w:rPr>
        <w:t>.</w:t>
      </w:r>
    </w:p>
    <w:p w14:paraId="615226B3" w14:textId="77777777" w:rsidR="00803D96" w:rsidRPr="00803D96" w:rsidRDefault="00803D96" w:rsidP="00803D96">
      <w:pPr>
        <w:pStyle w:val="Paragraph"/>
        <w:rPr>
          <w:lang w:eastAsia="en-AU"/>
        </w:rPr>
      </w:pPr>
      <w:r w:rsidRPr="00803D96">
        <w:rPr>
          <w:lang w:eastAsia="en-AU"/>
        </w:rPr>
        <w:t xml:space="preserve">Other support needs include helping parents to navigate the potential psychological/psychosocial and cultural challenges faced by many ICA parents and children.  The ACT’s information sheet on </w:t>
      </w:r>
      <w:r w:rsidR="0036036C">
        <w:rPr>
          <w:lang w:eastAsia="en-AU"/>
        </w:rPr>
        <w:t>ICA</w:t>
      </w:r>
      <w:r w:rsidRPr="00803D96">
        <w:rPr>
          <w:lang w:eastAsia="en-AU"/>
        </w:rPr>
        <w:t xml:space="preserve"> states that “Applicants must be able to provide a loving, consistent and stable family environment for an overseas child.  Intercountry adoptive parenting also requires a commitment to, and respect for, the child’s biological heritage and cultural origins.  Applicants must be willing to establish and maintain links for a child with their culture of origin to ensure the child has an integrated sense of cultural identity. </w:t>
      </w:r>
      <w:r w:rsidR="00155065">
        <w:rPr>
          <w:lang w:eastAsia="en-AU"/>
        </w:rPr>
        <w:t xml:space="preserve"> </w:t>
      </w:r>
      <w:r w:rsidRPr="00803D96">
        <w:rPr>
          <w:lang w:eastAsia="en-AU"/>
        </w:rPr>
        <w:t xml:space="preserve">This involves the capacity to embrace life as an identified inter-racial family” </w:t>
      </w:r>
      <w:r w:rsidR="00863490" w:rsidRPr="00803D96">
        <w:rPr>
          <w:lang w:eastAsia="en-AU"/>
        </w:rPr>
        <w:fldChar w:fldCharType="begin" w:fldLock="1"/>
      </w:r>
      <w:r w:rsidRPr="00803D96">
        <w:rPr>
          <w:lang w:eastAsia="en-AU"/>
        </w:rPr>
        <w:instrText>ADDIN CSL_CITATION { "citationItems" : [ { "id" : "ITEM-1", "itemData" : { "URL" : "http://www.communityservices.act.gov.au/__data/assets/pdf_file/0011/808445/Intercountry-Adoption-in-the-ACT.pdf", "accessed" : { "date-parts" : [ [ "2016", "7", "20" ] ] }, "author" : [ { "dropping-particle" : "", "family" : "ACT Government Community Services", "given" : "", "non-dropping-particle" : "", "parse-names" : false, "suffix" : "" } ], "id" : "ITEM-1", "issued" : { "date-parts" : [ [ "2015" ] ] }, "title" : "Intercountry adoption: information for applicants", "type" : "webpage" }, "uris" : [ "http://www.mendeley.com/documents/?uuid=423a7673-f96a-4a04-8333-5419f71890a1" ] } ], "mendeley" : { "formattedCitation" : "(ACT Government Community Services 2015)", "plainTextFormattedCitation" : "(ACT Government Community Services 2015)", "previouslyFormattedCitation" : "(ACT Government Community Services 2015)" }, "properties" : { "noteIndex" : 0 }, "schema" : "https://github.com/citation-style-language/schema/raw/master/csl-citation.json" }</w:instrText>
      </w:r>
      <w:r w:rsidR="00863490" w:rsidRPr="00803D96">
        <w:rPr>
          <w:lang w:eastAsia="en-AU"/>
        </w:rPr>
        <w:fldChar w:fldCharType="separate"/>
      </w:r>
      <w:r w:rsidRPr="00803D96">
        <w:rPr>
          <w:noProof/>
          <w:lang w:eastAsia="en-AU"/>
        </w:rPr>
        <w:t>(ACT Government Community Services 2015)</w:t>
      </w:r>
      <w:r w:rsidR="00863490" w:rsidRPr="00803D96">
        <w:rPr>
          <w:lang w:eastAsia="en-AU"/>
        </w:rPr>
        <w:fldChar w:fldCharType="end"/>
      </w:r>
      <w:r w:rsidRPr="00803D96">
        <w:rPr>
          <w:lang w:eastAsia="en-AU"/>
        </w:rPr>
        <w:t xml:space="preserve">.  Similarly, in Victoria, Section 35e of the Adoption Regulations mandates that “the applicants have the capacity to provide appropriate support to the maintenance of a child’s cultural identity and religious faith (if any)” </w:t>
      </w:r>
      <w:r w:rsidR="00863490" w:rsidRPr="00803D96">
        <w:rPr>
          <w:lang w:eastAsia="en-AU"/>
        </w:rPr>
        <w:fldChar w:fldCharType="begin" w:fldLock="1"/>
      </w:r>
      <w:r w:rsidR="004C7063">
        <w:rPr>
          <w:lang w:eastAsia="en-AU"/>
        </w:rPr>
        <w:instrText>ADDIN CSL_CITATION { "citationItems" : [ { "id" : "ITEM-1", "itemData" : { "author" : [ { "dropping-particle" : "", "family" : "Intercountry Adoption Victoria", "given" : "", "non-dropping-particle" : "", "parse-names" : false, "suffix" : "" } ], "id" : "ITEM-1", "issued" : { "date-parts" : [ [ "2015" ] ] }, "publisher" : "Victorian Government", "publisher-place" : "Melbourne", "title" : "IAV assessment standard No.9: Child wellbeing (retention of name)", "type" : "book" }, "uris" : [ "http://www.mendeley.com/documents/?uuid=f1d6abae-3dc1-44b6-a077-482abe68c56f" ] } ], "mendeley" : { "formattedCitation" : "(Intercountry Adoption Victoria 2015)", "plainTextFormattedCitation" : "(Intercountry Adoption Victoria 2015)", "previouslyFormattedCitation" : "(Intercountry Adoption Victoria 2015)" }, "properties" : { "noteIndex" : 0 }, "schema" : "https://github.com/citation-style-language/schema/raw/master/csl-citation.json" }</w:instrText>
      </w:r>
      <w:r w:rsidR="00863490" w:rsidRPr="00803D96">
        <w:rPr>
          <w:lang w:eastAsia="en-AU"/>
        </w:rPr>
        <w:fldChar w:fldCharType="separate"/>
      </w:r>
      <w:r w:rsidR="004C7063" w:rsidRPr="004C7063">
        <w:rPr>
          <w:noProof/>
          <w:lang w:eastAsia="en-AU"/>
        </w:rPr>
        <w:t>(Intercountry Adoption Victoria 2015)</w:t>
      </w:r>
      <w:r w:rsidR="00863490" w:rsidRPr="00803D96">
        <w:rPr>
          <w:lang w:eastAsia="en-AU"/>
        </w:rPr>
        <w:fldChar w:fldCharType="end"/>
      </w:r>
      <w:r w:rsidRPr="00803D96">
        <w:rPr>
          <w:lang w:eastAsia="en-AU"/>
        </w:rPr>
        <w:t>.</w:t>
      </w:r>
    </w:p>
    <w:p w14:paraId="27A38B0D" w14:textId="77777777" w:rsidR="00803D96" w:rsidRDefault="008F3A3B" w:rsidP="00283E1C">
      <w:pPr>
        <w:pStyle w:val="Heading8"/>
      </w:pPr>
      <w:r>
        <w:t>International models of ICA support</w:t>
      </w:r>
    </w:p>
    <w:p w14:paraId="481A4C63" w14:textId="77777777" w:rsidR="008F3A3B" w:rsidRDefault="008F3A3B" w:rsidP="008F3A3B">
      <w:pPr>
        <w:pStyle w:val="Paragraph"/>
        <w:rPr>
          <w:lang w:eastAsia="en-AU"/>
        </w:rPr>
      </w:pPr>
      <w:r>
        <w:rPr>
          <w:lang w:eastAsia="en-AU"/>
        </w:rPr>
        <w:t>ICA policies and practices vary around the world.  Even among Hague Convention signatories, differing local legislation and contexts (including the involvement of government, non-government and private organisations in the ICA process) result in different models of support for prospective and actual ICA parents.  Because of this, international models of ICA support processes may not be relevant to the Australian context.</w:t>
      </w:r>
    </w:p>
    <w:p w14:paraId="33F14390" w14:textId="77777777" w:rsidR="008F3A3B" w:rsidRDefault="008F3A3B" w:rsidP="008F3A3B">
      <w:pPr>
        <w:pStyle w:val="Paragraph"/>
        <w:rPr>
          <w:lang w:eastAsia="en-AU"/>
        </w:rPr>
      </w:pPr>
      <w:r>
        <w:rPr>
          <w:lang w:eastAsia="en-AU"/>
        </w:rPr>
        <w:t xml:space="preserve">Nevertheless, this section summarises models of ICA support in several countries other than Australia, chosen for the size of their ICA program and English language (to allow analysis of policies and support resources).  The information presented is based on a brief scan of available literature and international websites, and is therefore not intended to be comprehensive.  Rather, the aim of the scan was to identify any models/modalities of support not currently available (but potentially of use) in Australia.  Relevant information from the USA, Canada, United Kingdom and New Zealand is summarised below.  </w:t>
      </w:r>
    </w:p>
    <w:p w14:paraId="49B9BDBC" w14:textId="77777777" w:rsidR="008F3A3B" w:rsidRDefault="008F3A3B" w:rsidP="008F3A3B">
      <w:pPr>
        <w:pStyle w:val="Paragraph"/>
        <w:rPr>
          <w:lang w:eastAsia="en-AU"/>
        </w:rPr>
      </w:pPr>
      <w:r>
        <w:rPr>
          <w:lang w:eastAsia="en-AU"/>
        </w:rPr>
        <w:t xml:space="preserve">In addition, while waiting times are a frustration often reported by prospective ICA parents, there is little evidence that improving processes or reducing waiting times would affect ICA rates </w:t>
      </w:r>
      <w:r w:rsidR="00863490">
        <w:rPr>
          <w:lang w:eastAsia="en-AU"/>
        </w:rPr>
        <w:fldChar w:fldCharType="begin" w:fldLock="1"/>
      </w:r>
      <w:r>
        <w:rPr>
          <w:lang w:eastAsia="en-AU"/>
        </w:rPr>
        <w:instrText>ADDIN CSL_CITATION { "citationItems" : [ { "id" : "ITEM-1", "itemData" : { "author" : [ { "dropping-particle" : "", "family" : "Katz", "given" : "Ilan", "non-dropping-particle" : "", "parse-names" : false, "suffix" : "" }, { "dropping-particle" : "", "family" : "Hilferty", "given" : "Fiona", "non-dropping-particle" : "", "parse-names" : false, "suffix" : "" }, { "dropping-particle" : "", "family" : "Wichelen", "given" : "Sonja", "non-dropping-particle" : "Van", "parse-names" : false, "suffix" : "" } ], "id" : "ITEM-1", "issued" : { "date-parts" : [ [ "2016" ] ] }, "publisher" : "University of New South Wales Social Policy Research Centre", "publisher-place" : "Sydney", "title" : "Literature review on factors influencing intercountry adoption rates", "type" : "book" }, "uris" : [ "http://www.mendeley.com/documents/?uuid=2a2580cb-9924-450f-b13f-821efe884ef2" ] } ], "mendeley" : { "formattedCitation" : "(Katz et al. 2016)", "plainTextFormattedCitation" : "(Katz et al. 2016)", "previouslyFormattedCitation" : "(Katz et al. 2016)" }, "properties" : { "noteIndex" : 0 }, "schema" : "https://github.com/citation-style-language/schema/raw/master/csl-citation.json" }</w:instrText>
      </w:r>
      <w:r w:rsidR="00863490">
        <w:rPr>
          <w:lang w:eastAsia="en-AU"/>
        </w:rPr>
        <w:fldChar w:fldCharType="separate"/>
      </w:r>
      <w:r w:rsidRPr="007E6E63">
        <w:rPr>
          <w:noProof/>
          <w:lang w:eastAsia="en-AU"/>
        </w:rPr>
        <w:t>(Katz et al. 2016)</w:t>
      </w:r>
      <w:r w:rsidR="00863490">
        <w:rPr>
          <w:lang w:eastAsia="en-AU"/>
        </w:rPr>
        <w:fldChar w:fldCharType="end"/>
      </w:r>
      <w:r>
        <w:rPr>
          <w:lang w:eastAsia="en-AU"/>
        </w:rPr>
        <w:t xml:space="preserve"> (although it would likely affect parental satisfaction with the process). </w:t>
      </w:r>
    </w:p>
    <w:p w14:paraId="75B0A7A4" w14:textId="77777777" w:rsidR="008F3A3B" w:rsidRDefault="008F3A3B" w:rsidP="004876F6">
      <w:pPr>
        <w:pStyle w:val="Heading9"/>
      </w:pPr>
      <w:r>
        <w:t>USA</w:t>
      </w:r>
    </w:p>
    <w:p w14:paraId="151C3052" w14:textId="77777777" w:rsidR="008F3A3B" w:rsidRPr="008F3A3B" w:rsidRDefault="008F3A3B" w:rsidP="008F3A3B">
      <w:pPr>
        <w:pStyle w:val="Paragraph"/>
        <w:rPr>
          <w:lang w:eastAsia="en-AU"/>
        </w:rPr>
      </w:pPr>
      <w:r w:rsidRPr="008F3A3B">
        <w:rPr>
          <w:lang w:eastAsia="en-AU"/>
        </w:rPr>
        <w:t xml:space="preserve">In the U.S., prospective ICA clients work with accredited adoption service providers to facilitate the process, overseen by the Office of Children’s Issues (OCI) within the Bureau of Consular Affairs, U.S. Department of State (the Central Authority for the purposes of the Hague Convention).  </w:t>
      </w:r>
    </w:p>
    <w:p w14:paraId="7576896F" w14:textId="77777777" w:rsidR="008F3A3B" w:rsidRPr="008F3A3B" w:rsidRDefault="008F3A3B" w:rsidP="008F3A3B">
      <w:pPr>
        <w:pStyle w:val="Paragraph"/>
        <w:rPr>
          <w:lang w:eastAsia="en-AU"/>
        </w:rPr>
      </w:pPr>
      <w:r w:rsidRPr="008F3A3B">
        <w:rPr>
          <w:lang w:eastAsia="en-AU"/>
        </w:rPr>
        <w:t xml:space="preserve">The roles of the OCI include the provision of information about the adoption process to prospective adoptive parents, adoption service providers, and others.  The Bureau hosts a number of webpages dedicated to information regarding ICA, including country-specific alerts and notices </w:t>
      </w:r>
      <w:r w:rsidR="00863490" w:rsidRPr="008F3A3B">
        <w:rPr>
          <w:lang w:eastAsia="en-AU"/>
        </w:rPr>
        <w:fldChar w:fldCharType="begin" w:fldLock="1"/>
      </w:r>
      <w:r w:rsidRPr="008F3A3B">
        <w:rPr>
          <w:lang w:eastAsia="en-AU"/>
        </w:rPr>
        <w:instrText>ADDIN CSL_CITATION { "citationItems" : [ { "id" : "ITEM-1", "itemData" : { "URL" : "https://travel.state.gov/content/adoptionsabroad/en.html", "accessed" : { "date-parts" : [ [ "2016", "7", "20" ] ] }, "author" : [ { "dropping-particle" : "", "family" : "U.S. Department of State Bureau of Consular Affairs", "given" : "", "non-dropping-particle" : "", "parse-names" : false, "suffix" : "" } ], "id" : "ITEM-1", "issued" : { "date-parts" : [ [ "0" ] ] }, "title" : "Intercountry adoption", "type" : "webpage" }, "uris" : [ "http://www.mendeley.com/documents/?uuid=e07b10d0-053f-4f95-8d37-dee6df867d1b" ] } ], "mendeley" : { "formattedCitation" : "(U.S. Department of State Bureau of Consular Affairs n.d.)", "plainTextFormattedCitation" : "(U.S. Department of State Bureau of Consular Affairs n.d.)", "previouslyFormattedCitation" : "(U.S. Department of State Bureau of Consular Affairs n.d.)" }, "properties" : { "noteIndex" : 0 }, "schema" : "https://github.com/citation-style-language/schema/raw/master/csl-citation.json" }</w:instrText>
      </w:r>
      <w:r w:rsidR="00863490" w:rsidRPr="008F3A3B">
        <w:rPr>
          <w:lang w:eastAsia="en-AU"/>
        </w:rPr>
        <w:fldChar w:fldCharType="separate"/>
      </w:r>
      <w:r w:rsidRPr="008F3A3B">
        <w:rPr>
          <w:noProof/>
          <w:lang w:eastAsia="en-AU"/>
        </w:rPr>
        <w:t>(U.S. Department of State Bureau of Consular Affairs n.d.)</w:t>
      </w:r>
      <w:r w:rsidR="00863490" w:rsidRPr="008F3A3B">
        <w:rPr>
          <w:lang w:eastAsia="en-AU"/>
        </w:rPr>
        <w:fldChar w:fldCharType="end"/>
      </w:r>
      <w:r w:rsidRPr="008F3A3B">
        <w:rPr>
          <w:lang w:eastAsia="en-AU"/>
        </w:rPr>
        <w:t xml:space="preserve">.  Information available through this webpage includes a guide to the Hague Convention for prospective ICA clients.  U.S. Citizenship and Immigration Services is </w:t>
      </w:r>
      <w:r w:rsidRPr="008F3A3B">
        <w:rPr>
          <w:lang w:eastAsia="en-AU"/>
        </w:rPr>
        <w:lastRenderedPageBreak/>
        <w:t xml:space="preserve">responsible for assessing the eligibility and suitability of prospective ICA parents, as well as the eligibility of the child to immigrate into the country </w:t>
      </w:r>
      <w:r w:rsidR="00863490" w:rsidRPr="008F3A3B">
        <w:rPr>
          <w:lang w:eastAsia="en-AU"/>
        </w:rPr>
        <w:fldChar w:fldCharType="begin" w:fldLock="1"/>
      </w:r>
      <w:r w:rsidRPr="008F3A3B">
        <w:rPr>
          <w:lang w:eastAsia="en-AU"/>
        </w:rPr>
        <w:instrText>ADDIN CSL_CITATION { "citationItems" : [ { "id" : "ITEM-1", "itemData" : { "URL" : "https://www.uscis.gov/adoption", "accessed" : { "date-parts" : [ [ "2016", "7", "20" ] ] }, "author" : [ { "dropping-particle" : "", "family" : "U.S. Citizenship and Immigration Services", "given" : "", "non-dropping-particle" : "", "parse-names" : false, "suffix" : "" } ], "id" : "ITEM-1", "issued" : { "date-parts" : [ [ "2014" ] ] }, "title" : "Adoption", "type" : "webpage" }, "uris" : [ "http://www.mendeley.com/documents/?uuid=cec3fb22-a1a0-4934-b32f-595a56da7666" ] } ], "mendeley" : { "formattedCitation" : "(U.S. Citizenship and Immigration Services 2014)", "plainTextFormattedCitation" : "(U.S. Citizenship and Immigration Services 2014)", "previouslyFormattedCitation" : "(U.S. Citizenship and Immigration Services 2014)" }, "properties" : { "noteIndex" : 0 }, "schema" : "https://github.com/citation-style-language/schema/raw/master/csl-citation.json" }</w:instrText>
      </w:r>
      <w:r w:rsidR="00863490" w:rsidRPr="008F3A3B">
        <w:rPr>
          <w:lang w:eastAsia="en-AU"/>
        </w:rPr>
        <w:fldChar w:fldCharType="separate"/>
      </w:r>
      <w:r w:rsidRPr="008F3A3B">
        <w:rPr>
          <w:noProof/>
          <w:lang w:eastAsia="en-AU"/>
        </w:rPr>
        <w:t>(U.S. Citizenship and Immigration Services 2014)</w:t>
      </w:r>
      <w:r w:rsidR="00863490" w:rsidRPr="008F3A3B">
        <w:rPr>
          <w:lang w:eastAsia="en-AU"/>
        </w:rPr>
        <w:fldChar w:fldCharType="end"/>
      </w:r>
      <w:r w:rsidRPr="008F3A3B">
        <w:rPr>
          <w:lang w:eastAsia="en-AU"/>
        </w:rPr>
        <w:t>.</w:t>
      </w:r>
    </w:p>
    <w:p w14:paraId="5F836ABF" w14:textId="77777777" w:rsidR="008F3A3B" w:rsidRPr="008F3A3B" w:rsidRDefault="008F3A3B" w:rsidP="008F3A3B">
      <w:pPr>
        <w:pStyle w:val="Paragraph"/>
        <w:rPr>
          <w:lang w:eastAsia="en-AU"/>
        </w:rPr>
      </w:pPr>
      <w:r w:rsidRPr="008F3A3B">
        <w:rPr>
          <w:lang w:eastAsia="en-AU"/>
        </w:rPr>
        <w:t xml:space="preserve">The Child Welfare Information Gateway (provided by the Children’s Bureau, Administration for Children and Families and U.S. Department of Health and Human Services) also provides information for prospective parents, with links to information from the Department of State and U.S. Citizenship and Immigration Services </w:t>
      </w:r>
      <w:r w:rsidR="00863490" w:rsidRPr="008F3A3B">
        <w:rPr>
          <w:lang w:eastAsia="en-AU"/>
        </w:rPr>
        <w:fldChar w:fldCharType="begin" w:fldLock="1"/>
      </w:r>
      <w:r w:rsidRPr="008F3A3B">
        <w:rPr>
          <w:lang w:eastAsia="en-AU"/>
        </w:rPr>
        <w:instrText>ADDIN CSL_CITATION { "citationItems" : [ { "id" : "ITEM-1", "itemData" : { "URL" : "https://www.childwelfare.gov/topics/adoption/adoptive/choices/other-country/adoption-process/#general", "accessed" : { "date-parts" : [ [ "2016", "7", "20" ] ] }, "author" : [ { "dropping-particle" : "", "family" : "Child Welfare Information Gateway", "given" : "", "non-dropping-particle" : "", "parse-names" : false, "suffix" : "" } ], "id" : "ITEM-1", "issued" : { "date-parts" : [ [ "0" ] ] }, "title" : "The intercountry adoption process", "type" : "webpage" }, "uris" : [ "http://www.mendeley.com/documents/?uuid=29372152-0e0d-489b-8e74-53fea73663e2" ] } ], "mendeley" : { "formattedCitation" : "(Child Welfare Information Gateway n.d.)", "plainTextFormattedCitation" : "(Child Welfare Information Gateway n.d.)", "previouslyFormattedCitation" : "(Child Welfare Information Gateway n.d.)" }, "properties" : { "noteIndex" : 0 }, "schema" : "https://github.com/citation-style-language/schema/raw/master/csl-citation.json" }</w:instrText>
      </w:r>
      <w:r w:rsidR="00863490" w:rsidRPr="008F3A3B">
        <w:rPr>
          <w:lang w:eastAsia="en-AU"/>
        </w:rPr>
        <w:fldChar w:fldCharType="separate"/>
      </w:r>
      <w:r w:rsidRPr="008F3A3B">
        <w:rPr>
          <w:noProof/>
          <w:lang w:eastAsia="en-AU"/>
        </w:rPr>
        <w:t>(Child Welfare Information Gateway n.d.)</w:t>
      </w:r>
      <w:r w:rsidR="00863490" w:rsidRPr="008F3A3B">
        <w:rPr>
          <w:lang w:eastAsia="en-AU"/>
        </w:rPr>
        <w:fldChar w:fldCharType="end"/>
      </w:r>
      <w:r w:rsidRPr="008F3A3B">
        <w:rPr>
          <w:lang w:eastAsia="en-AU"/>
        </w:rPr>
        <w:t xml:space="preserve">.  </w:t>
      </w:r>
    </w:p>
    <w:p w14:paraId="4FA3124E" w14:textId="77777777" w:rsidR="008F3A3B" w:rsidRPr="008F3A3B" w:rsidRDefault="008F3A3B" w:rsidP="008F3A3B">
      <w:pPr>
        <w:pStyle w:val="Paragraph"/>
        <w:rPr>
          <w:lang w:eastAsia="en-AU"/>
        </w:rPr>
      </w:pPr>
      <w:r w:rsidRPr="008F3A3B">
        <w:rPr>
          <w:lang w:eastAsia="en-AU"/>
        </w:rPr>
        <w:t xml:space="preserve">The Center for Adoption Policy in the U.S, an independent organisation, aims to remove legal, structural and institutional barriers to domestic and </w:t>
      </w:r>
      <w:r w:rsidR="0036036C">
        <w:rPr>
          <w:lang w:eastAsia="en-AU"/>
        </w:rPr>
        <w:t>ICA</w:t>
      </w:r>
      <w:r w:rsidRPr="008F3A3B">
        <w:rPr>
          <w:lang w:eastAsia="en-AU"/>
        </w:rPr>
        <w:t xml:space="preserve"> </w:t>
      </w:r>
      <w:r w:rsidR="00863490" w:rsidRPr="008F3A3B">
        <w:rPr>
          <w:lang w:eastAsia="en-AU"/>
        </w:rPr>
        <w:fldChar w:fldCharType="begin" w:fldLock="1"/>
      </w:r>
      <w:r w:rsidRPr="008F3A3B">
        <w:rPr>
          <w:lang w:eastAsia="en-AU"/>
        </w:rPr>
        <w:instrText>ADDIN CSL_CITATION { "citationItems" : [ { "id" : "ITEM-1", "itemData" : { "URL" : "http://www.adoptionpolicy.org/who.html", "accessed" : { "date-parts" : [ [ "2016", "7", "20" ] ] }, "author" : [ { "dropping-particle" : "", "family" : "Center for Adoption Policy", "given" : "", "non-dropping-particle" : "", "parse-names" : false, "suffix" : "" } ], "id" : "ITEM-1", "issued" : { "date-parts" : [ [ "0" ] ] }, "title" : "Who we are", "type" : "webpage" }, "uris" : [ "http://www.mendeley.com/documents/?uuid=2fb6c7fe-a33d-4010-9b9f-1773dce80e6a" ] } ], "mendeley" : { "formattedCitation" : "(Center for Adoption Policy n.d.)", "plainTextFormattedCitation" : "(Center for Adoption Policy n.d.)", "previouslyFormattedCitation" : "(Center for Adoption Policy n.d.)" }, "properties" : { "noteIndex" : 0 }, "schema" : "https://github.com/citation-style-language/schema/raw/master/csl-citation.json" }</w:instrText>
      </w:r>
      <w:r w:rsidR="00863490" w:rsidRPr="008F3A3B">
        <w:rPr>
          <w:lang w:eastAsia="en-AU"/>
        </w:rPr>
        <w:fldChar w:fldCharType="separate"/>
      </w:r>
      <w:r w:rsidRPr="008F3A3B">
        <w:rPr>
          <w:noProof/>
          <w:lang w:eastAsia="en-AU"/>
        </w:rPr>
        <w:t>(Center for Adoption Policy n.d.)</w:t>
      </w:r>
      <w:r w:rsidR="00863490" w:rsidRPr="008F3A3B">
        <w:rPr>
          <w:lang w:eastAsia="en-AU"/>
        </w:rPr>
        <w:fldChar w:fldCharType="end"/>
      </w:r>
      <w:r w:rsidRPr="008F3A3B">
        <w:rPr>
          <w:lang w:eastAsia="en-AU"/>
        </w:rPr>
        <w:t>.</w:t>
      </w:r>
    </w:p>
    <w:p w14:paraId="3E0209E9" w14:textId="77777777" w:rsidR="008F3A3B" w:rsidRDefault="008F3A3B" w:rsidP="008F3A3B">
      <w:pPr>
        <w:pStyle w:val="Paragraph"/>
        <w:rPr>
          <w:lang w:eastAsia="en-AU"/>
        </w:rPr>
      </w:pPr>
      <w:r w:rsidRPr="00155065">
        <w:rPr>
          <w:rStyle w:val="QuoteChar"/>
        </w:rPr>
        <w:t>“Systems such as the privatised adoption system in the USA which operate with little government involvement have moved to a market economy with few safeguards for children or mothers. Parents are seen as customers with the emphasis on speedily meeting demand and their needs rather than operating carefully and cautiously ‘in the best interests of the child’. This ‘market’ is only available to wealthy prospective parents</w:t>
      </w:r>
      <w:r w:rsidR="00155065" w:rsidRPr="00155065">
        <w:rPr>
          <w:rStyle w:val="QuoteChar"/>
        </w:rPr>
        <w:t>.</w:t>
      </w:r>
      <w:r w:rsidRPr="00155065">
        <w:rPr>
          <w:rStyle w:val="QuoteChar"/>
        </w:rPr>
        <w:t>”</w:t>
      </w:r>
      <w:r w:rsidRPr="008F3A3B">
        <w:rPr>
          <w:lang w:eastAsia="en-AU"/>
        </w:rPr>
        <w:t xml:space="preserve"> </w:t>
      </w:r>
      <w:r w:rsidR="00863490" w:rsidRPr="008F3A3B">
        <w:rPr>
          <w:lang w:eastAsia="en-AU"/>
        </w:rPr>
        <w:fldChar w:fldCharType="begin" w:fldLock="1"/>
      </w:r>
      <w:r w:rsidRPr="008F3A3B">
        <w:rPr>
          <w:lang w:eastAsia="en-AU"/>
        </w:rPr>
        <w:instrText>ADDIN CSL_CITATION { "citationItems" : [ { "id" : "ITEM-1", "itemData" : { "author" : [ { "dropping-particle" : "", "family" : "Clare", "given" : "Coleen", "non-dropping-particle" : "", "parse-names" : false, "suffix" : "" } ], "container-title" : "Australian Journal of Adoption", "id" : "ITEM-1", "issue" : "1", "issued" : { "date-parts" : [ [ "2014" ] ] }, "title" : "Intercountry adoption reform: a service provider's contribution to the debate", "type" : "article-journal", "volume" : "8" }, "uris" : [ "http://www.mendeley.com/documents/?uuid=bdd52853-3887-47c2-aa4b-2272cd338cea" ] } ], "mendeley" : { "formattedCitation" : "(Clare 2014)", "manualFormatting" : "(Clare, 2014, p. 11)", "plainTextFormattedCitation" : "(Clare 2014)", "previouslyFormattedCitation" : "(Clare 2014)" }, "properties" : { "noteIndex" : 0 }, "schema" : "https://github.com/citation-style-language/schema/raw/master/csl-citation.json" }</w:instrText>
      </w:r>
      <w:r w:rsidR="00863490" w:rsidRPr="008F3A3B">
        <w:rPr>
          <w:lang w:eastAsia="en-AU"/>
        </w:rPr>
        <w:fldChar w:fldCharType="separate"/>
      </w:r>
      <w:r w:rsidRPr="008F3A3B">
        <w:rPr>
          <w:noProof/>
          <w:lang w:eastAsia="en-AU"/>
        </w:rPr>
        <w:t>(Clare, 2014, p. 11)</w:t>
      </w:r>
      <w:r w:rsidR="00863490" w:rsidRPr="008F3A3B">
        <w:rPr>
          <w:lang w:eastAsia="en-AU"/>
        </w:rPr>
        <w:fldChar w:fldCharType="end"/>
      </w:r>
      <w:r w:rsidRPr="008F3A3B">
        <w:rPr>
          <w:lang w:eastAsia="en-AU"/>
        </w:rPr>
        <w:t>.</w:t>
      </w:r>
    </w:p>
    <w:p w14:paraId="6F4305BC" w14:textId="77777777" w:rsidR="008F3A3B" w:rsidRPr="008F3A3B" w:rsidRDefault="008F3A3B" w:rsidP="004876F6">
      <w:pPr>
        <w:pStyle w:val="Heading9"/>
      </w:pPr>
      <w:r>
        <w:t>Canada</w:t>
      </w:r>
    </w:p>
    <w:p w14:paraId="793FF22F" w14:textId="77777777" w:rsidR="008F3A3B" w:rsidRPr="008F3A3B" w:rsidRDefault="008F3A3B" w:rsidP="008F3A3B">
      <w:pPr>
        <w:pStyle w:val="Paragraph"/>
        <w:rPr>
          <w:lang w:eastAsia="en-AU"/>
        </w:rPr>
      </w:pPr>
      <w:r w:rsidRPr="008F3A3B">
        <w:rPr>
          <w:lang w:eastAsia="en-AU"/>
        </w:rPr>
        <w:t xml:space="preserve">Similar to the Australian process for ICA, </w:t>
      </w:r>
      <w:r w:rsidR="0036036C">
        <w:rPr>
          <w:lang w:eastAsia="en-AU"/>
        </w:rPr>
        <w:t>ICA</w:t>
      </w:r>
      <w:r w:rsidRPr="008F3A3B">
        <w:rPr>
          <w:lang w:eastAsia="en-AU"/>
        </w:rPr>
        <w:t xml:space="preserve"> Services (IAS, located within the government Department of Citizenship and Immigration), is the federal central authority for ICA that facilitates communication and co-operation between local, national and international authorities and plays a role in advocacy and issue resolution, policy/procedural advice and the collection and dissemination of information </w:t>
      </w:r>
      <w:r w:rsidR="00863490" w:rsidRPr="008F3A3B">
        <w:rPr>
          <w:lang w:eastAsia="en-AU"/>
        </w:rPr>
        <w:fldChar w:fldCharType="begin" w:fldLock="1"/>
      </w:r>
      <w:r w:rsidRPr="008F3A3B">
        <w:rPr>
          <w:lang w:eastAsia="en-AU"/>
        </w:rPr>
        <w:instrText>ADDIN CSL_CITATION { "citationItems" : [ { "id" : "ITEM-1", "itemData" : { "URL" : "http://www.cic.gc.ca/english/immigrate/adoption/role.asp", "accessed" : { "date-parts" : [ [ "2016", "3", "23" ] ] }, "author" : [ { "dropping-particle" : "", "family" : "Government of Canada", "given" : "", "non-dropping-particle" : "", "parse-names" : false, "suffix" : "" } ], "id" : "ITEM-1", "issued" : { "date-parts" : [ [ "2012" ] ] }, "title" : "CIC's role in adoption", "type" : "webpage" }, "uris" : [ "http://www.mendeley.com/documents/?uuid=992d9427-fcc8-4c41-be0b-2a127a04a136" ] } ], "mendeley" : { "formattedCitation" : "(Government of Canada 2012)", "plainTextFormattedCitation" : "(Government of Canada 2012)", "previouslyFormattedCitation" : "(Government of Canada 2012)" }, "properties" : { "noteIndex" : 0 }, "schema" : "https://github.com/citation-style-language/schema/raw/master/csl-citation.json" }</w:instrText>
      </w:r>
      <w:r w:rsidR="00863490" w:rsidRPr="008F3A3B">
        <w:rPr>
          <w:lang w:eastAsia="en-AU"/>
        </w:rPr>
        <w:fldChar w:fldCharType="separate"/>
      </w:r>
      <w:r w:rsidRPr="008F3A3B">
        <w:rPr>
          <w:noProof/>
          <w:lang w:eastAsia="en-AU"/>
        </w:rPr>
        <w:t>(Government of Canada 2012)</w:t>
      </w:r>
      <w:r w:rsidR="00863490" w:rsidRPr="008F3A3B">
        <w:rPr>
          <w:lang w:eastAsia="en-AU"/>
        </w:rPr>
        <w:fldChar w:fldCharType="end"/>
      </w:r>
      <w:r w:rsidRPr="008F3A3B">
        <w:rPr>
          <w:lang w:eastAsia="en-AU"/>
        </w:rPr>
        <w:t>.  Each Canadian province/territory acts as a local authority with its own guidelines, legislation and requirements.</w:t>
      </w:r>
      <w:r w:rsidRPr="008F3A3B">
        <w:rPr>
          <w:vertAlign w:val="superscript"/>
          <w:lang w:eastAsia="en-AU"/>
        </w:rPr>
        <w:footnoteReference w:id="5"/>
      </w:r>
      <w:r w:rsidRPr="008F3A3B">
        <w:rPr>
          <w:lang w:eastAsia="en-AU"/>
        </w:rPr>
        <w:t xml:space="preserve">  Private for- and not-for-profit agencies are also accredited to support prospective ICA parents through the process.</w:t>
      </w:r>
    </w:p>
    <w:p w14:paraId="253ADCB4" w14:textId="77777777" w:rsidR="008F3A3B" w:rsidRPr="008F3A3B" w:rsidRDefault="008F3A3B" w:rsidP="008F3A3B">
      <w:pPr>
        <w:pStyle w:val="Paragraph"/>
        <w:rPr>
          <w:lang w:eastAsia="en-AU"/>
        </w:rPr>
      </w:pPr>
      <w:r w:rsidRPr="008F3A3B">
        <w:rPr>
          <w:lang w:eastAsia="en-AU"/>
        </w:rPr>
        <w:t xml:space="preserve">In addition to government and private agencies, the Adoption Council of Canada is a national non-profit organisation that “strives to inform, educate and provide Canadians with resources about adoption issues in Canada” (not only ICA).  The organisation’s website includes a downloadable toolkit for starting a post-adoption support group. </w:t>
      </w:r>
    </w:p>
    <w:p w14:paraId="5E31A0F5" w14:textId="77777777" w:rsidR="008F3A3B" w:rsidRPr="008F3A3B" w:rsidRDefault="008F3A3B" w:rsidP="008F3A3B">
      <w:pPr>
        <w:pStyle w:val="Paragraph"/>
        <w:rPr>
          <w:lang w:eastAsia="en-AU"/>
        </w:rPr>
      </w:pPr>
      <w:r w:rsidRPr="008F3A3B">
        <w:rPr>
          <w:lang w:eastAsia="en-AU"/>
        </w:rPr>
        <w:t>In some parts of the country, specialised adoption clinics provide pre-adoption counselling, medical assessments upon placement of children within homes and follow-up services and referrals for intercountry and domestic adoptees.</w:t>
      </w:r>
    </w:p>
    <w:p w14:paraId="30F8C05B" w14:textId="77777777" w:rsidR="008F3A3B" w:rsidRDefault="008F3A3B" w:rsidP="004876F6">
      <w:pPr>
        <w:pStyle w:val="Heading9"/>
      </w:pPr>
      <w:r>
        <w:t>New Zealand</w:t>
      </w:r>
    </w:p>
    <w:p w14:paraId="51F8255F" w14:textId="77777777" w:rsidR="008F3A3B" w:rsidRDefault="008F3A3B" w:rsidP="008F3A3B">
      <w:pPr>
        <w:pStyle w:val="Paragraph"/>
        <w:rPr>
          <w:lang w:eastAsia="en-AU"/>
        </w:rPr>
      </w:pPr>
      <w:r>
        <w:rPr>
          <w:lang w:eastAsia="en-AU"/>
        </w:rPr>
        <w:t>In New Zealand, the Ministry of Social Development (through the Department of Child, Youth &amp; Family) is the Central Authority under the Hague Convention.  The Department runs a centralised adoption education and preparation program, to be undertaken after an application has been submitted. This consists of a generic adoption and an additional ICA-specific workshop.</w:t>
      </w:r>
    </w:p>
    <w:p w14:paraId="37BE7DD6" w14:textId="77777777" w:rsidR="008F3A3B" w:rsidRDefault="008F3A3B" w:rsidP="008F3A3B">
      <w:pPr>
        <w:pStyle w:val="Paragraph"/>
        <w:rPr>
          <w:lang w:eastAsia="en-AU"/>
        </w:rPr>
      </w:pPr>
      <w:r>
        <w:rPr>
          <w:lang w:eastAsia="en-AU"/>
        </w:rPr>
        <w:t xml:space="preserve">Prospective ICA parents can also engage the services of one of three accredited agencies to support them through the ICA process (Inter-Country Adoption New Zealand, Compassion for Orphans and Adoption First Steps).  These organisations provide their own support services to parents and adoptees throughout and after the adoption process such as parent networks, educational resources and events, post-adoption support and assistance in searching for birth families.  They also are accredited to perform additional roles within the ICA process, such as assessment (Adoption First Steps) and child </w:t>
      </w:r>
      <w:r>
        <w:rPr>
          <w:lang w:eastAsia="en-AU"/>
        </w:rPr>
        <w:lastRenderedPageBreak/>
        <w:t xml:space="preserve">placement (ICANZ).  Compassion for Orphans is a charitable organisation that provides free services for prospective and ICA parents.  In contrast, Adoption First Steps charges for its services (e.g. $500 per couple for their 7-module online education program and $1,000 per couple for an education workshop) </w:t>
      </w:r>
      <w:r w:rsidR="00863490">
        <w:rPr>
          <w:lang w:eastAsia="en-AU"/>
        </w:rPr>
        <w:fldChar w:fldCharType="begin" w:fldLock="1"/>
      </w:r>
      <w:r>
        <w:rPr>
          <w:lang w:eastAsia="en-AU"/>
        </w:rPr>
        <w:instrText>ADDIN CSL_CITATION { "citationItems" : [ { "id" : "ITEM-1", "itemData" : { "author" : [ { "dropping-particle" : "", "family" : "Adoption First Steps", "given" : "", "non-dropping-particle" : "", "parse-names" : false, "suffix" : "" } ], "id" : "ITEM-1", "issued" : { "date-parts" : [ [ "2014" ] ] }, "title" : "What are the costs", "type" : "webpage" }, "uris" : [ "http://www.mendeley.com/documents/?uuid=146979f3-d8ec-403e-912e-14a8b005a2c6", "http://www.mendeley.com/documents/?uuid=98101ce8-dadb-4bb1-888f-7ac68c5d0485" ] } ], "mendeley" : { "formattedCitation" : "(Adoption First Steps 2014)", "plainTextFormattedCitation" : "(Adoption First Steps 2014)", "previouslyFormattedCitation" : "(Adoption First Steps 2014)" }, "properties" : { "noteIndex" : 0 }, "schema" : "https://github.com/citation-style-language/schema/raw/master/csl-citation.json" }</w:instrText>
      </w:r>
      <w:r w:rsidR="00863490">
        <w:rPr>
          <w:lang w:eastAsia="en-AU"/>
        </w:rPr>
        <w:fldChar w:fldCharType="separate"/>
      </w:r>
      <w:r w:rsidRPr="007E6E63">
        <w:rPr>
          <w:noProof/>
          <w:lang w:eastAsia="en-AU"/>
        </w:rPr>
        <w:t>(Adoption First Steps 2014)</w:t>
      </w:r>
      <w:r w:rsidR="00863490">
        <w:rPr>
          <w:lang w:eastAsia="en-AU"/>
        </w:rPr>
        <w:fldChar w:fldCharType="end"/>
      </w:r>
      <w:r>
        <w:rPr>
          <w:lang w:eastAsia="en-AU"/>
        </w:rPr>
        <w:t>.</w:t>
      </w:r>
    </w:p>
    <w:p w14:paraId="21EE49CB" w14:textId="77777777" w:rsidR="008F3A3B" w:rsidRDefault="008F3A3B" w:rsidP="008F3A3B">
      <w:pPr>
        <w:pStyle w:val="Paragraph"/>
        <w:rPr>
          <w:lang w:eastAsia="en-AU"/>
        </w:rPr>
      </w:pPr>
      <w:r>
        <w:rPr>
          <w:lang w:eastAsia="en-AU"/>
        </w:rPr>
        <w:t xml:space="preserve">For example, Compassion for Orphans (an accredited adoption agency with programs with Chile and India) provides a raft of education and support resources and services throughout the process </w:t>
      </w:r>
      <w:r w:rsidR="00863490">
        <w:rPr>
          <w:lang w:eastAsia="en-AU"/>
        </w:rPr>
        <w:fldChar w:fldCharType="begin" w:fldLock="1"/>
      </w:r>
      <w:r>
        <w:rPr>
          <w:lang w:eastAsia="en-AU"/>
        </w:rPr>
        <w:instrText>ADDIN CSL_CITATION { "citationItems" : [ { "id" : "ITEM-1", "itemData" : { "URL" : "http://www.cfo.org.nz/index.php/details-of-pre-adoption-education", "accessed" : { "date-parts" : [ [ "2016", "3", "23" ] ] }, "author" : [ { "dropping-particle" : "", "family" : "Compassion for Orphans", "given" : "", "non-dropping-particle" : "", "parse-names" : false, "suffix" : "" } ], "id" : "ITEM-1", "issued" : { "date-parts" : [ [ "2014" ] ] }, "title" : "Details of pre-adoption education, pre-adoption support and post-adoption support", "type" : "webpage" }, "uris" : [ "http://www.mendeley.com/documents/?uuid=7be9f11f-9624-4d71-8627-cb19cd421036" ] } ], "mendeley" : { "formattedCitation" : "(Compassion for Orphans 2014)", "plainTextFormattedCitation" : "(Compassion for Orphans 2014)", "previouslyFormattedCitation" : "(Compassion for Orphans 2014)" }, "properties" : { "noteIndex" : 0 }, "schema" : "https://github.com/citation-style-language/schema/raw/master/csl-citation.json" }</w:instrText>
      </w:r>
      <w:r w:rsidR="00863490">
        <w:rPr>
          <w:lang w:eastAsia="en-AU"/>
        </w:rPr>
        <w:fldChar w:fldCharType="separate"/>
      </w:r>
      <w:r w:rsidRPr="007E6E63">
        <w:rPr>
          <w:noProof/>
          <w:lang w:eastAsia="en-AU"/>
        </w:rPr>
        <w:t>(Compassion for Orphans 2014)</w:t>
      </w:r>
      <w:r w:rsidR="00863490">
        <w:rPr>
          <w:lang w:eastAsia="en-AU"/>
        </w:rPr>
        <w:fldChar w:fldCharType="end"/>
      </w:r>
      <w:r>
        <w:rPr>
          <w:lang w:eastAsia="en-AU"/>
        </w:rPr>
        <w:t xml:space="preserve">.  Similarly, Adoption First Steps provides services “to educate, assess and prepare” prospective ICA parents.  </w:t>
      </w:r>
    </w:p>
    <w:p w14:paraId="4D91BC6C" w14:textId="77777777" w:rsidR="008F3A3B" w:rsidRDefault="008F3A3B" w:rsidP="004876F6">
      <w:pPr>
        <w:pStyle w:val="Heading9"/>
      </w:pPr>
      <w:r>
        <w:t>United Kingdom</w:t>
      </w:r>
    </w:p>
    <w:p w14:paraId="6AF6669B" w14:textId="77777777" w:rsidR="008F3A3B" w:rsidRDefault="008F3A3B" w:rsidP="008F3A3B">
      <w:pPr>
        <w:pStyle w:val="Paragraph"/>
        <w:rPr>
          <w:lang w:eastAsia="en-AU"/>
        </w:rPr>
      </w:pPr>
      <w:r>
        <w:rPr>
          <w:lang w:eastAsia="en-AU"/>
        </w:rPr>
        <w:t xml:space="preserve">In the UK, adoption agencies (who are either part of a local authority or a voluntary adoption agency) prepare and support all adoptive parents through the process of adoption. </w:t>
      </w:r>
    </w:p>
    <w:p w14:paraId="09CB2D51" w14:textId="58AC0E81" w:rsidR="008F3A3B" w:rsidRDefault="008F3A3B" w:rsidP="008F3A3B">
      <w:pPr>
        <w:pStyle w:val="Paragraph"/>
        <w:rPr>
          <w:lang w:eastAsia="en-AU"/>
        </w:rPr>
      </w:pPr>
      <w:r>
        <w:rPr>
          <w:lang w:eastAsia="en-AU"/>
        </w:rPr>
        <w:t xml:space="preserve">In the context of ICA, the Centre for Adoption (IAC) is a voluntary adoption agency that evolved from a government-funded helpline to an independent charity to its current form, an agency “providing a comprehensive service to people considering both domestic and </w:t>
      </w:r>
      <w:r w:rsidR="0036036C">
        <w:rPr>
          <w:lang w:eastAsia="en-AU"/>
        </w:rPr>
        <w:t>ICA</w:t>
      </w:r>
      <w:r>
        <w:rPr>
          <w:lang w:eastAsia="en-AU"/>
        </w:rPr>
        <w:t xml:space="preserve">”.  It offers a telephone advice line (for prospective adoptive parents and adult adoptees seeking information), information sessions, workshops (both general and addressing specific topics such as inter-racial adoption and adoption of sibling groups.  The organisation also holds ad hoc post-adoption support workshops and a (charged) face-to-face post-adoption support service staffed by social workers who are themselves adoptive parents </w:t>
      </w:r>
      <w:r w:rsidR="00863490">
        <w:rPr>
          <w:lang w:eastAsia="en-AU"/>
        </w:rPr>
        <w:fldChar w:fldCharType="begin" w:fldLock="1"/>
      </w:r>
      <w:r w:rsidR="005950D2">
        <w:rPr>
          <w:lang w:eastAsia="en-AU"/>
        </w:rPr>
        <w:instrText>ADDIN CSL_CITATION { "citationItems" : [ { "id" : "ITEM-1", "itemData" : { "id" : "ITEM-1", "issued" : { "date-parts" : [ [ "2016" ] ] }, "title" : "IAC: The Centre for Adoption", "type" : "webpage" }, "uris" : [ "http://www.mendeley.com/documents/?uuid=6cba1f5e-7054-4589-9802-db96ac2e1ac4", "http://www.mendeley.com/documents/?uuid=f87d68f4-b5c4-4296-b18c-720d75b92436" ] } ], "mendeley" : { "formattedCitation" : "(&lt;i&gt;Iac: the centre for adoption&lt;/i&gt; 2016)", "manualFormatting" : "(IAC: The Centre for Adoption, 2016)", "plainTextFormattedCitation" : "(Iac: the centre for adoption 2016)", "previouslyFormattedCitation" : "(&lt;i&gt;Iac: the centre for adoption&lt;/i&gt; 2016)" }, "properties" : { "noteIndex" : 0 }, "schema" : "https://github.com/citation-style-language/schema/raw/master/csl-citation.json" }</w:instrText>
      </w:r>
      <w:r w:rsidR="00863490">
        <w:rPr>
          <w:lang w:eastAsia="en-AU"/>
        </w:rPr>
        <w:fldChar w:fldCharType="separate"/>
      </w:r>
      <w:r w:rsidRPr="0083663F">
        <w:rPr>
          <w:noProof/>
          <w:lang w:eastAsia="en-AU"/>
        </w:rPr>
        <w:t>(IAC: The Centre for Adoption, 2016)</w:t>
      </w:r>
      <w:r w:rsidR="00863490">
        <w:rPr>
          <w:lang w:eastAsia="en-AU"/>
        </w:rPr>
        <w:fldChar w:fldCharType="end"/>
      </w:r>
      <w:r>
        <w:rPr>
          <w:lang w:eastAsia="en-AU"/>
        </w:rPr>
        <w:t>.</w:t>
      </w:r>
    </w:p>
    <w:p w14:paraId="52962A35" w14:textId="77777777" w:rsidR="008F3A3B" w:rsidRDefault="008F3A3B" w:rsidP="00283E1C">
      <w:pPr>
        <w:pStyle w:val="Heading8"/>
      </w:pPr>
      <w:r>
        <w:t>Data and informing policy</w:t>
      </w:r>
    </w:p>
    <w:p w14:paraId="65DE0C6B" w14:textId="77777777" w:rsidR="008F3A3B" w:rsidRPr="008F3A3B" w:rsidRDefault="008F3A3B" w:rsidP="00B811BE">
      <w:pPr>
        <w:pStyle w:val="Paragraph"/>
        <w:rPr>
          <w:lang w:eastAsia="en-AU"/>
        </w:rPr>
      </w:pPr>
      <w:r w:rsidRPr="008F3A3B">
        <w:rPr>
          <w:lang w:eastAsia="en-AU"/>
        </w:rPr>
        <w:t xml:space="preserve">The Hague Conference website publishes signatory-specific statistics on ICA on its website </w:t>
      </w:r>
      <w:r w:rsidR="00863490" w:rsidRPr="008F3A3B">
        <w:rPr>
          <w:lang w:eastAsia="en-AU"/>
        </w:rPr>
        <w:fldChar w:fldCharType="begin" w:fldLock="1"/>
      </w:r>
      <w:r w:rsidRPr="008F3A3B">
        <w:rPr>
          <w:lang w:eastAsia="en-AU"/>
        </w:rPr>
        <w:instrText>ADDIN CSL_CITATION { "citationItems" : [ { "id" : "ITEM-1", "itemData" : { "URL" : "https://www.hcch.net/en/instruments/conventions/publications1/?cid=69&amp;dtid=32", "accessed" : { "date-parts" : [ [ "2016", "7", "20" ] ] }, "author" : [ { "dropping-particle" : "", "family" : "Hague Conference on Private International Law", "given" : "", "non-dropping-particle" : "", "parse-names" : false, "suffix" : "" } ], "id" : "ITEM-1", "issued" : { "date-parts" : [ [ "2016" ] ] }, "title" : "Convention of 29 May 1993 on Protection of Children and Co-operation in Respect of Intercountry Adoption: statistics", "type" : "webpage" }, "uris" : [ "http://www.mendeley.com/documents/?uuid=0f626d37-d512-494f-a262-0676a13b9a8b" ] } ], "mendeley" : { "formattedCitation" : "(Hague Conference on Private International Law 2016)", "plainTextFormattedCitation" : "(Hague Conference on Private International Law 2016)", "previouslyFormattedCitation" : "(Hague Conference on Private International Law 2016)" }, "properties" : { "noteIndex" : 0 }, "schema" : "https://github.com/citation-style-language/schema/raw/master/csl-citation.json" }</w:instrText>
      </w:r>
      <w:r w:rsidR="00863490" w:rsidRPr="008F3A3B">
        <w:rPr>
          <w:lang w:eastAsia="en-AU"/>
        </w:rPr>
        <w:fldChar w:fldCharType="separate"/>
      </w:r>
      <w:r w:rsidRPr="008F3A3B">
        <w:rPr>
          <w:noProof/>
          <w:lang w:eastAsia="en-AU"/>
        </w:rPr>
        <w:t>(Hague Conference on Private International Law 2016)</w:t>
      </w:r>
      <w:r w:rsidR="00863490" w:rsidRPr="008F3A3B">
        <w:rPr>
          <w:lang w:eastAsia="en-AU"/>
        </w:rPr>
        <w:fldChar w:fldCharType="end"/>
      </w:r>
      <w:r w:rsidRPr="008F3A3B">
        <w:rPr>
          <w:lang w:eastAsia="en-AU"/>
        </w:rPr>
        <w:t>.  Through the scan, several country-specific data sources were also identified, including</w:t>
      </w:r>
      <w:r w:rsidR="00072CFD">
        <w:rPr>
          <w:lang w:eastAsia="en-AU"/>
        </w:rPr>
        <w:t>:</w:t>
      </w:r>
    </w:p>
    <w:p w14:paraId="128F448F" w14:textId="77777777" w:rsidR="008F3A3B" w:rsidRPr="008F3A3B" w:rsidRDefault="008F3A3B" w:rsidP="00B811BE">
      <w:pPr>
        <w:pStyle w:val="Bullet1"/>
      </w:pPr>
      <w:r w:rsidRPr="008F3A3B">
        <w:t xml:space="preserve">Some data on ICA in Canada are available on the Statistics Canada </w:t>
      </w:r>
      <w:r w:rsidR="00863490" w:rsidRPr="008F3A3B">
        <w:fldChar w:fldCharType="begin" w:fldLock="1"/>
      </w:r>
      <w:r w:rsidRPr="008F3A3B">
        <w:instrText>ADDIN CSL_CITATION { "citationItems" : [ { "id" : "ITEM-1", "itemData" : { "URL" : "http://www.statcan.gc.ca/pub/11-402-x/2012000/chap/c-e/c-e02-eng.htm", "accessed" : { "date-parts" : [ [ "2016", "7", "20" ] ] }, "author" : [ { "dropping-particle" : "", "family" : "Statistics Canada", "given" : "", "non-dropping-particle" : "", "parse-names" : false, "suffix" : "" } ], "id" : "ITEM-1", "issued" : { "date-parts" : [ [ "2015" ] ] }, "title" : "International adoptions", "type" : "webpage" }, "uris" : [ "http://www.mendeley.com/documents/?uuid=0c8015bd-a0f4-4ca7-b826-3106ea4df4c6" ] } ], "mendeley" : { "formattedCitation" : "(Statistics Canada 2015)", "plainTextFormattedCitation" : "(Statistics Canada 2015)", "previouslyFormattedCitation" : "(Statistics Canada 2015)" }, "properties" : { "noteIndex" : 0 }, "schema" : "https://github.com/citation-style-language/schema/raw/master/csl-citation.json" }</w:instrText>
      </w:r>
      <w:r w:rsidR="00863490" w:rsidRPr="008F3A3B">
        <w:fldChar w:fldCharType="separate"/>
      </w:r>
      <w:r w:rsidRPr="008F3A3B">
        <w:rPr>
          <w:noProof/>
        </w:rPr>
        <w:t>(Statistics Canada 2015)</w:t>
      </w:r>
      <w:r w:rsidR="00863490" w:rsidRPr="008F3A3B">
        <w:fldChar w:fldCharType="end"/>
      </w:r>
    </w:p>
    <w:p w14:paraId="1D45D3B4" w14:textId="0FF26D2E" w:rsidR="008F3A3B" w:rsidRPr="008F3A3B" w:rsidRDefault="008F3A3B" w:rsidP="00B811BE">
      <w:pPr>
        <w:pStyle w:val="Bullet1"/>
      </w:pPr>
      <w:r w:rsidRPr="008F3A3B">
        <w:t xml:space="preserve">The US Bureau of Consular Affairs </w:t>
      </w:r>
      <w:hyperlink r:id="rId29" w:history="1">
        <w:r w:rsidRPr="008E7495">
          <w:rPr>
            <w:rStyle w:val="Hyperlink"/>
            <w:noProof w:val="0"/>
          </w:rPr>
          <w:t>website</w:t>
        </w:r>
      </w:hyperlink>
      <w:r w:rsidRPr="008F3A3B">
        <w:t xml:space="preserve">, that includes an interactive statistical interface showing ICAs by country of origin, </w:t>
      </w:r>
      <w:r w:rsidR="008E7495">
        <w:t>U.S. state, year and visa type</w:t>
      </w:r>
      <w:r w:rsidRPr="008F3A3B">
        <w:t>.  The Bureau also releases annual reports on ICA that detail:</w:t>
      </w:r>
    </w:p>
    <w:p w14:paraId="1AD76B3F" w14:textId="77777777" w:rsidR="008F3A3B" w:rsidRPr="008F3A3B" w:rsidRDefault="008F3A3B" w:rsidP="00B811BE">
      <w:pPr>
        <w:pStyle w:val="Bullet2"/>
      </w:pPr>
      <w:r w:rsidRPr="008F3A3B">
        <w:t>The number of ICAs (involving both immigration to and emigration from the U.S.)</w:t>
      </w:r>
    </w:p>
    <w:p w14:paraId="553A14F8" w14:textId="77777777" w:rsidR="008F3A3B" w:rsidRPr="008F3A3B" w:rsidRDefault="008F3A3B" w:rsidP="00B811BE">
      <w:pPr>
        <w:pStyle w:val="Bullet2"/>
      </w:pPr>
      <w:r w:rsidRPr="008F3A3B">
        <w:t>Disruptions in placements (with reasons and resolutions)</w:t>
      </w:r>
    </w:p>
    <w:p w14:paraId="30435A11" w14:textId="77777777" w:rsidR="008F3A3B" w:rsidRPr="008F3A3B" w:rsidRDefault="008F3A3B" w:rsidP="00B811BE">
      <w:pPr>
        <w:pStyle w:val="Bullet2"/>
      </w:pPr>
      <w:r w:rsidRPr="008F3A3B">
        <w:t>The average time taken for completion of a Convention adoption (by country)</w:t>
      </w:r>
    </w:p>
    <w:p w14:paraId="22E30E34" w14:textId="77777777" w:rsidR="008F3A3B" w:rsidRPr="008F3A3B" w:rsidRDefault="008F3A3B" w:rsidP="00B811BE">
      <w:pPr>
        <w:pStyle w:val="Bullet2"/>
      </w:pPr>
      <w:r w:rsidRPr="008F3A3B">
        <w:t>Costs of ICA through adoption service providers</w:t>
      </w:r>
      <w:r w:rsidR="00863490" w:rsidRPr="008F3A3B">
        <w:fldChar w:fldCharType="begin" w:fldLock="1"/>
      </w:r>
      <w:r w:rsidRPr="008F3A3B">
        <w:instrText>ADDIN CSL_CITATION { "citationItems" : [ { "id" : "ITEM-1", "itemData" : { "author" : [ { "dropping-particle" : "", "family" : "US Department of State", "given" : "", "non-dropping-particle" : "", "parse-names" : false, "suffix" : "" } ], "id" : "ITEM-1", "issued" : { "date-parts" : [ [ "2015" ] ] }, "title" : "FY 2014 Annual Report on Intercountry Adoption", "type" : "book" }, "uris" : [ "http://www.mendeley.com/documents/?uuid=1348098a-9e87-4ff2-8959-c75e0b1c7278" ] } ], "mendeley" : { "formattedCitation" : "(US Department of State 2015)", "plainTextFormattedCitation" : "(US Department of State 2015)", "previouslyFormattedCitation" : "(US Department of State 2015)" }, "properties" : { "noteIndex" : 0 }, "schema" : "https://github.com/citation-style-language/schema/raw/master/csl-citation.json" }</w:instrText>
      </w:r>
      <w:r w:rsidR="00863490" w:rsidRPr="008F3A3B">
        <w:fldChar w:fldCharType="separate"/>
      </w:r>
      <w:r w:rsidRPr="008F3A3B">
        <w:rPr>
          <w:noProof/>
        </w:rPr>
        <w:t>(US Department of State 2015)</w:t>
      </w:r>
      <w:r w:rsidR="00863490" w:rsidRPr="008F3A3B">
        <w:fldChar w:fldCharType="end"/>
      </w:r>
      <w:r w:rsidRPr="008F3A3B">
        <w:t>.</w:t>
      </w:r>
    </w:p>
    <w:p w14:paraId="7BA49410" w14:textId="77777777" w:rsidR="008F3A3B" w:rsidRPr="008F3A3B" w:rsidRDefault="008F3A3B" w:rsidP="00B811BE">
      <w:pPr>
        <w:pStyle w:val="Paragraph"/>
      </w:pPr>
      <w:r w:rsidRPr="008F3A3B">
        <w:t xml:space="preserve">However, little information was found regarding the use of ICA data to inform policy, although the IAS in Canada notes as one of its roles “collecting and disseminating information specific to </w:t>
      </w:r>
      <w:r w:rsidR="0036036C">
        <w:t>ICA</w:t>
      </w:r>
      <w:r w:rsidRPr="008F3A3B">
        <w:t xml:space="preserve"> (adoption legislation, policies and practices of countries of origin, statistical data and research)” </w:t>
      </w:r>
      <w:r w:rsidR="00863490" w:rsidRPr="008F3A3B">
        <w:fldChar w:fldCharType="begin" w:fldLock="1"/>
      </w:r>
      <w:r w:rsidRPr="008F3A3B">
        <w:instrText>ADDIN CSL_CITATION { "citationItems" : [ { "id" : "ITEM-1", "itemData" : { "URL" : "http://www.cic.gc.ca/english/immigrate/adoption/role.asp", "accessed" : { "date-parts" : [ [ "2016", "3", "23" ] ] }, "author" : [ { "dropping-particle" : "", "family" : "Government of Canada", "given" : "", "non-dropping-particle" : "", "parse-names" : false, "suffix" : "" } ], "id" : "ITEM-1", "issued" : { "date-parts" : [ [ "2012" ] ] }, "title" : "CIC's role in adoption", "type" : "webpage" }, "uris" : [ "http://www.mendeley.com/documents/?uuid=992d9427-fcc8-4c41-be0b-2a127a04a136" ] } ], "mendeley" : { "formattedCitation" : "(Government of Canada 2012)", "plainTextFormattedCitation" : "(Government of Canada 2012)", "previouslyFormattedCitation" : "(Government of Canada 2012)" }, "properties" : { "noteIndex" : 0 }, "schema" : "https://github.com/citation-style-language/schema/raw/master/csl-citation.json" }</w:instrText>
      </w:r>
      <w:r w:rsidR="00863490" w:rsidRPr="008F3A3B">
        <w:fldChar w:fldCharType="separate"/>
      </w:r>
      <w:r w:rsidRPr="008F3A3B">
        <w:rPr>
          <w:noProof/>
        </w:rPr>
        <w:t>(Government of Canada 2012)</w:t>
      </w:r>
      <w:r w:rsidR="00863490" w:rsidRPr="008F3A3B">
        <w:fldChar w:fldCharType="end"/>
      </w:r>
      <w:r w:rsidRPr="008F3A3B">
        <w:t xml:space="preserve">.  Despite this, numerous organisations internationally play a role in advocacy around ICA issues (both local and international), including the U.S. Center for Adoption Policy and, in Australia, the Australian Association of Social Workers (AASW) and Adopt Change. </w:t>
      </w:r>
    </w:p>
    <w:p w14:paraId="73D12C56" w14:textId="37E35915" w:rsidR="008F3A3B" w:rsidRDefault="008F3A3B" w:rsidP="00B811BE">
      <w:pPr>
        <w:pStyle w:val="Paragraph"/>
      </w:pPr>
      <w:r w:rsidRPr="008F3A3B">
        <w:lastRenderedPageBreak/>
        <w:t xml:space="preserve">In its position statement of ICA, the AASW noted concern that the views of adoptees are not sought regarding policy reform, and support services for this group may be lacking </w:t>
      </w:r>
      <w:r w:rsidR="00863490" w:rsidRPr="008F3A3B">
        <w:fldChar w:fldCharType="begin" w:fldLock="1"/>
      </w:r>
      <w:r w:rsidRPr="008F3A3B">
        <w:instrText>ADDIN CSL_CITATION { "citationItems" : [ { "id" : "ITEM-1", "itemData" : { "author" : [ { "dropping-particle" : "", "family" : "Australian Association of Social Workers", "given" : "", "non-dropping-particle" : "", "parse-names" : false, "suffix" : "" } ], "id" : "ITEM-1", "issued" : { "date-parts" : [ [ "2015" ] ] }, "title" : "Position Statement: Intercountry Adoption", "type" : "book" }, "uris" : [ "http://www.mendeley.com/documents/?uuid=91632c2c-6e6c-419f-8871-e7dce760629e" ] } ], "mendeley" : { "formattedCitation" : "(Australian Association of Social Workers 2015)", "plainTextFormattedCitation" : "(Australian Association of Social Workers 2015)", "previouslyFormattedCitation" : "(Australian Association of Social Workers 2015)" }, "properties" : { "noteIndex" : 0 }, "schema" : "https://github.com/citation-style-language/schema/raw/master/csl-citation.json" }</w:instrText>
      </w:r>
      <w:r w:rsidR="00863490" w:rsidRPr="008F3A3B">
        <w:fldChar w:fldCharType="separate"/>
      </w:r>
      <w:r w:rsidRPr="008F3A3B">
        <w:rPr>
          <w:noProof/>
        </w:rPr>
        <w:t>(Australian Association of Social Workers 2015)</w:t>
      </w:r>
      <w:r w:rsidR="00863490" w:rsidRPr="008F3A3B">
        <w:fldChar w:fldCharType="end"/>
      </w:r>
      <w:r w:rsidRPr="008F3A3B">
        <w:t xml:space="preserve">.  </w:t>
      </w:r>
    </w:p>
    <w:p w14:paraId="27DD4BB4" w14:textId="786AB7FB" w:rsidR="008B1AA3" w:rsidRDefault="008B1AA3">
      <w:r>
        <w:br w:type="page"/>
      </w:r>
    </w:p>
    <w:p w14:paraId="4470CAB0" w14:textId="77777777" w:rsidR="008B1AA3" w:rsidRPr="008F3A3B" w:rsidRDefault="008B1AA3" w:rsidP="00B811BE">
      <w:pPr>
        <w:pStyle w:val="Paragraph"/>
      </w:pPr>
    </w:p>
    <w:bookmarkStart w:id="197" w:name="_Ref490132151"/>
    <w:bookmarkStart w:id="198" w:name="_Toc490481644"/>
    <w:p w14:paraId="7CBAA4FE" w14:textId="6D1CEF4B" w:rsidR="008B1AA3" w:rsidRDefault="008B1AA3" w:rsidP="008B1AA3">
      <w:pPr>
        <w:pStyle w:val="Heading7"/>
      </w:pPr>
      <w:r>
        <w:rPr>
          <w:noProof/>
          <w:lang w:val="en-AU"/>
        </w:rPr>
        <mc:AlternateContent>
          <mc:Choice Requires="wps">
            <w:drawing>
              <wp:anchor distT="0" distB="0" distL="114300" distR="114300" simplePos="0" relativeHeight="251676672" behindDoc="1" locked="0" layoutInCell="1" allowOverlap="1" wp14:anchorId="6C56D652" wp14:editId="0294C213">
                <wp:simplePos x="0" y="0"/>
                <wp:positionH relativeFrom="page">
                  <wp:align>left</wp:align>
                </wp:positionH>
                <wp:positionV relativeFrom="page">
                  <wp:align>top</wp:align>
                </wp:positionV>
                <wp:extent cx="7560310" cy="10763885"/>
                <wp:effectExtent l="0" t="0" r="2540" b="0"/>
                <wp:wrapNone/>
                <wp:docPr id="15" name="Rectangle 15" title="&quot; &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7638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B5F51" id="Rectangle 15" o:spid="_x0000_s1026" alt="Title: &quot; &quot;" style="position:absolute;margin-left:0;margin-top:0;width:595.3pt;height:847.55pt;z-index:-25163980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0nLrgIAALcFAAAOAAAAZHJzL2Uyb0RvYy54bWysVN9P2zAQfp+0/8Hyw95GkkKBZaSoAjFN&#10;qgABE8/GsZtojs/YbtPy1+9sJ6VjaA/T+pD6fN9998N3d3a+6RRZC+ta0BUtDnJKhOZQt3pZ0R8P&#10;V59PKXGe6Zop0KKiW+Ho+ezjh7PelGICDahaWIIk2pW9qWjjvSmzzPFGdMwdgBEalRJsxzyKdpnV&#10;lvXI3qlskufHWQ+2Nha4cA5vL5OSziK/lIL7Gymd8ERVFGPz8Wvj9yl8s9kZK5eWmablQxjsH6Lo&#10;WKvR6Y7qknlGVrb9g6pruQUH0h9w6DKQsuUi5oDZFPmbbO4bZkTMBYvjzK5M7v/R8uv1rSVtjW83&#10;pUSzDt/oDqvG9FIJEu586xVefnpegf9K0l8oW29cidb35taGxJ1ZAP/pUJH9pgmCGzAbabuAxbTJ&#10;Jr7BdvcGYuMJx8uT6XF+WOBTcdQV+cnx4enpNPjLWDnaG+v8NwEdCYeKWow3Fp+tF84n6AiJoYFq&#10;66tWqSiEzhIXypI1w57wm8lA7vZRSgeshmCVCMNNzCwlE9PyWyUCTuk7IbGIGP4kBhLb99UJ41xo&#10;XyRVw2qRfE9z/I3ex7BiopEwMEv0v+MeCEZkIhm5U5QDPpiK2P074/xvgSXjnUX0DNrvjLtWg32P&#10;QGFWg+eEH4uUShOq9AT1FlvMQpo9Z/hVi8+2YM7fMovDhm+NC8Tf4Ecq6CsKw4mSBuzLe/cBjzOA&#10;Wkp6HN6KuucVs4IS9V3jdHwpjo7CtEfhaHoyQcHua572NXrVXQD2QoGryvB4DHivxqO00D3inpkH&#10;r6himqPvinJvR+HCp6WCm4qL+TzCcMIN8wt9b3ggD1UNbfmweWTWDL3rse+vYRx0Vr5p4YQNlhrm&#10;Kw+yjf39Wteh3rgdYuMMmyysn305ol737ewXAAAA//8DAFBLAwQUAAYACAAAACEAgQxhttwAAAAH&#10;AQAADwAAAGRycy9kb3ducmV2LnhtbEyPQU/DMAyF75P2HyIjcdvSgihdaTpNSN0RbYVpV68xbUXj&#10;VE22lX9PxgUu1rOe9d7nfD2ZXlxodJ1lBfEyAkFcW91xo+DjvVykIJxH1thbJgXf5GBdzGc5Ztpe&#10;eU+XyjcihLDLUEHr/ZBJ6eqWDLqlHYiD92lHgz6sYyP1iNcQbnr5EEWJNNhxaGhxoNeW6q/qbBSU&#10;x2dK9/Fuu50Oj7tUV2++RFLq/m7avIDwNPm/Y7jhB3QoAtPJnlk70SsIj/jfefPiVZSAOAWVrJ5i&#10;kEUu//MXPwAAAP//AwBQSwECLQAUAAYACAAAACEAtoM4kv4AAADhAQAAEwAAAAAAAAAAAAAAAAAA&#10;AAAAW0NvbnRlbnRfVHlwZXNdLnhtbFBLAQItABQABgAIAAAAIQA4/SH/1gAAAJQBAAALAAAAAAAA&#10;AAAAAAAAAC8BAABfcmVscy8ucmVsc1BLAQItABQABgAIAAAAIQBnJ0nLrgIAALcFAAAOAAAAAAAA&#10;AAAAAAAAAC4CAABkcnMvZTJvRG9jLnhtbFBLAQItABQABgAIAAAAIQCBDGG23AAAAAcBAAAPAAAA&#10;AAAAAAAAAAAAAAgFAABkcnMvZG93bnJldi54bWxQSwUGAAAAAAQABADzAAAAEQYAAAAA&#10;" fillcolor="#0079c1 [3215]" stroked="f" strokeweight="2pt">
                <v:path arrowok="t"/>
                <w10:wrap anchorx="page" anchory="page"/>
              </v:rect>
            </w:pict>
          </mc:Fallback>
        </mc:AlternateContent>
      </w:r>
      <w:r>
        <w:t>List of people consulted</w:t>
      </w:r>
      <w:bookmarkEnd w:id="197"/>
      <w:bookmarkEnd w:id="198"/>
    </w:p>
    <w:p w14:paraId="1F589F15" w14:textId="77777777" w:rsidR="008B1AA3" w:rsidRDefault="008B1AA3" w:rsidP="008B1AA3">
      <w:pPr>
        <w:rPr>
          <w:lang w:eastAsia="en-AU"/>
        </w:rPr>
      </w:pPr>
      <w:r>
        <w:rPr>
          <w:lang w:eastAsia="en-AU"/>
        </w:rPr>
        <w:br w:type="page"/>
      </w:r>
    </w:p>
    <w:p w14:paraId="25DBB761" w14:textId="77777777" w:rsidR="008B1AA3" w:rsidRDefault="008B1AA3" w:rsidP="008B1AA3">
      <w:pPr>
        <w:pStyle w:val="Heading8"/>
      </w:pPr>
      <w:r>
        <w:lastRenderedPageBreak/>
        <w:t>List of people consulted</w:t>
      </w:r>
    </w:p>
    <w:p w14:paraId="7916DA67" w14:textId="72B423FF" w:rsidR="008B1AA3" w:rsidRDefault="008B1AA3" w:rsidP="008B1AA3">
      <w:pPr>
        <w:pStyle w:val="Caption"/>
      </w:pPr>
      <w:r>
        <w:t>Table </w:t>
      </w:r>
      <w:r>
        <w:fldChar w:fldCharType="begin"/>
      </w:r>
      <w:r>
        <w:instrText xml:space="preserve"> STYLEREF 7 \s </w:instrText>
      </w:r>
      <w:r>
        <w:fldChar w:fldCharType="separate"/>
      </w:r>
      <w:r w:rsidR="00487073">
        <w:rPr>
          <w:noProof/>
        </w:rPr>
        <w:t>B</w:t>
      </w:r>
      <w:r>
        <w:fldChar w:fldCharType="end"/>
      </w:r>
      <w:r>
        <w:noBreakHyphen/>
      </w:r>
      <w:r>
        <w:fldChar w:fldCharType="begin"/>
      </w:r>
      <w:r>
        <w:instrText xml:space="preserve"> SEQ Table_Apx \* ARABIC \s 7 </w:instrText>
      </w:r>
      <w:r>
        <w:fldChar w:fldCharType="separate"/>
      </w:r>
      <w:r w:rsidR="00487073">
        <w:rPr>
          <w:noProof/>
        </w:rPr>
        <w:t>1</w:t>
      </w:r>
      <w:r>
        <w:fldChar w:fldCharType="end"/>
      </w:r>
      <w:r>
        <w:t>:</w:t>
      </w:r>
      <w:r>
        <w:tab/>
      </w:r>
      <w:r w:rsidRPr="00072CFD">
        <w:t>List of people consulted</w:t>
      </w:r>
    </w:p>
    <w:tbl>
      <w:tblPr>
        <w:tblStyle w:val="TableGrid"/>
        <w:tblW w:w="0" w:type="auto"/>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Description w:val="Table B 1: List of people consulted"/>
      </w:tblPr>
      <w:tblGrid>
        <w:gridCol w:w="6629"/>
        <w:gridCol w:w="2835"/>
      </w:tblGrid>
      <w:tr w:rsidR="008B1AA3" w:rsidRPr="0035210F" w14:paraId="442F6A02" w14:textId="77777777" w:rsidTr="00812019">
        <w:trPr>
          <w:tblHeader/>
        </w:trPr>
        <w:tc>
          <w:tcPr>
            <w:tcW w:w="9464" w:type="dxa"/>
            <w:gridSpan w:val="2"/>
            <w:tcBorders>
              <w:top w:val="single" w:sz="4" w:space="0" w:color="0079C1" w:themeColor="text2"/>
              <w:bottom w:val="single" w:sz="4" w:space="0" w:color="0079C1" w:themeColor="text2"/>
            </w:tcBorders>
            <w:shd w:val="clear" w:color="auto" w:fill="0079C1" w:themeFill="text2"/>
          </w:tcPr>
          <w:p w14:paraId="7CC59D45" w14:textId="77777777" w:rsidR="008B1AA3" w:rsidRPr="0035210F" w:rsidRDefault="008B1AA3" w:rsidP="00812019">
            <w:pPr>
              <w:pStyle w:val="TableHeading1"/>
              <w:rPr>
                <w:sz w:val="20"/>
              </w:rPr>
            </w:pPr>
            <w:r w:rsidRPr="0035210F">
              <w:rPr>
                <w:sz w:val="20"/>
              </w:rPr>
              <w:t>List of people consulted</w:t>
            </w:r>
          </w:p>
        </w:tc>
      </w:tr>
      <w:tr w:rsidR="008B1AA3" w:rsidRPr="0035210F" w14:paraId="5E362932" w14:textId="77777777" w:rsidTr="00812019">
        <w:tc>
          <w:tcPr>
            <w:tcW w:w="6629" w:type="dxa"/>
            <w:tcBorders>
              <w:top w:val="single" w:sz="4" w:space="0" w:color="0079C1" w:themeColor="text2"/>
              <w:bottom w:val="single" w:sz="4" w:space="0" w:color="0079C1" w:themeColor="text2"/>
            </w:tcBorders>
            <w:shd w:val="clear" w:color="auto" w:fill="E2F4FF" w:themeFill="accent1" w:themeFillTint="33"/>
          </w:tcPr>
          <w:p w14:paraId="6A02B800" w14:textId="77777777" w:rsidR="008B1AA3" w:rsidRPr="006D5708" w:rsidRDefault="008B1AA3" w:rsidP="00812019">
            <w:pPr>
              <w:pStyle w:val="TableHeading2"/>
              <w:rPr>
                <w:color w:val="auto"/>
                <w:sz w:val="20"/>
              </w:rPr>
            </w:pPr>
            <w:r w:rsidRPr="006D5708">
              <w:rPr>
                <w:color w:val="auto"/>
                <w:sz w:val="20"/>
              </w:rPr>
              <w:t>Commonwealth departments</w:t>
            </w:r>
          </w:p>
        </w:tc>
        <w:tc>
          <w:tcPr>
            <w:tcW w:w="2835" w:type="dxa"/>
            <w:tcBorders>
              <w:top w:val="single" w:sz="4" w:space="0" w:color="0079C1" w:themeColor="text2"/>
              <w:bottom w:val="single" w:sz="4" w:space="0" w:color="0079C1" w:themeColor="text2"/>
            </w:tcBorders>
            <w:shd w:val="clear" w:color="auto" w:fill="E2F4FF" w:themeFill="accent1" w:themeFillTint="33"/>
          </w:tcPr>
          <w:p w14:paraId="0559B9B6" w14:textId="77777777" w:rsidR="008B1AA3" w:rsidRPr="006D5708" w:rsidRDefault="008B1AA3" w:rsidP="00812019">
            <w:pPr>
              <w:pStyle w:val="TableHeading2"/>
              <w:rPr>
                <w:color w:val="auto"/>
                <w:sz w:val="20"/>
              </w:rPr>
            </w:pPr>
            <w:r w:rsidRPr="006D5708">
              <w:rPr>
                <w:color w:val="auto"/>
                <w:sz w:val="20"/>
              </w:rPr>
              <w:t>Number of people consulted</w:t>
            </w:r>
          </w:p>
        </w:tc>
      </w:tr>
      <w:tr w:rsidR="008B1AA3" w:rsidRPr="0035210F" w14:paraId="1B7455F9" w14:textId="77777777" w:rsidTr="00812019">
        <w:tc>
          <w:tcPr>
            <w:tcW w:w="6629" w:type="dxa"/>
          </w:tcPr>
          <w:p w14:paraId="5ED75833" w14:textId="77777777" w:rsidR="008B1AA3" w:rsidRPr="0035210F" w:rsidRDefault="008B1AA3" w:rsidP="00812019">
            <w:pPr>
              <w:pStyle w:val="TableText"/>
              <w:rPr>
                <w:sz w:val="20"/>
                <w:szCs w:val="20"/>
              </w:rPr>
            </w:pPr>
            <w:r w:rsidRPr="0035210F">
              <w:rPr>
                <w:sz w:val="20"/>
                <w:szCs w:val="20"/>
              </w:rPr>
              <w:t>Department of Foreign Affairs and Trade</w:t>
            </w:r>
          </w:p>
        </w:tc>
        <w:tc>
          <w:tcPr>
            <w:tcW w:w="2835" w:type="dxa"/>
          </w:tcPr>
          <w:p w14:paraId="065F9218" w14:textId="77777777" w:rsidR="008B1AA3" w:rsidRPr="0035210F" w:rsidRDefault="008B1AA3" w:rsidP="00812019">
            <w:pPr>
              <w:pStyle w:val="TableText"/>
              <w:jc w:val="center"/>
              <w:rPr>
                <w:sz w:val="20"/>
                <w:szCs w:val="20"/>
              </w:rPr>
            </w:pPr>
            <w:r w:rsidRPr="0035210F">
              <w:rPr>
                <w:sz w:val="20"/>
                <w:szCs w:val="20"/>
              </w:rPr>
              <w:t>2</w:t>
            </w:r>
          </w:p>
        </w:tc>
      </w:tr>
      <w:tr w:rsidR="008B1AA3" w:rsidRPr="0035210F" w14:paraId="1C1B09F9" w14:textId="77777777" w:rsidTr="00812019">
        <w:tc>
          <w:tcPr>
            <w:tcW w:w="6629" w:type="dxa"/>
          </w:tcPr>
          <w:p w14:paraId="5912EE39" w14:textId="77777777" w:rsidR="008B1AA3" w:rsidRPr="0035210F" w:rsidRDefault="008B1AA3" w:rsidP="00812019">
            <w:pPr>
              <w:pStyle w:val="TableText"/>
              <w:rPr>
                <w:sz w:val="20"/>
                <w:szCs w:val="20"/>
              </w:rPr>
            </w:pPr>
            <w:r w:rsidRPr="0035210F">
              <w:rPr>
                <w:sz w:val="20"/>
                <w:szCs w:val="20"/>
              </w:rPr>
              <w:t>Department of and Cabinet</w:t>
            </w:r>
          </w:p>
        </w:tc>
        <w:tc>
          <w:tcPr>
            <w:tcW w:w="2835" w:type="dxa"/>
          </w:tcPr>
          <w:p w14:paraId="4649E676" w14:textId="77777777" w:rsidR="008B1AA3" w:rsidRPr="0035210F" w:rsidRDefault="008B1AA3" w:rsidP="00812019">
            <w:pPr>
              <w:pStyle w:val="TableText"/>
              <w:jc w:val="center"/>
              <w:rPr>
                <w:sz w:val="20"/>
                <w:szCs w:val="20"/>
              </w:rPr>
            </w:pPr>
            <w:r w:rsidRPr="0035210F">
              <w:rPr>
                <w:sz w:val="20"/>
                <w:szCs w:val="20"/>
              </w:rPr>
              <w:t>1</w:t>
            </w:r>
          </w:p>
        </w:tc>
      </w:tr>
      <w:tr w:rsidR="008B1AA3" w:rsidRPr="0035210F" w14:paraId="0EF3D2AB" w14:textId="77777777" w:rsidTr="00812019">
        <w:tc>
          <w:tcPr>
            <w:tcW w:w="6629" w:type="dxa"/>
          </w:tcPr>
          <w:p w14:paraId="545A4569" w14:textId="77777777" w:rsidR="008B1AA3" w:rsidRPr="0035210F" w:rsidRDefault="008B1AA3" w:rsidP="00812019">
            <w:pPr>
              <w:pStyle w:val="TableText"/>
              <w:rPr>
                <w:sz w:val="20"/>
                <w:szCs w:val="20"/>
              </w:rPr>
            </w:pPr>
            <w:r w:rsidRPr="0035210F">
              <w:rPr>
                <w:sz w:val="20"/>
                <w:szCs w:val="20"/>
              </w:rPr>
              <w:t>Attorney General’s Department</w:t>
            </w:r>
          </w:p>
        </w:tc>
        <w:tc>
          <w:tcPr>
            <w:tcW w:w="2835" w:type="dxa"/>
          </w:tcPr>
          <w:p w14:paraId="2625B094" w14:textId="77777777" w:rsidR="008B1AA3" w:rsidRPr="0035210F" w:rsidRDefault="008B1AA3" w:rsidP="00812019">
            <w:pPr>
              <w:pStyle w:val="TableText"/>
              <w:jc w:val="center"/>
              <w:rPr>
                <w:sz w:val="20"/>
                <w:szCs w:val="20"/>
              </w:rPr>
            </w:pPr>
            <w:r w:rsidRPr="0035210F">
              <w:rPr>
                <w:sz w:val="20"/>
                <w:szCs w:val="20"/>
              </w:rPr>
              <w:t>2</w:t>
            </w:r>
          </w:p>
        </w:tc>
      </w:tr>
      <w:tr w:rsidR="008B1AA3" w:rsidRPr="0035210F" w14:paraId="392CB5AA" w14:textId="77777777" w:rsidTr="00812019">
        <w:tc>
          <w:tcPr>
            <w:tcW w:w="6629" w:type="dxa"/>
          </w:tcPr>
          <w:p w14:paraId="3AE5A6BD" w14:textId="77777777" w:rsidR="008B1AA3" w:rsidRPr="0035210F" w:rsidRDefault="008B1AA3" w:rsidP="00812019">
            <w:pPr>
              <w:pStyle w:val="TableText"/>
              <w:rPr>
                <w:sz w:val="20"/>
                <w:szCs w:val="20"/>
              </w:rPr>
            </w:pPr>
            <w:r w:rsidRPr="0035210F">
              <w:rPr>
                <w:sz w:val="20"/>
                <w:szCs w:val="20"/>
              </w:rPr>
              <w:t>Department of Immigration and Border Protection</w:t>
            </w:r>
          </w:p>
        </w:tc>
        <w:tc>
          <w:tcPr>
            <w:tcW w:w="2835" w:type="dxa"/>
          </w:tcPr>
          <w:p w14:paraId="173A787B" w14:textId="77777777" w:rsidR="008B1AA3" w:rsidRPr="0035210F" w:rsidRDefault="008B1AA3" w:rsidP="00812019">
            <w:pPr>
              <w:pStyle w:val="TableText"/>
              <w:jc w:val="center"/>
              <w:rPr>
                <w:sz w:val="20"/>
                <w:szCs w:val="20"/>
              </w:rPr>
            </w:pPr>
            <w:r w:rsidRPr="0035210F">
              <w:rPr>
                <w:sz w:val="20"/>
                <w:szCs w:val="20"/>
              </w:rPr>
              <w:t>4</w:t>
            </w:r>
          </w:p>
        </w:tc>
      </w:tr>
      <w:tr w:rsidR="008B1AA3" w:rsidRPr="0035210F" w14:paraId="7B651A3C" w14:textId="77777777" w:rsidTr="00812019">
        <w:tc>
          <w:tcPr>
            <w:tcW w:w="6629" w:type="dxa"/>
            <w:tcBorders>
              <w:top w:val="single" w:sz="4" w:space="0" w:color="0079C1" w:themeColor="text2"/>
              <w:bottom w:val="single" w:sz="4" w:space="0" w:color="BFE7FF" w:themeColor="text2" w:themeTint="33"/>
            </w:tcBorders>
            <w:shd w:val="clear" w:color="auto" w:fill="E2F4FF" w:themeFill="accent1" w:themeFillTint="33"/>
          </w:tcPr>
          <w:p w14:paraId="03421054" w14:textId="77777777" w:rsidR="008B1AA3" w:rsidRPr="006D5708" w:rsidRDefault="008B1AA3" w:rsidP="00812019">
            <w:pPr>
              <w:pStyle w:val="TableHeading2"/>
              <w:rPr>
                <w:color w:val="auto"/>
                <w:sz w:val="20"/>
              </w:rPr>
            </w:pPr>
            <w:r w:rsidRPr="006D5708">
              <w:rPr>
                <w:color w:val="auto"/>
                <w:sz w:val="20"/>
              </w:rPr>
              <w:t>DSS and implementation staff</w:t>
            </w:r>
          </w:p>
        </w:tc>
        <w:tc>
          <w:tcPr>
            <w:tcW w:w="2835" w:type="dxa"/>
            <w:tcBorders>
              <w:top w:val="single" w:sz="4" w:space="0" w:color="0079C1" w:themeColor="text2"/>
              <w:bottom w:val="single" w:sz="4" w:space="0" w:color="BFE7FF" w:themeColor="text2" w:themeTint="33"/>
            </w:tcBorders>
            <w:shd w:val="clear" w:color="auto" w:fill="E2F4FF" w:themeFill="accent1" w:themeFillTint="33"/>
          </w:tcPr>
          <w:p w14:paraId="18792AA1" w14:textId="77777777" w:rsidR="008B1AA3" w:rsidRPr="006D5708" w:rsidRDefault="008B1AA3" w:rsidP="00812019">
            <w:pPr>
              <w:pStyle w:val="TableHeading2"/>
              <w:jc w:val="center"/>
              <w:rPr>
                <w:color w:val="auto"/>
                <w:sz w:val="20"/>
              </w:rPr>
            </w:pPr>
            <w:r w:rsidRPr="006D5708">
              <w:rPr>
                <w:color w:val="auto"/>
                <w:sz w:val="20"/>
              </w:rPr>
              <w:t>Number of people consulted</w:t>
            </w:r>
          </w:p>
        </w:tc>
      </w:tr>
      <w:tr w:rsidR="008B1AA3" w:rsidRPr="0035210F" w14:paraId="6159393B" w14:textId="77777777" w:rsidTr="00812019">
        <w:tc>
          <w:tcPr>
            <w:tcW w:w="6629" w:type="dxa"/>
          </w:tcPr>
          <w:p w14:paraId="70AC6608" w14:textId="77777777" w:rsidR="008B1AA3" w:rsidRPr="0035210F" w:rsidRDefault="008B1AA3" w:rsidP="00812019">
            <w:pPr>
              <w:pStyle w:val="TableText"/>
              <w:rPr>
                <w:sz w:val="20"/>
                <w:szCs w:val="20"/>
              </w:rPr>
            </w:pPr>
            <w:r w:rsidRPr="0035210F">
              <w:rPr>
                <w:sz w:val="20"/>
                <w:szCs w:val="20"/>
              </w:rPr>
              <w:t>Current IAA service staff</w:t>
            </w:r>
          </w:p>
        </w:tc>
        <w:tc>
          <w:tcPr>
            <w:tcW w:w="2835" w:type="dxa"/>
          </w:tcPr>
          <w:p w14:paraId="20D33306" w14:textId="77777777" w:rsidR="008B1AA3" w:rsidRPr="0035210F" w:rsidRDefault="008B1AA3" w:rsidP="00812019">
            <w:pPr>
              <w:pStyle w:val="TableText"/>
              <w:jc w:val="center"/>
              <w:rPr>
                <w:sz w:val="20"/>
                <w:szCs w:val="20"/>
              </w:rPr>
            </w:pPr>
            <w:r w:rsidRPr="0035210F">
              <w:rPr>
                <w:sz w:val="20"/>
                <w:szCs w:val="20"/>
              </w:rPr>
              <w:t>5</w:t>
            </w:r>
          </w:p>
        </w:tc>
      </w:tr>
      <w:tr w:rsidR="008B1AA3" w:rsidRPr="0035210F" w14:paraId="62ACE163" w14:textId="77777777" w:rsidTr="00812019">
        <w:tc>
          <w:tcPr>
            <w:tcW w:w="6629" w:type="dxa"/>
          </w:tcPr>
          <w:p w14:paraId="36F57449" w14:textId="77777777" w:rsidR="008B1AA3" w:rsidRPr="0035210F" w:rsidRDefault="008B1AA3" w:rsidP="00812019">
            <w:pPr>
              <w:pStyle w:val="TableText"/>
              <w:rPr>
                <w:sz w:val="20"/>
                <w:szCs w:val="20"/>
              </w:rPr>
            </w:pPr>
            <w:r w:rsidRPr="0035210F">
              <w:rPr>
                <w:sz w:val="20"/>
                <w:szCs w:val="20"/>
              </w:rPr>
              <w:t>Other DSS staff</w:t>
            </w:r>
          </w:p>
        </w:tc>
        <w:tc>
          <w:tcPr>
            <w:tcW w:w="2835" w:type="dxa"/>
          </w:tcPr>
          <w:p w14:paraId="017AE4EC" w14:textId="77777777" w:rsidR="008B1AA3" w:rsidRPr="0035210F" w:rsidRDefault="008B1AA3" w:rsidP="00812019">
            <w:pPr>
              <w:pStyle w:val="TableText"/>
              <w:jc w:val="center"/>
              <w:rPr>
                <w:sz w:val="20"/>
                <w:szCs w:val="20"/>
              </w:rPr>
            </w:pPr>
            <w:r w:rsidRPr="0035210F">
              <w:rPr>
                <w:sz w:val="20"/>
                <w:szCs w:val="20"/>
              </w:rPr>
              <w:t>8</w:t>
            </w:r>
          </w:p>
        </w:tc>
      </w:tr>
      <w:tr w:rsidR="008B1AA3" w:rsidRPr="0035210F" w14:paraId="23A5B787" w14:textId="77777777" w:rsidTr="00812019">
        <w:tc>
          <w:tcPr>
            <w:tcW w:w="6629" w:type="dxa"/>
            <w:tcBorders>
              <w:top w:val="single" w:sz="4" w:space="0" w:color="0079C1" w:themeColor="text2"/>
              <w:bottom w:val="single" w:sz="4" w:space="0" w:color="BFE7FF" w:themeColor="text2" w:themeTint="33"/>
            </w:tcBorders>
            <w:shd w:val="clear" w:color="auto" w:fill="E2F4FF" w:themeFill="accent1" w:themeFillTint="33"/>
          </w:tcPr>
          <w:p w14:paraId="1D4F80E3" w14:textId="77777777" w:rsidR="008B1AA3" w:rsidRPr="006D5708" w:rsidRDefault="008B1AA3" w:rsidP="00812019">
            <w:pPr>
              <w:pStyle w:val="TableHeading2"/>
              <w:rPr>
                <w:color w:val="auto"/>
                <w:sz w:val="20"/>
              </w:rPr>
            </w:pPr>
            <w:r w:rsidRPr="006D5708">
              <w:rPr>
                <w:color w:val="auto"/>
                <w:sz w:val="20"/>
              </w:rPr>
              <w:t>State and Territory Central Authorities</w:t>
            </w:r>
          </w:p>
        </w:tc>
        <w:tc>
          <w:tcPr>
            <w:tcW w:w="2835" w:type="dxa"/>
            <w:tcBorders>
              <w:top w:val="single" w:sz="4" w:space="0" w:color="0079C1" w:themeColor="text2"/>
              <w:bottom w:val="single" w:sz="4" w:space="0" w:color="BFE7FF" w:themeColor="text2" w:themeTint="33"/>
            </w:tcBorders>
            <w:shd w:val="clear" w:color="auto" w:fill="E2F4FF" w:themeFill="accent1" w:themeFillTint="33"/>
          </w:tcPr>
          <w:p w14:paraId="0E105551" w14:textId="77777777" w:rsidR="008B1AA3" w:rsidRPr="006D5708" w:rsidRDefault="008B1AA3" w:rsidP="00812019">
            <w:pPr>
              <w:pStyle w:val="TableHeading2"/>
              <w:jc w:val="center"/>
              <w:rPr>
                <w:color w:val="auto"/>
                <w:sz w:val="20"/>
              </w:rPr>
            </w:pPr>
            <w:r w:rsidRPr="006D5708">
              <w:rPr>
                <w:color w:val="auto"/>
                <w:sz w:val="20"/>
              </w:rPr>
              <w:t>Number of people consulted</w:t>
            </w:r>
          </w:p>
        </w:tc>
      </w:tr>
      <w:tr w:rsidR="008B1AA3" w:rsidRPr="0035210F" w14:paraId="56FDBA19" w14:textId="77777777" w:rsidTr="00812019">
        <w:tc>
          <w:tcPr>
            <w:tcW w:w="6629" w:type="dxa"/>
          </w:tcPr>
          <w:p w14:paraId="277E8B3D" w14:textId="77777777" w:rsidR="008B1AA3" w:rsidRPr="0035210F" w:rsidRDefault="008B1AA3" w:rsidP="00812019">
            <w:pPr>
              <w:pStyle w:val="TableText"/>
              <w:rPr>
                <w:sz w:val="20"/>
                <w:szCs w:val="20"/>
              </w:rPr>
            </w:pPr>
            <w:r w:rsidRPr="0035210F">
              <w:rPr>
                <w:sz w:val="20"/>
                <w:szCs w:val="20"/>
              </w:rPr>
              <w:t>Northern Territory</w:t>
            </w:r>
          </w:p>
        </w:tc>
        <w:tc>
          <w:tcPr>
            <w:tcW w:w="2835" w:type="dxa"/>
          </w:tcPr>
          <w:p w14:paraId="3CB06ACB" w14:textId="77777777" w:rsidR="008B1AA3" w:rsidRPr="0035210F" w:rsidRDefault="008B1AA3" w:rsidP="00812019">
            <w:pPr>
              <w:pStyle w:val="TableText"/>
              <w:jc w:val="center"/>
              <w:rPr>
                <w:sz w:val="20"/>
                <w:szCs w:val="20"/>
              </w:rPr>
            </w:pPr>
            <w:r w:rsidRPr="0035210F">
              <w:rPr>
                <w:sz w:val="20"/>
                <w:szCs w:val="20"/>
              </w:rPr>
              <w:t>1</w:t>
            </w:r>
          </w:p>
        </w:tc>
      </w:tr>
      <w:tr w:rsidR="008B1AA3" w:rsidRPr="0035210F" w14:paraId="0408ED09" w14:textId="77777777" w:rsidTr="00812019">
        <w:tc>
          <w:tcPr>
            <w:tcW w:w="6629" w:type="dxa"/>
          </w:tcPr>
          <w:p w14:paraId="5ED92E71" w14:textId="77777777" w:rsidR="008B1AA3" w:rsidRPr="0035210F" w:rsidRDefault="008B1AA3" w:rsidP="00812019">
            <w:pPr>
              <w:pStyle w:val="TableText"/>
              <w:rPr>
                <w:sz w:val="20"/>
                <w:szCs w:val="20"/>
              </w:rPr>
            </w:pPr>
            <w:r w:rsidRPr="0035210F">
              <w:rPr>
                <w:sz w:val="20"/>
                <w:szCs w:val="20"/>
              </w:rPr>
              <w:t>Tasmania</w:t>
            </w:r>
          </w:p>
        </w:tc>
        <w:tc>
          <w:tcPr>
            <w:tcW w:w="2835" w:type="dxa"/>
          </w:tcPr>
          <w:p w14:paraId="4CD78B54" w14:textId="77777777" w:rsidR="008B1AA3" w:rsidRPr="0035210F" w:rsidRDefault="008B1AA3" w:rsidP="00812019">
            <w:pPr>
              <w:pStyle w:val="TableText"/>
              <w:jc w:val="center"/>
              <w:rPr>
                <w:sz w:val="20"/>
                <w:szCs w:val="20"/>
              </w:rPr>
            </w:pPr>
            <w:r w:rsidRPr="0035210F">
              <w:rPr>
                <w:sz w:val="20"/>
                <w:szCs w:val="20"/>
              </w:rPr>
              <w:t>2</w:t>
            </w:r>
          </w:p>
        </w:tc>
      </w:tr>
      <w:tr w:rsidR="008B1AA3" w:rsidRPr="0035210F" w14:paraId="0B1C4A18" w14:textId="77777777" w:rsidTr="00812019">
        <w:tc>
          <w:tcPr>
            <w:tcW w:w="6629" w:type="dxa"/>
          </w:tcPr>
          <w:p w14:paraId="657A2BBD" w14:textId="77777777" w:rsidR="008B1AA3" w:rsidRPr="0035210F" w:rsidRDefault="008B1AA3" w:rsidP="00812019">
            <w:pPr>
              <w:pStyle w:val="TableText"/>
              <w:rPr>
                <w:sz w:val="20"/>
                <w:szCs w:val="20"/>
              </w:rPr>
            </w:pPr>
            <w:r w:rsidRPr="0035210F">
              <w:rPr>
                <w:sz w:val="20"/>
                <w:szCs w:val="20"/>
              </w:rPr>
              <w:t>New South Wales</w:t>
            </w:r>
          </w:p>
        </w:tc>
        <w:tc>
          <w:tcPr>
            <w:tcW w:w="2835" w:type="dxa"/>
          </w:tcPr>
          <w:p w14:paraId="1AECD7B7" w14:textId="77777777" w:rsidR="008B1AA3" w:rsidRPr="0035210F" w:rsidRDefault="008B1AA3" w:rsidP="00812019">
            <w:pPr>
              <w:pStyle w:val="TableText"/>
              <w:jc w:val="center"/>
              <w:rPr>
                <w:sz w:val="20"/>
                <w:szCs w:val="20"/>
              </w:rPr>
            </w:pPr>
            <w:r w:rsidRPr="0035210F">
              <w:rPr>
                <w:sz w:val="20"/>
                <w:szCs w:val="20"/>
              </w:rPr>
              <w:t>2</w:t>
            </w:r>
          </w:p>
        </w:tc>
      </w:tr>
      <w:tr w:rsidR="008B1AA3" w:rsidRPr="0035210F" w14:paraId="49F01358" w14:textId="77777777" w:rsidTr="00812019">
        <w:tc>
          <w:tcPr>
            <w:tcW w:w="6629" w:type="dxa"/>
          </w:tcPr>
          <w:p w14:paraId="5753408D" w14:textId="77777777" w:rsidR="008B1AA3" w:rsidRPr="0035210F" w:rsidRDefault="008B1AA3" w:rsidP="00812019">
            <w:pPr>
              <w:pStyle w:val="TableText"/>
              <w:rPr>
                <w:sz w:val="20"/>
                <w:szCs w:val="20"/>
              </w:rPr>
            </w:pPr>
            <w:r w:rsidRPr="0035210F">
              <w:rPr>
                <w:sz w:val="20"/>
                <w:szCs w:val="20"/>
              </w:rPr>
              <w:t>Queensland</w:t>
            </w:r>
          </w:p>
        </w:tc>
        <w:tc>
          <w:tcPr>
            <w:tcW w:w="2835" w:type="dxa"/>
          </w:tcPr>
          <w:p w14:paraId="2FE04627" w14:textId="77777777" w:rsidR="008B1AA3" w:rsidRPr="0035210F" w:rsidRDefault="008B1AA3" w:rsidP="00812019">
            <w:pPr>
              <w:pStyle w:val="TableText"/>
              <w:jc w:val="center"/>
              <w:rPr>
                <w:sz w:val="20"/>
                <w:szCs w:val="20"/>
              </w:rPr>
            </w:pPr>
            <w:r w:rsidRPr="0035210F">
              <w:rPr>
                <w:sz w:val="20"/>
                <w:szCs w:val="20"/>
              </w:rPr>
              <w:t>2</w:t>
            </w:r>
          </w:p>
        </w:tc>
      </w:tr>
      <w:tr w:rsidR="008B1AA3" w:rsidRPr="0035210F" w14:paraId="2D247960" w14:textId="77777777" w:rsidTr="00812019">
        <w:tc>
          <w:tcPr>
            <w:tcW w:w="6629" w:type="dxa"/>
          </w:tcPr>
          <w:p w14:paraId="1A22F442" w14:textId="77777777" w:rsidR="008B1AA3" w:rsidRPr="0035210F" w:rsidRDefault="008B1AA3" w:rsidP="00812019">
            <w:pPr>
              <w:pStyle w:val="TableText"/>
              <w:rPr>
                <w:sz w:val="20"/>
                <w:szCs w:val="20"/>
              </w:rPr>
            </w:pPr>
            <w:r w:rsidRPr="0035210F">
              <w:rPr>
                <w:sz w:val="20"/>
                <w:szCs w:val="20"/>
              </w:rPr>
              <w:t>South Australia</w:t>
            </w:r>
          </w:p>
        </w:tc>
        <w:tc>
          <w:tcPr>
            <w:tcW w:w="2835" w:type="dxa"/>
          </w:tcPr>
          <w:p w14:paraId="4A0140EC" w14:textId="77777777" w:rsidR="008B1AA3" w:rsidRPr="0035210F" w:rsidRDefault="008B1AA3" w:rsidP="00812019">
            <w:pPr>
              <w:pStyle w:val="TableText"/>
              <w:jc w:val="center"/>
              <w:rPr>
                <w:sz w:val="20"/>
                <w:szCs w:val="20"/>
              </w:rPr>
            </w:pPr>
            <w:r w:rsidRPr="0035210F">
              <w:rPr>
                <w:sz w:val="20"/>
                <w:szCs w:val="20"/>
              </w:rPr>
              <w:t>1</w:t>
            </w:r>
          </w:p>
        </w:tc>
      </w:tr>
      <w:tr w:rsidR="008B1AA3" w:rsidRPr="0035210F" w14:paraId="769EEE69" w14:textId="77777777" w:rsidTr="00812019">
        <w:tc>
          <w:tcPr>
            <w:tcW w:w="6629" w:type="dxa"/>
          </w:tcPr>
          <w:p w14:paraId="6B5110F8" w14:textId="77777777" w:rsidR="008B1AA3" w:rsidRPr="0035210F" w:rsidRDefault="008B1AA3" w:rsidP="00812019">
            <w:pPr>
              <w:pStyle w:val="TableText"/>
              <w:rPr>
                <w:sz w:val="20"/>
                <w:szCs w:val="20"/>
              </w:rPr>
            </w:pPr>
            <w:r w:rsidRPr="0035210F">
              <w:rPr>
                <w:sz w:val="20"/>
                <w:szCs w:val="20"/>
              </w:rPr>
              <w:t>Australian Capital Territory</w:t>
            </w:r>
          </w:p>
        </w:tc>
        <w:tc>
          <w:tcPr>
            <w:tcW w:w="2835" w:type="dxa"/>
          </w:tcPr>
          <w:p w14:paraId="2004E3AC" w14:textId="77777777" w:rsidR="008B1AA3" w:rsidRPr="0035210F" w:rsidRDefault="008B1AA3" w:rsidP="00812019">
            <w:pPr>
              <w:pStyle w:val="TableText"/>
              <w:jc w:val="center"/>
              <w:rPr>
                <w:sz w:val="20"/>
                <w:szCs w:val="20"/>
              </w:rPr>
            </w:pPr>
            <w:r w:rsidRPr="0035210F">
              <w:rPr>
                <w:sz w:val="20"/>
                <w:szCs w:val="20"/>
              </w:rPr>
              <w:t>1</w:t>
            </w:r>
          </w:p>
        </w:tc>
      </w:tr>
      <w:tr w:rsidR="008B1AA3" w:rsidRPr="0035210F" w14:paraId="06277984" w14:textId="77777777" w:rsidTr="00812019">
        <w:tc>
          <w:tcPr>
            <w:tcW w:w="6629" w:type="dxa"/>
          </w:tcPr>
          <w:p w14:paraId="4A2D2370" w14:textId="77777777" w:rsidR="008B1AA3" w:rsidRPr="0035210F" w:rsidRDefault="008B1AA3" w:rsidP="00812019">
            <w:pPr>
              <w:pStyle w:val="TableText"/>
              <w:rPr>
                <w:sz w:val="20"/>
                <w:szCs w:val="20"/>
              </w:rPr>
            </w:pPr>
            <w:r w:rsidRPr="0035210F">
              <w:rPr>
                <w:sz w:val="20"/>
                <w:szCs w:val="20"/>
              </w:rPr>
              <w:t>Western Australia</w:t>
            </w:r>
          </w:p>
        </w:tc>
        <w:tc>
          <w:tcPr>
            <w:tcW w:w="2835" w:type="dxa"/>
          </w:tcPr>
          <w:p w14:paraId="40B54BBD" w14:textId="77777777" w:rsidR="008B1AA3" w:rsidRPr="0035210F" w:rsidRDefault="008B1AA3" w:rsidP="00812019">
            <w:pPr>
              <w:pStyle w:val="TableText"/>
              <w:jc w:val="center"/>
              <w:rPr>
                <w:sz w:val="20"/>
                <w:szCs w:val="20"/>
              </w:rPr>
            </w:pPr>
            <w:r w:rsidRPr="0035210F">
              <w:rPr>
                <w:sz w:val="20"/>
                <w:szCs w:val="20"/>
              </w:rPr>
              <w:t>3</w:t>
            </w:r>
          </w:p>
        </w:tc>
      </w:tr>
      <w:tr w:rsidR="008B1AA3" w:rsidRPr="0035210F" w14:paraId="442CEB04" w14:textId="77777777" w:rsidTr="00812019">
        <w:tc>
          <w:tcPr>
            <w:tcW w:w="6629" w:type="dxa"/>
          </w:tcPr>
          <w:p w14:paraId="336D66FD" w14:textId="77777777" w:rsidR="008B1AA3" w:rsidRPr="0035210F" w:rsidRDefault="008B1AA3" w:rsidP="00812019">
            <w:pPr>
              <w:pStyle w:val="TableText"/>
              <w:rPr>
                <w:sz w:val="20"/>
                <w:szCs w:val="20"/>
              </w:rPr>
            </w:pPr>
            <w:r w:rsidRPr="0035210F">
              <w:rPr>
                <w:sz w:val="20"/>
                <w:szCs w:val="20"/>
              </w:rPr>
              <w:t>Victoria</w:t>
            </w:r>
          </w:p>
        </w:tc>
        <w:tc>
          <w:tcPr>
            <w:tcW w:w="2835" w:type="dxa"/>
          </w:tcPr>
          <w:p w14:paraId="0714CDEE" w14:textId="77777777" w:rsidR="008B1AA3" w:rsidRPr="0035210F" w:rsidRDefault="008B1AA3" w:rsidP="00812019">
            <w:pPr>
              <w:pStyle w:val="TableText"/>
              <w:jc w:val="center"/>
              <w:rPr>
                <w:sz w:val="20"/>
                <w:szCs w:val="20"/>
              </w:rPr>
            </w:pPr>
            <w:r w:rsidRPr="0035210F">
              <w:rPr>
                <w:sz w:val="20"/>
                <w:szCs w:val="20"/>
              </w:rPr>
              <w:t>2</w:t>
            </w:r>
          </w:p>
        </w:tc>
      </w:tr>
      <w:tr w:rsidR="008B1AA3" w:rsidRPr="0035210F" w14:paraId="0EACE4A2" w14:textId="77777777" w:rsidTr="00812019">
        <w:tc>
          <w:tcPr>
            <w:tcW w:w="6629" w:type="dxa"/>
            <w:tcBorders>
              <w:top w:val="single" w:sz="4" w:space="0" w:color="0079C1" w:themeColor="text2"/>
              <w:bottom w:val="single" w:sz="4" w:space="0" w:color="0079C1" w:themeColor="text2"/>
            </w:tcBorders>
            <w:shd w:val="clear" w:color="auto" w:fill="E2F4FF" w:themeFill="accent1" w:themeFillTint="33"/>
          </w:tcPr>
          <w:p w14:paraId="0A40E434" w14:textId="77777777" w:rsidR="008B1AA3" w:rsidRPr="006D5708" w:rsidRDefault="008B1AA3" w:rsidP="00812019">
            <w:pPr>
              <w:pStyle w:val="TableHeading2"/>
              <w:rPr>
                <w:color w:val="auto"/>
                <w:sz w:val="20"/>
              </w:rPr>
            </w:pPr>
            <w:r w:rsidRPr="006D5708">
              <w:rPr>
                <w:color w:val="auto"/>
                <w:sz w:val="20"/>
              </w:rPr>
              <w:t>Academics</w:t>
            </w:r>
          </w:p>
        </w:tc>
        <w:tc>
          <w:tcPr>
            <w:tcW w:w="2835" w:type="dxa"/>
            <w:tcBorders>
              <w:top w:val="single" w:sz="4" w:space="0" w:color="0079C1" w:themeColor="text2"/>
              <w:bottom w:val="single" w:sz="4" w:space="0" w:color="0079C1" w:themeColor="text2"/>
            </w:tcBorders>
            <w:shd w:val="clear" w:color="auto" w:fill="E2F4FF" w:themeFill="accent1" w:themeFillTint="33"/>
          </w:tcPr>
          <w:p w14:paraId="767F5A02" w14:textId="77777777" w:rsidR="008B1AA3" w:rsidRPr="006D5708" w:rsidRDefault="008B1AA3" w:rsidP="00812019">
            <w:pPr>
              <w:pStyle w:val="TableHeading2"/>
              <w:jc w:val="center"/>
              <w:rPr>
                <w:color w:val="auto"/>
                <w:sz w:val="20"/>
              </w:rPr>
            </w:pPr>
            <w:r w:rsidRPr="006D5708">
              <w:rPr>
                <w:color w:val="auto"/>
                <w:sz w:val="20"/>
              </w:rPr>
              <w:t>Number of people consulted</w:t>
            </w:r>
          </w:p>
        </w:tc>
      </w:tr>
      <w:tr w:rsidR="008B1AA3" w:rsidRPr="0035210F" w14:paraId="07402F15" w14:textId="77777777" w:rsidTr="00812019">
        <w:tc>
          <w:tcPr>
            <w:tcW w:w="6629" w:type="dxa"/>
          </w:tcPr>
          <w:p w14:paraId="19CBCF87" w14:textId="77777777" w:rsidR="008B1AA3" w:rsidRPr="0035210F" w:rsidRDefault="008B1AA3" w:rsidP="00812019">
            <w:pPr>
              <w:pStyle w:val="TableText"/>
              <w:rPr>
                <w:sz w:val="20"/>
                <w:szCs w:val="20"/>
              </w:rPr>
            </w:pPr>
            <w:r w:rsidRPr="0035210F">
              <w:rPr>
                <w:sz w:val="20"/>
                <w:szCs w:val="20"/>
              </w:rPr>
              <w:t>Professor Shurlee Swain</w:t>
            </w:r>
          </w:p>
        </w:tc>
        <w:tc>
          <w:tcPr>
            <w:tcW w:w="2835" w:type="dxa"/>
          </w:tcPr>
          <w:p w14:paraId="3AE53C1E" w14:textId="77777777" w:rsidR="008B1AA3" w:rsidRPr="0035210F" w:rsidRDefault="008B1AA3" w:rsidP="00812019">
            <w:pPr>
              <w:pStyle w:val="TableText"/>
              <w:jc w:val="center"/>
              <w:rPr>
                <w:sz w:val="20"/>
                <w:szCs w:val="20"/>
              </w:rPr>
            </w:pPr>
            <w:r w:rsidRPr="0035210F">
              <w:rPr>
                <w:sz w:val="20"/>
                <w:szCs w:val="20"/>
              </w:rPr>
              <w:t>1</w:t>
            </w:r>
          </w:p>
        </w:tc>
      </w:tr>
      <w:tr w:rsidR="008B1AA3" w:rsidRPr="0035210F" w14:paraId="020BD747" w14:textId="77777777" w:rsidTr="00812019">
        <w:tc>
          <w:tcPr>
            <w:tcW w:w="6629" w:type="dxa"/>
          </w:tcPr>
          <w:p w14:paraId="445AE67C" w14:textId="77777777" w:rsidR="008B1AA3" w:rsidRPr="0035210F" w:rsidRDefault="008B1AA3" w:rsidP="00812019">
            <w:pPr>
              <w:pStyle w:val="TableText"/>
              <w:rPr>
                <w:sz w:val="20"/>
                <w:szCs w:val="20"/>
              </w:rPr>
            </w:pPr>
            <w:r w:rsidRPr="0035210F">
              <w:rPr>
                <w:sz w:val="20"/>
                <w:szCs w:val="20"/>
              </w:rPr>
              <w:t>Dr Jessica Walton</w:t>
            </w:r>
          </w:p>
        </w:tc>
        <w:tc>
          <w:tcPr>
            <w:tcW w:w="2835" w:type="dxa"/>
          </w:tcPr>
          <w:p w14:paraId="6E49032D" w14:textId="77777777" w:rsidR="008B1AA3" w:rsidRPr="0035210F" w:rsidRDefault="008B1AA3" w:rsidP="00812019">
            <w:pPr>
              <w:pStyle w:val="TableText"/>
              <w:jc w:val="center"/>
              <w:rPr>
                <w:sz w:val="20"/>
                <w:szCs w:val="20"/>
              </w:rPr>
            </w:pPr>
            <w:r w:rsidRPr="0035210F">
              <w:rPr>
                <w:sz w:val="20"/>
                <w:szCs w:val="20"/>
              </w:rPr>
              <w:t>1</w:t>
            </w:r>
          </w:p>
        </w:tc>
      </w:tr>
      <w:tr w:rsidR="008B1AA3" w:rsidRPr="0035210F" w14:paraId="66DDAECD" w14:textId="77777777" w:rsidTr="00812019">
        <w:tc>
          <w:tcPr>
            <w:tcW w:w="6629" w:type="dxa"/>
          </w:tcPr>
          <w:p w14:paraId="1B4E7113" w14:textId="77777777" w:rsidR="008B1AA3" w:rsidRPr="0035210F" w:rsidRDefault="008B1AA3" w:rsidP="00812019">
            <w:pPr>
              <w:pStyle w:val="TableText"/>
              <w:rPr>
                <w:sz w:val="20"/>
                <w:szCs w:val="20"/>
              </w:rPr>
            </w:pPr>
            <w:r w:rsidRPr="0035210F">
              <w:rPr>
                <w:sz w:val="20"/>
                <w:szCs w:val="20"/>
              </w:rPr>
              <w:t>Dr Patricia Fronek</w:t>
            </w:r>
          </w:p>
        </w:tc>
        <w:tc>
          <w:tcPr>
            <w:tcW w:w="2835" w:type="dxa"/>
          </w:tcPr>
          <w:p w14:paraId="2B5494D0" w14:textId="77777777" w:rsidR="008B1AA3" w:rsidRPr="0035210F" w:rsidRDefault="008B1AA3" w:rsidP="00812019">
            <w:pPr>
              <w:pStyle w:val="TableText"/>
              <w:jc w:val="center"/>
              <w:rPr>
                <w:sz w:val="20"/>
                <w:szCs w:val="20"/>
              </w:rPr>
            </w:pPr>
            <w:r w:rsidRPr="0035210F">
              <w:rPr>
                <w:sz w:val="20"/>
                <w:szCs w:val="20"/>
              </w:rPr>
              <w:t>1</w:t>
            </w:r>
          </w:p>
        </w:tc>
      </w:tr>
      <w:tr w:rsidR="008B1AA3" w:rsidRPr="0035210F" w14:paraId="5EEC6AA1" w14:textId="77777777" w:rsidTr="00812019">
        <w:tc>
          <w:tcPr>
            <w:tcW w:w="6629" w:type="dxa"/>
            <w:tcBorders>
              <w:top w:val="single" w:sz="4" w:space="0" w:color="0079C1" w:themeColor="text2"/>
              <w:bottom w:val="single" w:sz="4" w:space="0" w:color="0079C1" w:themeColor="text2"/>
            </w:tcBorders>
            <w:shd w:val="clear" w:color="auto" w:fill="E2F4FF" w:themeFill="accent1" w:themeFillTint="33"/>
          </w:tcPr>
          <w:p w14:paraId="6187D400" w14:textId="77777777" w:rsidR="008B1AA3" w:rsidRPr="006D5708" w:rsidRDefault="008B1AA3" w:rsidP="00812019">
            <w:pPr>
              <w:pStyle w:val="TableHeading2"/>
              <w:rPr>
                <w:color w:val="auto"/>
                <w:sz w:val="20"/>
              </w:rPr>
            </w:pPr>
            <w:r w:rsidRPr="006D5708">
              <w:rPr>
                <w:color w:val="auto"/>
                <w:sz w:val="20"/>
              </w:rPr>
              <w:t>Support/advocacy groups</w:t>
            </w:r>
          </w:p>
        </w:tc>
        <w:tc>
          <w:tcPr>
            <w:tcW w:w="2835" w:type="dxa"/>
            <w:tcBorders>
              <w:top w:val="single" w:sz="4" w:space="0" w:color="0079C1" w:themeColor="text2"/>
              <w:bottom w:val="single" w:sz="4" w:space="0" w:color="0079C1" w:themeColor="text2"/>
            </w:tcBorders>
            <w:shd w:val="clear" w:color="auto" w:fill="E2F4FF" w:themeFill="accent1" w:themeFillTint="33"/>
          </w:tcPr>
          <w:p w14:paraId="32DCE290" w14:textId="77777777" w:rsidR="008B1AA3" w:rsidRPr="006D5708" w:rsidRDefault="008B1AA3" w:rsidP="00812019">
            <w:pPr>
              <w:pStyle w:val="TableHeading2"/>
              <w:jc w:val="center"/>
              <w:rPr>
                <w:color w:val="auto"/>
                <w:sz w:val="20"/>
              </w:rPr>
            </w:pPr>
            <w:r w:rsidRPr="006D5708">
              <w:rPr>
                <w:color w:val="auto"/>
                <w:sz w:val="20"/>
              </w:rPr>
              <w:t>Number of people consulted</w:t>
            </w:r>
          </w:p>
        </w:tc>
      </w:tr>
      <w:tr w:rsidR="008B1AA3" w:rsidRPr="0035210F" w14:paraId="73DBEC78" w14:textId="77777777" w:rsidTr="00812019">
        <w:tc>
          <w:tcPr>
            <w:tcW w:w="6629" w:type="dxa"/>
          </w:tcPr>
          <w:p w14:paraId="2EC384CC" w14:textId="77777777" w:rsidR="008B1AA3" w:rsidRPr="0035210F" w:rsidRDefault="008B1AA3" w:rsidP="00812019">
            <w:pPr>
              <w:pStyle w:val="TableText"/>
              <w:rPr>
                <w:sz w:val="20"/>
                <w:szCs w:val="20"/>
              </w:rPr>
            </w:pPr>
            <w:r w:rsidRPr="0035210F">
              <w:rPr>
                <w:sz w:val="20"/>
                <w:szCs w:val="20"/>
              </w:rPr>
              <w:t>Tasmanian Adoptive Consultative Committee</w:t>
            </w:r>
          </w:p>
        </w:tc>
        <w:tc>
          <w:tcPr>
            <w:tcW w:w="2835" w:type="dxa"/>
          </w:tcPr>
          <w:p w14:paraId="1DCA4593" w14:textId="77777777" w:rsidR="008B1AA3" w:rsidRPr="0035210F" w:rsidRDefault="008B1AA3" w:rsidP="00812019">
            <w:pPr>
              <w:pStyle w:val="TableText"/>
              <w:jc w:val="center"/>
              <w:rPr>
                <w:sz w:val="20"/>
                <w:szCs w:val="20"/>
              </w:rPr>
            </w:pPr>
            <w:r w:rsidRPr="0035210F">
              <w:rPr>
                <w:sz w:val="20"/>
                <w:szCs w:val="20"/>
              </w:rPr>
              <w:t>1</w:t>
            </w:r>
          </w:p>
        </w:tc>
      </w:tr>
      <w:tr w:rsidR="008B1AA3" w:rsidRPr="0035210F" w14:paraId="01E22713" w14:textId="77777777" w:rsidTr="00812019">
        <w:tc>
          <w:tcPr>
            <w:tcW w:w="6629" w:type="dxa"/>
          </w:tcPr>
          <w:p w14:paraId="570BB027" w14:textId="77777777" w:rsidR="008B1AA3" w:rsidRPr="0035210F" w:rsidRDefault="008B1AA3" w:rsidP="00812019">
            <w:pPr>
              <w:pStyle w:val="TableText"/>
              <w:rPr>
                <w:sz w:val="20"/>
                <w:szCs w:val="20"/>
              </w:rPr>
            </w:pPr>
            <w:r w:rsidRPr="0035210F">
              <w:rPr>
                <w:sz w:val="20"/>
                <w:szCs w:val="20"/>
              </w:rPr>
              <w:t>Families with Children from China</w:t>
            </w:r>
          </w:p>
        </w:tc>
        <w:tc>
          <w:tcPr>
            <w:tcW w:w="2835" w:type="dxa"/>
          </w:tcPr>
          <w:p w14:paraId="7671AC0B" w14:textId="77777777" w:rsidR="008B1AA3" w:rsidRPr="0035210F" w:rsidRDefault="008B1AA3" w:rsidP="00812019">
            <w:pPr>
              <w:pStyle w:val="TableText"/>
              <w:jc w:val="center"/>
              <w:rPr>
                <w:sz w:val="20"/>
                <w:szCs w:val="20"/>
              </w:rPr>
            </w:pPr>
            <w:r w:rsidRPr="0035210F">
              <w:rPr>
                <w:sz w:val="20"/>
                <w:szCs w:val="20"/>
              </w:rPr>
              <w:t>1</w:t>
            </w:r>
          </w:p>
        </w:tc>
      </w:tr>
      <w:tr w:rsidR="008B1AA3" w:rsidRPr="0035210F" w14:paraId="74B932C7" w14:textId="77777777" w:rsidTr="00812019">
        <w:tc>
          <w:tcPr>
            <w:tcW w:w="6629" w:type="dxa"/>
          </w:tcPr>
          <w:p w14:paraId="5C01A7CB" w14:textId="77777777" w:rsidR="008B1AA3" w:rsidRPr="0035210F" w:rsidRDefault="008B1AA3" w:rsidP="00812019">
            <w:pPr>
              <w:pStyle w:val="TableText"/>
              <w:rPr>
                <w:sz w:val="20"/>
                <w:szCs w:val="20"/>
              </w:rPr>
            </w:pPr>
            <w:r w:rsidRPr="0035210F">
              <w:rPr>
                <w:sz w:val="20"/>
                <w:szCs w:val="20"/>
              </w:rPr>
              <w:t>Adopt Change</w:t>
            </w:r>
          </w:p>
        </w:tc>
        <w:tc>
          <w:tcPr>
            <w:tcW w:w="2835" w:type="dxa"/>
          </w:tcPr>
          <w:p w14:paraId="468EF0D0" w14:textId="77777777" w:rsidR="008B1AA3" w:rsidRPr="0035210F" w:rsidRDefault="008B1AA3" w:rsidP="00812019">
            <w:pPr>
              <w:pStyle w:val="TableText"/>
              <w:jc w:val="center"/>
              <w:rPr>
                <w:sz w:val="20"/>
                <w:szCs w:val="20"/>
              </w:rPr>
            </w:pPr>
            <w:r w:rsidRPr="0035210F">
              <w:rPr>
                <w:sz w:val="20"/>
                <w:szCs w:val="20"/>
              </w:rPr>
              <w:t>1</w:t>
            </w:r>
          </w:p>
        </w:tc>
      </w:tr>
      <w:tr w:rsidR="008B1AA3" w:rsidRPr="0035210F" w14:paraId="33FCA776" w14:textId="77777777" w:rsidTr="00812019">
        <w:tc>
          <w:tcPr>
            <w:tcW w:w="6629" w:type="dxa"/>
          </w:tcPr>
          <w:p w14:paraId="7FDDE69D" w14:textId="77777777" w:rsidR="008B1AA3" w:rsidRPr="0035210F" w:rsidRDefault="008B1AA3" w:rsidP="00812019">
            <w:pPr>
              <w:pStyle w:val="TableText"/>
              <w:rPr>
                <w:sz w:val="20"/>
                <w:szCs w:val="20"/>
              </w:rPr>
            </w:pPr>
            <w:r w:rsidRPr="0035210F">
              <w:rPr>
                <w:sz w:val="20"/>
                <w:szCs w:val="20"/>
              </w:rPr>
              <w:t>Intercountry Adoptee Voices</w:t>
            </w:r>
          </w:p>
        </w:tc>
        <w:tc>
          <w:tcPr>
            <w:tcW w:w="2835" w:type="dxa"/>
          </w:tcPr>
          <w:p w14:paraId="7EE50BA5" w14:textId="77777777" w:rsidR="008B1AA3" w:rsidRPr="0035210F" w:rsidRDefault="008B1AA3" w:rsidP="00812019">
            <w:pPr>
              <w:pStyle w:val="TableText"/>
              <w:jc w:val="center"/>
              <w:rPr>
                <w:sz w:val="20"/>
                <w:szCs w:val="20"/>
              </w:rPr>
            </w:pPr>
            <w:r w:rsidRPr="0035210F">
              <w:rPr>
                <w:sz w:val="20"/>
                <w:szCs w:val="20"/>
              </w:rPr>
              <w:t>1</w:t>
            </w:r>
          </w:p>
        </w:tc>
      </w:tr>
      <w:tr w:rsidR="008B1AA3" w:rsidRPr="0035210F" w14:paraId="042D3B84" w14:textId="77777777" w:rsidTr="00812019">
        <w:tc>
          <w:tcPr>
            <w:tcW w:w="6629" w:type="dxa"/>
            <w:tcBorders>
              <w:top w:val="single" w:sz="4" w:space="0" w:color="0079C1" w:themeColor="text2"/>
              <w:bottom w:val="single" w:sz="4" w:space="0" w:color="0079C1" w:themeColor="text2"/>
            </w:tcBorders>
            <w:shd w:val="clear" w:color="auto" w:fill="E2F4FF" w:themeFill="accent1" w:themeFillTint="33"/>
          </w:tcPr>
          <w:p w14:paraId="7EB130B5" w14:textId="77777777" w:rsidR="008B1AA3" w:rsidRPr="006D5708" w:rsidRDefault="008B1AA3" w:rsidP="00812019">
            <w:pPr>
              <w:pStyle w:val="TableHeading2"/>
              <w:rPr>
                <w:color w:val="auto"/>
                <w:sz w:val="20"/>
              </w:rPr>
            </w:pPr>
            <w:r w:rsidRPr="006D5708">
              <w:rPr>
                <w:color w:val="auto"/>
                <w:sz w:val="20"/>
              </w:rPr>
              <w:t>Recently engaged service providers</w:t>
            </w:r>
          </w:p>
        </w:tc>
        <w:tc>
          <w:tcPr>
            <w:tcW w:w="2835" w:type="dxa"/>
            <w:tcBorders>
              <w:top w:val="single" w:sz="4" w:space="0" w:color="0079C1" w:themeColor="text2"/>
              <w:bottom w:val="single" w:sz="4" w:space="0" w:color="0079C1" w:themeColor="text2"/>
            </w:tcBorders>
            <w:shd w:val="clear" w:color="auto" w:fill="E2F4FF" w:themeFill="accent1" w:themeFillTint="33"/>
          </w:tcPr>
          <w:p w14:paraId="6EA67D99" w14:textId="77777777" w:rsidR="008B1AA3" w:rsidRPr="006D5708" w:rsidRDefault="008B1AA3" w:rsidP="00812019">
            <w:pPr>
              <w:pStyle w:val="TableHeading2"/>
              <w:jc w:val="center"/>
              <w:rPr>
                <w:color w:val="auto"/>
                <w:sz w:val="20"/>
              </w:rPr>
            </w:pPr>
            <w:r w:rsidRPr="006D5708">
              <w:rPr>
                <w:color w:val="auto"/>
                <w:sz w:val="20"/>
              </w:rPr>
              <w:t>Number of people consulted</w:t>
            </w:r>
          </w:p>
        </w:tc>
      </w:tr>
      <w:tr w:rsidR="008B1AA3" w:rsidRPr="0035210F" w14:paraId="084C559D" w14:textId="77777777" w:rsidTr="00812019">
        <w:tc>
          <w:tcPr>
            <w:tcW w:w="6629" w:type="dxa"/>
          </w:tcPr>
          <w:p w14:paraId="5650DDD7" w14:textId="77777777" w:rsidR="008B1AA3" w:rsidRPr="0035210F" w:rsidRDefault="008B1AA3" w:rsidP="00812019">
            <w:pPr>
              <w:pStyle w:val="TableText"/>
              <w:rPr>
                <w:sz w:val="20"/>
                <w:szCs w:val="20"/>
              </w:rPr>
            </w:pPr>
            <w:r w:rsidRPr="0035210F">
              <w:rPr>
                <w:sz w:val="20"/>
                <w:szCs w:val="20"/>
              </w:rPr>
              <w:t xml:space="preserve">LifeWorks </w:t>
            </w:r>
          </w:p>
        </w:tc>
        <w:tc>
          <w:tcPr>
            <w:tcW w:w="2835" w:type="dxa"/>
          </w:tcPr>
          <w:p w14:paraId="775B655B" w14:textId="77777777" w:rsidR="008B1AA3" w:rsidRPr="0035210F" w:rsidRDefault="008B1AA3" w:rsidP="00812019">
            <w:pPr>
              <w:pStyle w:val="TableText"/>
              <w:jc w:val="center"/>
              <w:rPr>
                <w:sz w:val="20"/>
                <w:szCs w:val="20"/>
              </w:rPr>
            </w:pPr>
            <w:r w:rsidRPr="0035210F">
              <w:rPr>
                <w:sz w:val="20"/>
                <w:szCs w:val="20"/>
              </w:rPr>
              <w:t>1</w:t>
            </w:r>
          </w:p>
        </w:tc>
      </w:tr>
      <w:tr w:rsidR="008B1AA3" w:rsidRPr="0035210F" w14:paraId="625C4673" w14:textId="77777777" w:rsidTr="00812019">
        <w:tc>
          <w:tcPr>
            <w:tcW w:w="6629" w:type="dxa"/>
          </w:tcPr>
          <w:p w14:paraId="737D1DC2" w14:textId="77777777" w:rsidR="008B1AA3" w:rsidRPr="0035210F" w:rsidRDefault="008B1AA3" w:rsidP="00812019">
            <w:pPr>
              <w:pStyle w:val="TableText"/>
              <w:rPr>
                <w:sz w:val="20"/>
                <w:szCs w:val="20"/>
              </w:rPr>
            </w:pPr>
            <w:r w:rsidRPr="0035210F">
              <w:rPr>
                <w:sz w:val="20"/>
                <w:szCs w:val="20"/>
              </w:rPr>
              <w:t>The International Social Service (ISS)</w:t>
            </w:r>
          </w:p>
        </w:tc>
        <w:tc>
          <w:tcPr>
            <w:tcW w:w="2835" w:type="dxa"/>
          </w:tcPr>
          <w:p w14:paraId="21EB7E62" w14:textId="77777777" w:rsidR="008B1AA3" w:rsidRPr="0035210F" w:rsidRDefault="008B1AA3" w:rsidP="00812019">
            <w:pPr>
              <w:pStyle w:val="TableText"/>
              <w:jc w:val="center"/>
              <w:rPr>
                <w:sz w:val="20"/>
                <w:szCs w:val="20"/>
              </w:rPr>
            </w:pPr>
            <w:r w:rsidRPr="0035210F">
              <w:rPr>
                <w:sz w:val="20"/>
                <w:szCs w:val="20"/>
              </w:rPr>
              <w:t>2</w:t>
            </w:r>
          </w:p>
        </w:tc>
      </w:tr>
      <w:tr w:rsidR="008B1AA3" w:rsidRPr="0035210F" w14:paraId="1A68787A" w14:textId="77777777" w:rsidTr="00812019">
        <w:tc>
          <w:tcPr>
            <w:tcW w:w="6629" w:type="dxa"/>
            <w:tcBorders>
              <w:top w:val="single" w:sz="4" w:space="0" w:color="0079C1" w:themeColor="text2"/>
              <w:bottom w:val="single" w:sz="4" w:space="0" w:color="0079C1" w:themeColor="text2"/>
            </w:tcBorders>
            <w:shd w:val="clear" w:color="auto" w:fill="E2F4FF" w:themeFill="accent1" w:themeFillTint="33"/>
          </w:tcPr>
          <w:p w14:paraId="0907833F" w14:textId="77777777" w:rsidR="008B1AA3" w:rsidRPr="006D5708" w:rsidRDefault="008B1AA3" w:rsidP="00812019">
            <w:pPr>
              <w:pStyle w:val="TableHeading2"/>
              <w:rPr>
                <w:color w:val="auto"/>
                <w:sz w:val="20"/>
              </w:rPr>
            </w:pPr>
            <w:r w:rsidRPr="006D5708">
              <w:rPr>
                <w:color w:val="auto"/>
                <w:sz w:val="20"/>
              </w:rPr>
              <w:t>IAA service users</w:t>
            </w:r>
          </w:p>
        </w:tc>
        <w:tc>
          <w:tcPr>
            <w:tcW w:w="2835" w:type="dxa"/>
            <w:tcBorders>
              <w:top w:val="single" w:sz="4" w:space="0" w:color="0079C1" w:themeColor="text2"/>
              <w:bottom w:val="single" w:sz="4" w:space="0" w:color="0079C1" w:themeColor="text2"/>
            </w:tcBorders>
            <w:shd w:val="clear" w:color="auto" w:fill="E2F4FF" w:themeFill="accent1" w:themeFillTint="33"/>
          </w:tcPr>
          <w:p w14:paraId="0042B6B9" w14:textId="77777777" w:rsidR="008B1AA3" w:rsidRPr="006D5708" w:rsidRDefault="008B1AA3" w:rsidP="00812019">
            <w:pPr>
              <w:pStyle w:val="TableHeading2"/>
              <w:jc w:val="center"/>
              <w:rPr>
                <w:color w:val="auto"/>
                <w:sz w:val="20"/>
              </w:rPr>
            </w:pPr>
            <w:r w:rsidRPr="006D5708">
              <w:rPr>
                <w:color w:val="auto"/>
                <w:sz w:val="20"/>
              </w:rPr>
              <w:t>Number of people consulted</w:t>
            </w:r>
          </w:p>
        </w:tc>
      </w:tr>
      <w:tr w:rsidR="008B1AA3" w:rsidRPr="0035210F" w14:paraId="6984B6F7" w14:textId="77777777" w:rsidTr="00812019">
        <w:tc>
          <w:tcPr>
            <w:tcW w:w="6629" w:type="dxa"/>
          </w:tcPr>
          <w:p w14:paraId="34E2ACAD" w14:textId="77777777" w:rsidR="008B1AA3" w:rsidRPr="0035210F" w:rsidRDefault="008B1AA3" w:rsidP="00812019">
            <w:pPr>
              <w:pStyle w:val="TableText"/>
              <w:rPr>
                <w:sz w:val="20"/>
                <w:szCs w:val="20"/>
              </w:rPr>
            </w:pPr>
            <w:r w:rsidRPr="0035210F">
              <w:rPr>
                <w:sz w:val="20"/>
                <w:szCs w:val="20"/>
              </w:rPr>
              <w:t>People who had used IAA</w:t>
            </w:r>
          </w:p>
        </w:tc>
        <w:tc>
          <w:tcPr>
            <w:tcW w:w="2835" w:type="dxa"/>
          </w:tcPr>
          <w:p w14:paraId="77072E36" w14:textId="77777777" w:rsidR="008B1AA3" w:rsidRPr="0035210F" w:rsidRDefault="008B1AA3" w:rsidP="00812019">
            <w:pPr>
              <w:pStyle w:val="TableText"/>
              <w:jc w:val="center"/>
              <w:rPr>
                <w:sz w:val="20"/>
                <w:szCs w:val="20"/>
              </w:rPr>
            </w:pPr>
            <w:r w:rsidRPr="0035210F">
              <w:rPr>
                <w:sz w:val="20"/>
                <w:szCs w:val="20"/>
              </w:rPr>
              <w:t>28</w:t>
            </w:r>
          </w:p>
        </w:tc>
      </w:tr>
      <w:tr w:rsidR="008B1AA3" w:rsidRPr="0035210F" w14:paraId="114896A4" w14:textId="77777777" w:rsidTr="00812019">
        <w:tc>
          <w:tcPr>
            <w:tcW w:w="6629" w:type="dxa"/>
          </w:tcPr>
          <w:p w14:paraId="236C0A8F" w14:textId="77777777" w:rsidR="008B1AA3" w:rsidRPr="0035210F" w:rsidRDefault="008B1AA3" w:rsidP="00812019">
            <w:pPr>
              <w:pStyle w:val="TableText"/>
              <w:rPr>
                <w:sz w:val="20"/>
                <w:szCs w:val="20"/>
              </w:rPr>
            </w:pPr>
            <w:r w:rsidRPr="0035210F">
              <w:rPr>
                <w:sz w:val="20"/>
                <w:szCs w:val="20"/>
              </w:rPr>
              <w:t>People who had not used IAA</w:t>
            </w:r>
          </w:p>
        </w:tc>
        <w:tc>
          <w:tcPr>
            <w:tcW w:w="2835" w:type="dxa"/>
          </w:tcPr>
          <w:p w14:paraId="02DDC7DA" w14:textId="77777777" w:rsidR="008B1AA3" w:rsidRPr="0035210F" w:rsidRDefault="008B1AA3" w:rsidP="00812019">
            <w:pPr>
              <w:pStyle w:val="TableText"/>
              <w:jc w:val="center"/>
              <w:rPr>
                <w:sz w:val="20"/>
                <w:szCs w:val="20"/>
              </w:rPr>
            </w:pPr>
            <w:r w:rsidRPr="0035210F">
              <w:rPr>
                <w:sz w:val="20"/>
                <w:szCs w:val="20"/>
              </w:rPr>
              <w:t>11</w:t>
            </w:r>
          </w:p>
        </w:tc>
      </w:tr>
      <w:tr w:rsidR="008B1AA3" w:rsidRPr="0035210F" w14:paraId="17A5D0C2" w14:textId="77777777" w:rsidTr="00812019">
        <w:tc>
          <w:tcPr>
            <w:tcW w:w="6629" w:type="dxa"/>
            <w:tcBorders>
              <w:top w:val="single" w:sz="4" w:space="0" w:color="0079C1" w:themeColor="text2"/>
              <w:bottom w:val="single" w:sz="4" w:space="0" w:color="0079C1" w:themeColor="text2"/>
            </w:tcBorders>
            <w:shd w:val="clear" w:color="auto" w:fill="E2F4FF" w:themeFill="accent1" w:themeFillTint="33"/>
          </w:tcPr>
          <w:p w14:paraId="28C7DE02" w14:textId="77777777" w:rsidR="008B1AA3" w:rsidRPr="006D5708" w:rsidRDefault="008B1AA3" w:rsidP="00812019">
            <w:pPr>
              <w:pStyle w:val="TableHeading2"/>
              <w:rPr>
                <w:color w:val="auto"/>
                <w:sz w:val="20"/>
              </w:rPr>
            </w:pPr>
            <w:r w:rsidRPr="006D5708">
              <w:rPr>
                <w:color w:val="auto"/>
                <w:sz w:val="20"/>
              </w:rPr>
              <w:t>Total number of people consulted</w:t>
            </w:r>
          </w:p>
        </w:tc>
        <w:tc>
          <w:tcPr>
            <w:tcW w:w="2835" w:type="dxa"/>
            <w:tcBorders>
              <w:top w:val="single" w:sz="4" w:space="0" w:color="0079C1" w:themeColor="text2"/>
              <w:bottom w:val="single" w:sz="4" w:space="0" w:color="0079C1" w:themeColor="text2"/>
            </w:tcBorders>
            <w:shd w:val="clear" w:color="auto" w:fill="E2F4FF" w:themeFill="accent1" w:themeFillTint="33"/>
          </w:tcPr>
          <w:p w14:paraId="169CC7B3" w14:textId="77777777" w:rsidR="008B1AA3" w:rsidRPr="006D5708" w:rsidRDefault="008B1AA3" w:rsidP="00812019">
            <w:pPr>
              <w:pStyle w:val="TableHeading2"/>
              <w:jc w:val="center"/>
              <w:rPr>
                <w:color w:val="auto"/>
                <w:sz w:val="20"/>
              </w:rPr>
            </w:pPr>
            <w:r w:rsidRPr="006D5708">
              <w:rPr>
                <w:color w:val="auto"/>
                <w:sz w:val="20"/>
              </w:rPr>
              <w:t>85</w:t>
            </w:r>
          </w:p>
        </w:tc>
      </w:tr>
    </w:tbl>
    <w:p w14:paraId="58312540" w14:textId="019CE86F" w:rsidR="008B1AA3" w:rsidRDefault="008B1AA3" w:rsidP="008B1AA3"/>
    <w:p w14:paraId="706EF917" w14:textId="77777777" w:rsidR="008B1AA3" w:rsidRDefault="008B1AA3" w:rsidP="008B1AA3"/>
    <w:p w14:paraId="3A9EC944" w14:textId="77777777" w:rsidR="0059083D" w:rsidRDefault="0059083D" w:rsidP="00126818"/>
    <w:p w14:paraId="789C1070" w14:textId="77777777" w:rsidR="00E94CB2" w:rsidRDefault="00E94CB2" w:rsidP="00E94CB2"/>
    <w:bookmarkStart w:id="199" w:name="_Ref490132277"/>
    <w:bookmarkStart w:id="200" w:name="_Toc490481645"/>
    <w:p w14:paraId="162F979E" w14:textId="6A1EA841" w:rsidR="004B67D5" w:rsidRDefault="00B36A43" w:rsidP="00283E1C">
      <w:pPr>
        <w:pStyle w:val="Heading7"/>
      </w:pPr>
      <w:r>
        <w:rPr>
          <w:noProof/>
          <w:lang w:val="en-AU"/>
        </w:rPr>
        <mc:AlternateContent>
          <mc:Choice Requires="wps">
            <w:drawing>
              <wp:anchor distT="0" distB="0" distL="114300" distR="114300" simplePos="0" relativeHeight="251654144" behindDoc="1" locked="0" layoutInCell="1" allowOverlap="1" wp14:anchorId="50C01433" wp14:editId="792C80FC">
                <wp:simplePos x="0" y="0"/>
                <wp:positionH relativeFrom="page">
                  <wp:align>left</wp:align>
                </wp:positionH>
                <wp:positionV relativeFrom="page">
                  <wp:align>top</wp:align>
                </wp:positionV>
                <wp:extent cx="7560310" cy="10763885"/>
                <wp:effectExtent l="0" t="0" r="2540" b="0"/>
                <wp:wrapNone/>
                <wp:docPr id="21" name="Rectangle 21" title="&quot; &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7638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38C7A" id="Rectangle 21" o:spid="_x0000_s1026" alt="Title: &quot; &quot;" style="position:absolute;margin-left:0;margin-top:0;width:595.3pt;height:847.55pt;z-index:-2516623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FrrQIAALcFAAAOAAAAZHJzL2Uyb0RvYy54bWysVN9P2zAQfp+0/8Hyw95GkkKBZaSoAjFN&#10;qgABE8/GsZtojs/YbtPy1+9sJ6VjaA/T+pD6fN9998N3d3a+6RRZC+ta0BUtDnJKhOZQt3pZ0R8P&#10;V59PKXGe6Zop0KKiW+Ho+ezjh7PelGICDahaWIIk2pW9qWjjvSmzzPFGdMwdgBEalRJsxzyKdpnV&#10;lvXI3qlskufHWQ+2Nha4cA5vL5OSziK/lIL7Gymd8ERVFGPz8Wvj9yl8s9kZK5eWmablQxjsH6Lo&#10;WKvR6Y7qknlGVrb9g6pruQUH0h9w6DKQsuUi5oDZFPmbbO4bZkTMBYvjzK5M7v/R8uv1rSVtXdFJ&#10;QYlmHb7RHVaN6aUSJNz51iu8/PS8Av+VpL9Qtt64Eq3vza0NiTuzAP7ToSL7TRMEN2A20nYBi2mT&#10;TXyD7e4NxMYTjpcn0+P8sMCn4qgr8pPjw9PTafCXsXK0N9b5bwI6Eg4VtRhvLD5bL5xP0BESQwPV&#10;1letUlEInSUulCVrhj3hN5OB3O2jlA5YDcEqEYabmFlKJqblt0oEnNJ3QmIRMfxJDCS276sTxrnQ&#10;vkiqhtUi+Z7m+Bu9j2HFRCNhYJbof8c9EIzIRDJypygHfDAVsft3xvnfAkvGO4voGbTfGXetBvse&#10;gcKsBs8JPxYplSZU6QnqLbaYhTR7zvCrFp9twZy/ZRaHDd8aF4i/wY9U0FcUhhMlDdiX9+4DHmcA&#10;tZT0OLwVdc8rZgUl6rvG6fhSHB2FaY/C0fRkgoLd1zzta/SquwDsBWx2jC4eA96r8SgtdI+4Z+bB&#10;K6qY5ui7otzbUbjwaangpuJiPo8wnHDD/ELfGx7IQ1VDWz5sHpk1Q+967PtrGAedlW9aOGGDpYb5&#10;yoNsY3+/1nWoN26H2DjDJgvrZ1+OqNd9O/sFAAD//wMAUEsDBBQABgAIAAAAIQCBDGG23AAAAAcB&#10;AAAPAAAAZHJzL2Rvd25yZXYueG1sTI9BT8MwDIXvk/YfIiNx29KCKF1pOk1I3RFthWlXrzFtReNU&#10;TbaVf0/GBS7Ws5713ud8PZleXGh0nWUF8TICQVxb3XGj4OO9XKQgnEfW2FsmBd/kYF3MZzlm2l55&#10;T5fKNyKEsMtQQev9kEnp6pYMuqUdiIP3aUeDPqxjI/WI1xBuevkQRYk02HFoaHGg15bqr+psFJTH&#10;Z0r38W67nQ6Pu1RXb75EUur+btq8gPA0+b9juOEHdCgC08meWTvRKwiP+N958+JVlIA4BZWsnmKQ&#10;RS7/8xc/AAAA//8DAFBLAQItABQABgAIAAAAIQC2gziS/gAAAOEBAAATAAAAAAAAAAAAAAAAAAAA&#10;AABbQ29udGVudF9UeXBlc10ueG1sUEsBAi0AFAAGAAgAAAAhADj9If/WAAAAlAEAAAsAAAAAAAAA&#10;AAAAAAAALwEAAF9yZWxzLy5yZWxzUEsBAi0AFAAGAAgAAAAhAKeAkWutAgAAtwUAAA4AAAAAAAAA&#10;AAAAAAAALgIAAGRycy9lMm9Eb2MueG1sUEsBAi0AFAAGAAgAAAAhAIEMYbbcAAAABwEAAA8AAAAA&#10;AAAAAAAAAAAABwUAAGRycy9kb3ducmV2LnhtbFBLBQYAAAAABAAEAPMAAAAQBgAAAAA=&#10;" fillcolor="#0079c1 [3215]" stroked="f" strokeweight="2pt">
                <v:path arrowok="t"/>
                <w10:wrap anchorx="page" anchory="page"/>
              </v:rect>
            </w:pict>
          </mc:Fallback>
        </mc:AlternateContent>
      </w:r>
      <w:r w:rsidR="00655E7B">
        <w:t xml:space="preserve">Survey </w:t>
      </w:r>
      <w:r w:rsidR="00655E7B" w:rsidRPr="002D5EE1">
        <w:t>results</w:t>
      </w:r>
      <w:bookmarkEnd w:id="199"/>
      <w:bookmarkEnd w:id="200"/>
    </w:p>
    <w:p w14:paraId="3AD856D9" w14:textId="77777777" w:rsidR="00126818" w:rsidRDefault="00126818">
      <w:pPr>
        <w:rPr>
          <w:lang w:eastAsia="en-AU"/>
        </w:rPr>
      </w:pPr>
      <w:r>
        <w:rPr>
          <w:lang w:eastAsia="en-AU"/>
        </w:rPr>
        <w:br w:type="page"/>
      </w:r>
    </w:p>
    <w:p w14:paraId="4CF4D863" w14:textId="77777777" w:rsidR="00655E7B" w:rsidRDefault="00655E7B" w:rsidP="004876F6">
      <w:pPr>
        <w:pStyle w:val="Heading8"/>
      </w:pPr>
      <w:r>
        <w:lastRenderedPageBreak/>
        <w:t>Introduction</w:t>
      </w:r>
    </w:p>
    <w:p w14:paraId="69232D69" w14:textId="360DD807" w:rsidR="00655E7B" w:rsidRDefault="00655E7B" w:rsidP="00655E7B">
      <w:pPr>
        <w:spacing w:before="240" w:after="240" w:line="264" w:lineRule="auto"/>
      </w:pPr>
      <w:r w:rsidRPr="0071286A">
        <w:t>Th</w:t>
      </w:r>
      <w:r w:rsidR="00430981">
        <w:t>is Appendix provides additional material related to c</w:t>
      </w:r>
      <w:r w:rsidRPr="0071286A">
        <w:t xml:space="preserve">lient experiences </w:t>
      </w:r>
      <w:r w:rsidR="00430981">
        <w:t>to that presented in the main body of the report.  Findings</w:t>
      </w:r>
      <w:r w:rsidRPr="002B5E7B">
        <w:t xml:space="preserve"> are based on a combination of quantitative and qualitative data derived from the client survey, in-depth follow-up discussions with survey respondents and discussions with key advocacy and support groups.  Findings from both sets of informants are collated and discussed under each of the key evaluation questions. </w:t>
      </w:r>
      <w:r w:rsidR="00DB63CB">
        <w:t xml:space="preserve"> </w:t>
      </w:r>
      <w:r w:rsidRPr="002B5E7B">
        <w:t>This discussion is preceded by a profile of survey respondents.</w:t>
      </w:r>
    </w:p>
    <w:p w14:paraId="1F6A2415" w14:textId="77777777" w:rsidR="00655E7B" w:rsidRPr="00A13B4A" w:rsidRDefault="00655E7B" w:rsidP="004876F6">
      <w:pPr>
        <w:pStyle w:val="Heading8"/>
      </w:pPr>
      <w:r w:rsidRPr="00A13B4A">
        <w:t>Survey findings</w:t>
      </w:r>
    </w:p>
    <w:p w14:paraId="45F70E00" w14:textId="0E4237E3" w:rsidR="00655E7B" w:rsidRPr="004876F6" w:rsidRDefault="004876F6" w:rsidP="004876F6">
      <w:pPr>
        <w:pStyle w:val="Heading9"/>
      </w:pPr>
      <w:r>
        <w:t>Profile of respondents</w:t>
      </w:r>
    </w:p>
    <w:p w14:paraId="31E0F4B6" w14:textId="77777777" w:rsidR="00655E7B" w:rsidRPr="00743899" w:rsidRDefault="00655E7B" w:rsidP="00743899">
      <w:pPr>
        <w:pStyle w:val="Heading10"/>
      </w:pPr>
      <w:r w:rsidRPr="00743899">
        <w:t>Demographics</w:t>
      </w:r>
    </w:p>
    <w:p w14:paraId="1E18B460" w14:textId="095A88B4" w:rsidR="00655E7B" w:rsidRPr="00851C0F" w:rsidRDefault="00655E7B" w:rsidP="00655E7B">
      <w:pPr>
        <w:pStyle w:val="Paragraph"/>
        <w:rPr>
          <w:lang w:eastAsia="en-AU"/>
        </w:rPr>
      </w:pPr>
      <w:r w:rsidRPr="00851C0F">
        <w:rPr>
          <w:lang w:eastAsia="en-AU"/>
        </w:rPr>
        <w:t>A total of 230 surveys were completed at the close of the survey on 30 June 2016</w:t>
      </w:r>
      <w:r>
        <w:rPr>
          <w:lang w:eastAsia="en-AU"/>
        </w:rPr>
        <w:t xml:space="preserve"> (</w:t>
      </w:r>
      <w:r w:rsidR="00F673EB" w:rsidRPr="00F31AAB">
        <w:rPr>
          <w:rStyle w:val="Emphasis"/>
        </w:rPr>
        <w:t>Table B-1</w:t>
      </w:r>
      <w:r>
        <w:rPr>
          <w:lang w:eastAsia="en-AU"/>
        </w:rPr>
        <w:t>)</w:t>
      </w:r>
      <w:r w:rsidRPr="00851C0F">
        <w:rPr>
          <w:lang w:eastAsia="en-AU"/>
        </w:rPr>
        <w:t xml:space="preserve">.  The majority of respondents (82.2%) were female and more than half (53.0%) were between 30 and 45 years of age.  </w:t>
      </w:r>
      <w:r>
        <w:rPr>
          <w:lang w:eastAsia="en-AU"/>
        </w:rPr>
        <w:t>More than one in five</w:t>
      </w:r>
      <w:r w:rsidRPr="00851C0F">
        <w:rPr>
          <w:lang w:eastAsia="en-AU"/>
        </w:rPr>
        <w:t xml:space="preserve"> respondents (22.2%) identified as being from culturally and linguistically diverse (CALD) backgrounds</w:t>
      </w:r>
      <w:r>
        <w:rPr>
          <w:lang w:eastAsia="en-AU"/>
        </w:rPr>
        <w:t>.  F</w:t>
      </w:r>
      <w:r w:rsidRPr="00851C0F">
        <w:rPr>
          <w:lang w:eastAsia="en-AU"/>
        </w:rPr>
        <w:t>ew reported to be</w:t>
      </w:r>
      <w:r>
        <w:rPr>
          <w:lang w:eastAsia="en-AU"/>
        </w:rPr>
        <w:t xml:space="preserve"> of</w:t>
      </w:r>
      <w:r w:rsidRPr="00851C0F">
        <w:rPr>
          <w:lang w:eastAsia="en-AU"/>
        </w:rPr>
        <w:t xml:space="preserve"> Aboriginal or Torres Strait Islander </w:t>
      </w:r>
      <w:r>
        <w:rPr>
          <w:lang w:eastAsia="en-AU"/>
        </w:rPr>
        <w:t xml:space="preserve">background </w:t>
      </w:r>
      <w:r w:rsidRPr="00851C0F">
        <w:rPr>
          <w:lang w:eastAsia="en-AU"/>
        </w:rPr>
        <w:t>(2.2%).</w:t>
      </w:r>
    </w:p>
    <w:p w14:paraId="34CC7A94" w14:textId="77777777" w:rsidR="00655E7B" w:rsidRPr="00851C0F" w:rsidRDefault="00655E7B" w:rsidP="00655E7B">
      <w:pPr>
        <w:pStyle w:val="Paragraph"/>
        <w:rPr>
          <w:lang w:eastAsia="en-AU"/>
        </w:rPr>
      </w:pPr>
      <w:r w:rsidRPr="00851C0F">
        <w:t>The vast majority (95.7%) of respondents were Australian citizens, and similar proportions of respondents resided in Queensland (17.8%), Victoria (16.1%), South Australia (14.8%) and New South Wales (14.3%).  A small num</w:t>
      </w:r>
      <w:r>
        <w:t>ber of respondents were</w:t>
      </w:r>
      <w:r w:rsidRPr="00851C0F">
        <w:t xml:space="preserve"> from the Northern Territory (6.1%) Western Australia (4.8%)</w:t>
      </w:r>
      <w:r>
        <w:t>, and Tasmania (3.5%)</w:t>
      </w:r>
      <w:r w:rsidRPr="00851C0F">
        <w:t xml:space="preserve">, </w:t>
      </w:r>
      <w:r>
        <w:t>and</w:t>
      </w:r>
      <w:r w:rsidRPr="00851C0F">
        <w:t xml:space="preserve"> the Australian Capital Territory was only represented by a single respondent (0.4%).</w:t>
      </w:r>
      <w:r>
        <w:t xml:space="preserve">  </w:t>
      </w:r>
      <w:r w:rsidRPr="00851C0F">
        <w:rPr>
          <w:lang w:eastAsia="en-AU"/>
        </w:rPr>
        <w:t>Of note, 22.2% did not indicate a state or territory of residence, perhaps because they were living overseas at the time of completing the survey</w:t>
      </w:r>
      <w:r>
        <w:rPr>
          <w:lang w:eastAsia="en-AU"/>
        </w:rPr>
        <w:t xml:space="preserve"> or they wished to ensure complete anonymity</w:t>
      </w:r>
      <w:r w:rsidRPr="00851C0F">
        <w:rPr>
          <w:lang w:eastAsia="en-AU"/>
        </w:rPr>
        <w:t xml:space="preserve">.  </w:t>
      </w:r>
      <w:r>
        <w:rPr>
          <w:lang w:eastAsia="en-AU"/>
        </w:rPr>
        <w:t>Less than 10% of survey respondents who had adopted or were considering adoption had moved from one state to another during the process.</w:t>
      </w:r>
    </w:p>
    <w:p w14:paraId="23873FFB" w14:textId="3EF5C3F0" w:rsidR="00655E7B" w:rsidRDefault="007F0F4F" w:rsidP="00DB63CB">
      <w:pPr>
        <w:pStyle w:val="Caption"/>
        <w:ind w:left="0" w:firstLine="0"/>
      </w:pPr>
      <w:r>
        <w:t>Table </w:t>
      </w:r>
      <w:r>
        <w:fldChar w:fldCharType="begin"/>
      </w:r>
      <w:r>
        <w:instrText xml:space="preserve"> STYLEREF 7 \s </w:instrText>
      </w:r>
      <w:r>
        <w:fldChar w:fldCharType="separate"/>
      </w:r>
      <w:r w:rsidR="00487073">
        <w:rPr>
          <w:noProof/>
        </w:rPr>
        <w:t>C</w:t>
      </w:r>
      <w:r>
        <w:fldChar w:fldCharType="end"/>
      </w:r>
      <w:r>
        <w:noBreakHyphen/>
      </w:r>
      <w:r>
        <w:fldChar w:fldCharType="begin"/>
      </w:r>
      <w:r>
        <w:instrText xml:space="preserve"> SEQ Table_Apx \* ARABIC \s 7 </w:instrText>
      </w:r>
      <w:r>
        <w:fldChar w:fldCharType="separate"/>
      </w:r>
      <w:r w:rsidR="00487073">
        <w:rPr>
          <w:noProof/>
        </w:rPr>
        <w:t>1</w:t>
      </w:r>
      <w:r>
        <w:fldChar w:fldCharType="end"/>
      </w:r>
      <w:r>
        <w:t>:</w:t>
      </w:r>
      <w:r>
        <w:tab/>
      </w:r>
      <w:r w:rsidR="00655E7B" w:rsidRPr="00E94BE9">
        <w:t>Summary profile of survey respondents</w:t>
      </w:r>
    </w:p>
    <w:tbl>
      <w:tblPr>
        <w:tblStyle w:val="TableGrid"/>
        <w:tblW w:w="0" w:type="auto"/>
        <w:tblInd w:w="101"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Description w:val="Table C 1: Summary profile of survey respondents"/>
      </w:tblPr>
      <w:tblGrid>
        <w:gridCol w:w="2894"/>
        <w:gridCol w:w="1998"/>
        <w:gridCol w:w="1842"/>
      </w:tblGrid>
      <w:tr w:rsidR="00655E7B" w:rsidRPr="00DB63CB" w14:paraId="44E21B0B" w14:textId="77777777" w:rsidTr="00DB63CB">
        <w:trPr>
          <w:tblHeader/>
        </w:trPr>
        <w:tc>
          <w:tcPr>
            <w:tcW w:w="2894" w:type="dxa"/>
            <w:tcBorders>
              <w:top w:val="single" w:sz="4" w:space="0" w:color="0079C1" w:themeColor="text2"/>
              <w:bottom w:val="single" w:sz="4" w:space="0" w:color="0079C1" w:themeColor="text2"/>
            </w:tcBorders>
            <w:shd w:val="clear" w:color="auto" w:fill="0079C1" w:themeFill="text2"/>
          </w:tcPr>
          <w:p w14:paraId="16AE4D36" w14:textId="77777777" w:rsidR="00655E7B" w:rsidRPr="00DB63CB" w:rsidRDefault="00655E7B" w:rsidP="004B28FE">
            <w:pPr>
              <w:keepLines/>
              <w:tabs>
                <w:tab w:val="left" w:pos="318"/>
              </w:tabs>
              <w:spacing w:before="120" w:after="120"/>
              <w:rPr>
                <w:rFonts w:eastAsiaTheme="minorHAnsi" w:cs="Calibri"/>
                <w:b/>
                <w:color w:val="FFFFFF" w:themeColor="background1"/>
                <w:sz w:val="20"/>
                <w:szCs w:val="20"/>
                <w:lang w:eastAsia="en-AU"/>
              </w:rPr>
            </w:pPr>
            <w:r w:rsidRPr="00DB63CB">
              <w:rPr>
                <w:rFonts w:eastAsiaTheme="minorHAnsi" w:cs="Calibri"/>
                <w:b/>
                <w:color w:val="FFFFFF" w:themeColor="background1"/>
                <w:sz w:val="20"/>
                <w:szCs w:val="20"/>
                <w:lang w:eastAsia="en-AU"/>
              </w:rPr>
              <w:t xml:space="preserve">Characteristic </w:t>
            </w:r>
          </w:p>
        </w:tc>
        <w:tc>
          <w:tcPr>
            <w:tcW w:w="1998" w:type="dxa"/>
            <w:tcBorders>
              <w:top w:val="single" w:sz="4" w:space="0" w:color="0079C1" w:themeColor="text2"/>
              <w:bottom w:val="single" w:sz="4" w:space="0" w:color="0079C1" w:themeColor="text2"/>
            </w:tcBorders>
            <w:shd w:val="clear" w:color="auto" w:fill="0079C1" w:themeFill="text2"/>
            <w:vAlign w:val="center"/>
          </w:tcPr>
          <w:p w14:paraId="37D4DFF8" w14:textId="77777777" w:rsidR="00655E7B" w:rsidRPr="00DB63CB"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DB63CB">
              <w:rPr>
                <w:rFonts w:eastAsiaTheme="minorHAnsi" w:cs="Calibri"/>
                <w:b/>
                <w:color w:val="FFFFFF" w:themeColor="background1"/>
                <w:sz w:val="20"/>
                <w:szCs w:val="20"/>
                <w:lang w:eastAsia="en-AU"/>
              </w:rPr>
              <w:t>n</w:t>
            </w:r>
          </w:p>
        </w:tc>
        <w:tc>
          <w:tcPr>
            <w:tcW w:w="1842" w:type="dxa"/>
            <w:tcBorders>
              <w:top w:val="single" w:sz="4" w:space="0" w:color="0079C1" w:themeColor="text2"/>
              <w:bottom w:val="single" w:sz="4" w:space="0" w:color="0079C1" w:themeColor="text2"/>
            </w:tcBorders>
            <w:shd w:val="clear" w:color="auto" w:fill="0079C1" w:themeFill="text2"/>
            <w:vAlign w:val="center"/>
          </w:tcPr>
          <w:p w14:paraId="7CA0EE47" w14:textId="77777777" w:rsidR="00655E7B" w:rsidRPr="00DB63CB"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DB63CB">
              <w:rPr>
                <w:rFonts w:eastAsiaTheme="minorHAnsi" w:cs="Calibri"/>
                <w:b/>
                <w:color w:val="FFFFFF" w:themeColor="background1"/>
                <w:sz w:val="20"/>
                <w:szCs w:val="20"/>
                <w:lang w:eastAsia="en-AU"/>
              </w:rPr>
              <w:t>%</w:t>
            </w:r>
          </w:p>
        </w:tc>
      </w:tr>
      <w:tr w:rsidR="00655E7B" w:rsidRPr="00DB63CB" w14:paraId="5CD93840" w14:textId="77777777" w:rsidTr="00DB63CB">
        <w:trPr>
          <w:trHeight w:val="433"/>
        </w:trPr>
        <w:tc>
          <w:tcPr>
            <w:tcW w:w="2894" w:type="dxa"/>
            <w:tcBorders>
              <w:top w:val="single" w:sz="4" w:space="0" w:color="0079C1" w:themeColor="text2"/>
              <w:bottom w:val="single" w:sz="4" w:space="0" w:color="0079C1" w:themeColor="text2"/>
            </w:tcBorders>
            <w:shd w:val="clear" w:color="auto" w:fill="BFE7FF" w:themeFill="text2" w:themeFillTint="33"/>
          </w:tcPr>
          <w:p w14:paraId="31345B93" w14:textId="77777777" w:rsidR="00655E7B" w:rsidRPr="00DB63CB" w:rsidRDefault="00655E7B" w:rsidP="004B28FE">
            <w:pPr>
              <w:keepLines/>
              <w:tabs>
                <w:tab w:val="left" w:pos="318"/>
              </w:tabs>
              <w:spacing w:before="120" w:after="120"/>
              <w:rPr>
                <w:rFonts w:asciiTheme="minorHAnsi" w:eastAsiaTheme="minorHAnsi" w:hAnsiTheme="minorHAnsi" w:cs="Calibri"/>
                <w:b/>
                <w:sz w:val="20"/>
                <w:szCs w:val="20"/>
                <w:lang w:eastAsia="en-AU"/>
              </w:rPr>
            </w:pPr>
            <w:r w:rsidRPr="00DB63CB">
              <w:rPr>
                <w:rFonts w:asciiTheme="minorHAnsi" w:eastAsiaTheme="minorHAnsi" w:hAnsiTheme="minorHAnsi" w:cs="Calibri"/>
                <w:b/>
                <w:sz w:val="20"/>
                <w:szCs w:val="20"/>
                <w:lang w:eastAsia="en-AU"/>
              </w:rPr>
              <w:t>Jurisdiction</w:t>
            </w:r>
          </w:p>
        </w:tc>
        <w:tc>
          <w:tcPr>
            <w:tcW w:w="1998" w:type="dxa"/>
            <w:tcBorders>
              <w:top w:val="single" w:sz="4" w:space="0" w:color="0079C1" w:themeColor="text2"/>
              <w:bottom w:val="single" w:sz="4" w:space="0" w:color="0079C1"/>
            </w:tcBorders>
            <w:shd w:val="clear" w:color="auto" w:fill="BFE7FF" w:themeFill="text2" w:themeFillTint="33"/>
            <w:vAlign w:val="center"/>
          </w:tcPr>
          <w:p w14:paraId="40A9E36E" w14:textId="77777777" w:rsidR="00655E7B" w:rsidRPr="00DB63CB" w:rsidDel="00A42D43" w:rsidRDefault="00655E7B" w:rsidP="004B28FE">
            <w:pPr>
              <w:keepLines/>
              <w:tabs>
                <w:tab w:val="left" w:pos="318"/>
              </w:tabs>
              <w:spacing w:before="120" w:after="120"/>
              <w:jc w:val="center"/>
              <w:rPr>
                <w:rFonts w:asciiTheme="minorHAnsi" w:eastAsiaTheme="minorHAnsi" w:hAnsiTheme="minorHAnsi" w:cs="Calibri"/>
                <w:b/>
                <w:sz w:val="20"/>
                <w:szCs w:val="20"/>
                <w:lang w:eastAsia="en-AU"/>
              </w:rPr>
            </w:pPr>
          </w:p>
        </w:tc>
        <w:tc>
          <w:tcPr>
            <w:tcW w:w="1842" w:type="dxa"/>
            <w:tcBorders>
              <w:top w:val="single" w:sz="4" w:space="0" w:color="0079C1" w:themeColor="text2"/>
              <w:bottom w:val="single" w:sz="4" w:space="0" w:color="0079C1" w:themeColor="text2"/>
            </w:tcBorders>
            <w:shd w:val="clear" w:color="auto" w:fill="BFE7FF" w:themeFill="text2" w:themeFillTint="33"/>
            <w:vAlign w:val="center"/>
          </w:tcPr>
          <w:p w14:paraId="5086C24F" w14:textId="77777777" w:rsidR="00655E7B" w:rsidRPr="00DB63CB" w:rsidRDefault="00655E7B" w:rsidP="004B28FE">
            <w:pPr>
              <w:keepLines/>
              <w:tabs>
                <w:tab w:val="left" w:pos="318"/>
              </w:tabs>
              <w:spacing w:before="120" w:after="120"/>
              <w:jc w:val="center"/>
              <w:rPr>
                <w:rFonts w:asciiTheme="minorHAnsi" w:eastAsiaTheme="minorHAnsi" w:hAnsiTheme="minorHAnsi" w:cs="Calibri"/>
                <w:b/>
                <w:sz w:val="20"/>
                <w:szCs w:val="20"/>
                <w:lang w:eastAsia="en-AU"/>
              </w:rPr>
            </w:pPr>
          </w:p>
        </w:tc>
      </w:tr>
      <w:tr w:rsidR="00655E7B" w:rsidRPr="00DB63CB" w14:paraId="10F783E4" w14:textId="77777777" w:rsidTr="00DB63CB">
        <w:tc>
          <w:tcPr>
            <w:tcW w:w="2894" w:type="dxa"/>
            <w:tcBorders>
              <w:top w:val="single" w:sz="4" w:space="0" w:color="0079C1" w:themeColor="text2"/>
              <w:right w:val="single" w:sz="4" w:space="0" w:color="0079C1"/>
            </w:tcBorders>
          </w:tcPr>
          <w:p w14:paraId="144FCA24"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ACT</w:t>
            </w:r>
          </w:p>
        </w:tc>
        <w:tc>
          <w:tcPr>
            <w:tcW w:w="1998" w:type="dxa"/>
            <w:tcBorders>
              <w:top w:val="single" w:sz="4" w:space="0" w:color="0079C1"/>
              <w:left w:val="single" w:sz="4" w:space="0" w:color="0079C1"/>
              <w:bottom w:val="single" w:sz="4" w:space="0" w:color="C6E9FF" w:themeColor="accent1" w:themeTint="66"/>
              <w:right w:val="single" w:sz="4" w:space="0" w:color="0079C1"/>
            </w:tcBorders>
            <w:vAlign w:val="center"/>
          </w:tcPr>
          <w:p w14:paraId="540A8737"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1</w:t>
            </w:r>
          </w:p>
        </w:tc>
        <w:tc>
          <w:tcPr>
            <w:tcW w:w="1842" w:type="dxa"/>
            <w:tcBorders>
              <w:top w:val="single" w:sz="4" w:space="0" w:color="0079C1" w:themeColor="text2"/>
              <w:left w:val="single" w:sz="4" w:space="0" w:color="0079C1"/>
            </w:tcBorders>
            <w:vAlign w:val="center"/>
          </w:tcPr>
          <w:p w14:paraId="32F23567"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0.4%</w:t>
            </w:r>
          </w:p>
        </w:tc>
      </w:tr>
      <w:tr w:rsidR="00655E7B" w:rsidRPr="00DB63CB" w14:paraId="78E55137" w14:textId="77777777" w:rsidTr="00DB63CB">
        <w:tc>
          <w:tcPr>
            <w:tcW w:w="2894" w:type="dxa"/>
            <w:tcBorders>
              <w:right w:val="single" w:sz="4" w:space="0" w:color="0079C1"/>
            </w:tcBorders>
          </w:tcPr>
          <w:p w14:paraId="028B82A5"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NSW</w:t>
            </w:r>
          </w:p>
        </w:tc>
        <w:tc>
          <w:tcPr>
            <w:tcW w:w="1998" w:type="dxa"/>
            <w:tcBorders>
              <w:top w:val="single" w:sz="4" w:space="0" w:color="C6E9FF" w:themeColor="accent1" w:themeTint="66"/>
              <w:left w:val="single" w:sz="4" w:space="0" w:color="0079C1"/>
              <w:bottom w:val="single" w:sz="4" w:space="0" w:color="BFE7FF" w:themeColor="text2" w:themeTint="33"/>
              <w:right w:val="single" w:sz="4" w:space="0" w:color="0079C1"/>
            </w:tcBorders>
            <w:vAlign w:val="center"/>
          </w:tcPr>
          <w:p w14:paraId="3D1FABFD"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33</w:t>
            </w:r>
          </w:p>
        </w:tc>
        <w:tc>
          <w:tcPr>
            <w:tcW w:w="1842" w:type="dxa"/>
            <w:tcBorders>
              <w:left w:val="single" w:sz="4" w:space="0" w:color="0079C1"/>
            </w:tcBorders>
            <w:vAlign w:val="center"/>
          </w:tcPr>
          <w:p w14:paraId="0315DDA9"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14.3%</w:t>
            </w:r>
          </w:p>
        </w:tc>
      </w:tr>
      <w:tr w:rsidR="00655E7B" w:rsidRPr="00DB63CB" w14:paraId="0E13C7BA" w14:textId="77777777" w:rsidTr="00DB63CB">
        <w:tc>
          <w:tcPr>
            <w:tcW w:w="2894" w:type="dxa"/>
            <w:tcBorders>
              <w:right w:val="single" w:sz="4" w:space="0" w:color="0079C1"/>
            </w:tcBorders>
          </w:tcPr>
          <w:p w14:paraId="1069AD5C"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NT</w:t>
            </w:r>
          </w:p>
        </w:tc>
        <w:tc>
          <w:tcPr>
            <w:tcW w:w="1998" w:type="dxa"/>
            <w:tcBorders>
              <w:top w:val="single" w:sz="4" w:space="0" w:color="BFE7FF" w:themeColor="text2" w:themeTint="33"/>
              <w:left w:val="single" w:sz="4" w:space="0" w:color="0079C1"/>
              <w:right w:val="single" w:sz="4" w:space="0" w:color="0079C1"/>
            </w:tcBorders>
            <w:vAlign w:val="center"/>
          </w:tcPr>
          <w:p w14:paraId="412C6F13"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14</w:t>
            </w:r>
          </w:p>
        </w:tc>
        <w:tc>
          <w:tcPr>
            <w:tcW w:w="1842" w:type="dxa"/>
            <w:tcBorders>
              <w:left w:val="single" w:sz="4" w:space="0" w:color="0079C1"/>
            </w:tcBorders>
            <w:vAlign w:val="center"/>
          </w:tcPr>
          <w:p w14:paraId="60ADFEC5"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6.1%</w:t>
            </w:r>
          </w:p>
        </w:tc>
      </w:tr>
      <w:tr w:rsidR="00655E7B" w:rsidRPr="00DB63CB" w14:paraId="02AC7F9C" w14:textId="77777777" w:rsidTr="00DB63CB">
        <w:tc>
          <w:tcPr>
            <w:tcW w:w="2894" w:type="dxa"/>
            <w:tcBorders>
              <w:right w:val="single" w:sz="4" w:space="0" w:color="0079C1"/>
            </w:tcBorders>
          </w:tcPr>
          <w:p w14:paraId="27E1DD39"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QLD</w:t>
            </w:r>
          </w:p>
        </w:tc>
        <w:tc>
          <w:tcPr>
            <w:tcW w:w="1998" w:type="dxa"/>
            <w:tcBorders>
              <w:left w:val="single" w:sz="4" w:space="0" w:color="0079C1"/>
              <w:right w:val="single" w:sz="4" w:space="0" w:color="0079C1"/>
            </w:tcBorders>
            <w:vAlign w:val="center"/>
          </w:tcPr>
          <w:p w14:paraId="1EF0A575"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41</w:t>
            </w:r>
          </w:p>
        </w:tc>
        <w:tc>
          <w:tcPr>
            <w:tcW w:w="1842" w:type="dxa"/>
            <w:tcBorders>
              <w:left w:val="single" w:sz="4" w:space="0" w:color="0079C1"/>
            </w:tcBorders>
            <w:vAlign w:val="center"/>
          </w:tcPr>
          <w:p w14:paraId="11083380"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17.8%</w:t>
            </w:r>
          </w:p>
        </w:tc>
      </w:tr>
      <w:tr w:rsidR="00655E7B" w:rsidRPr="00DB63CB" w14:paraId="0EC32289" w14:textId="77777777" w:rsidTr="00DB63CB">
        <w:tc>
          <w:tcPr>
            <w:tcW w:w="2894" w:type="dxa"/>
            <w:tcBorders>
              <w:right w:val="single" w:sz="4" w:space="0" w:color="0079C1"/>
            </w:tcBorders>
          </w:tcPr>
          <w:p w14:paraId="2EA82970"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SA</w:t>
            </w:r>
          </w:p>
        </w:tc>
        <w:tc>
          <w:tcPr>
            <w:tcW w:w="1998" w:type="dxa"/>
            <w:tcBorders>
              <w:left w:val="single" w:sz="4" w:space="0" w:color="0079C1"/>
              <w:right w:val="single" w:sz="4" w:space="0" w:color="0079C1"/>
            </w:tcBorders>
            <w:vAlign w:val="center"/>
          </w:tcPr>
          <w:p w14:paraId="044A7626"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34</w:t>
            </w:r>
          </w:p>
        </w:tc>
        <w:tc>
          <w:tcPr>
            <w:tcW w:w="1842" w:type="dxa"/>
            <w:tcBorders>
              <w:left w:val="single" w:sz="4" w:space="0" w:color="0079C1"/>
            </w:tcBorders>
            <w:vAlign w:val="center"/>
          </w:tcPr>
          <w:p w14:paraId="37A34CB9"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14.8%</w:t>
            </w:r>
          </w:p>
        </w:tc>
      </w:tr>
      <w:tr w:rsidR="00655E7B" w:rsidRPr="00DB63CB" w14:paraId="6A34CCB0" w14:textId="77777777" w:rsidTr="00DB63CB">
        <w:tc>
          <w:tcPr>
            <w:tcW w:w="2894" w:type="dxa"/>
            <w:tcBorders>
              <w:right w:val="single" w:sz="4" w:space="0" w:color="0079C1"/>
            </w:tcBorders>
          </w:tcPr>
          <w:p w14:paraId="6F10A6A0"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TAS</w:t>
            </w:r>
          </w:p>
        </w:tc>
        <w:tc>
          <w:tcPr>
            <w:tcW w:w="1998" w:type="dxa"/>
            <w:tcBorders>
              <w:left w:val="single" w:sz="4" w:space="0" w:color="0079C1"/>
              <w:right w:val="single" w:sz="4" w:space="0" w:color="0079C1"/>
            </w:tcBorders>
            <w:vAlign w:val="center"/>
          </w:tcPr>
          <w:p w14:paraId="6CD5458D"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8</w:t>
            </w:r>
          </w:p>
        </w:tc>
        <w:tc>
          <w:tcPr>
            <w:tcW w:w="1842" w:type="dxa"/>
            <w:tcBorders>
              <w:left w:val="single" w:sz="4" w:space="0" w:color="0079C1"/>
            </w:tcBorders>
            <w:vAlign w:val="center"/>
          </w:tcPr>
          <w:p w14:paraId="4CDA351F"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3.5%</w:t>
            </w:r>
          </w:p>
        </w:tc>
      </w:tr>
      <w:tr w:rsidR="00655E7B" w:rsidRPr="00DB63CB" w14:paraId="687CEFEA" w14:textId="77777777" w:rsidTr="00DB63CB">
        <w:tc>
          <w:tcPr>
            <w:tcW w:w="2894" w:type="dxa"/>
            <w:tcBorders>
              <w:right w:val="single" w:sz="4" w:space="0" w:color="0079C1"/>
            </w:tcBorders>
          </w:tcPr>
          <w:p w14:paraId="069D6165"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VIC</w:t>
            </w:r>
          </w:p>
        </w:tc>
        <w:tc>
          <w:tcPr>
            <w:tcW w:w="1998" w:type="dxa"/>
            <w:tcBorders>
              <w:left w:val="single" w:sz="4" w:space="0" w:color="0079C1"/>
              <w:right w:val="single" w:sz="4" w:space="0" w:color="0079C1"/>
            </w:tcBorders>
            <w:vAlign w:val="center"/>
          </w:tcPr>
          <w:p w14:paraId="5EAE10EB"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37</w:t>
            </w:r>
          </w:p>
        </w:tc>
        <w:tc>
          <w:tcPr>
            <w:tcW w:w="1842" w:type="dxa"/>
            <w:tcBorders>
              <w:left w:val="single" w:sz="4" w:space="0" w:color="0079C1"/>
            </w:tcBorders>
            <w:vAlign w:val="center"/>
          </w:tcPr>
          <w:p w14:paraId="56CBEE2C"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16.1%</w:t>
            </w:r>
          </w:p>
        </w:tc>
      </w:tr>
      <w:tr w:rsidR="00655E7B" w:rsidRPr="00DB63CB" w14:paraId="274E52D0" w14:textId="77777777" w:rsidTr="00DB63CB">
        <w:tc>
          <w:tcPr>
            <w:tcW w:w="2894" w:type="dxa"/>
            <w:tcBorders>
              <w:right w:val="single" w:sz="4" w:space="0" w:color="0079C1"/>
            </w:tcBorders>
          </w:tcPr>
          <w:p w14:paraId="1C0CCD5C"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WA</w:t>
            </w:r>
          </w:p>
        </w:tc>
        <w:tc>
          <w:tcPr>
            <w:tcW w:w="1998" w:type="dxa"/>
            <w:tcBorders>
              <w:left w:val="single" w:sz="4" w:space="0" w:color="0079C1"/>
              <w:right w:val="single" w:sz="4" w:space="0" w:color="0079C1"/>
            </w:tcBorders>
            <w:vAlign w:val="center"/>
          </w:tcPr>
          <w:p w14:paraId="322F04BC"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11</w:t>
            </w:r>
          </w:p>
        </w:tc>
        <w:tc>
          <w:tcPr>
            <w:tcW w:w="1842" w:type="dxa"/>
            <w:tcBorders>
              <w:left w:val="single" w:sz="4" w:space="0" w:color="0079C1"/>
            </w:tcBorders>
            <w:vAlign w:val="center"/>
          </w:tcPr>
          <w:p w14:paraId="50D5709F"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4.8%</w:t>
            </w:r>
          </w:p>
        </w:tc>
      </w:tr>
      <w:tr w:rsidR="00655E7B" w:rsidRPr="00DB63CB" w14:paraId="74BEA14A" w14:textId="77777777" w:rsidTr="00DB63CB">
        <w:trPr>
          <w:trHeight w:val="199"/>
        </w:trPr>
        <w:tc>
          <w:tcPr>
            <w:tcW w:w="2894" w:type="dxa"/>
            <w:tcBorders>
              <w:bottom w:val="single" w:sz="4" w:space="0" w:color="BFE7FF" w:themeColor="text2" w:themeTint="33"/>
              <w:right w:val="single" w:sz="4" w:space="0" w:color="0079C1"/>
            </w:tcBorders>
          </w:tcPr>
          <w:p w14:paraId="02CBC13E"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Not stated</w:t>
            </w:r>
          </w:p>
        </w:tc>
        <w:tc>
          <w:tcPr>
            <w:tcW w:w="1998" w:type="dxa"/>
            <w:tcBorders>
              <w:left w:val="single" w:sz="4" w:space="0" w:color="0079C1"/>
              <w:bottom w:val="single" w:sz="4" w:space="0" w:color="BFE7FF" w:themeColor="text2" w:themeTint="33"/>
              <w:right w:val="single" w:sz="4" w:space="0" w:color="0079C1"/>
            </w:tcBorders>
            <w:vAlign w:val="center"/>
          </w:tcPr>
          <w:p w14:paraId="5DC12C88"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51</w:t>
            </w:r>
          </w:p>
        </w:tc>
        <w:tc>
          <w:tcPr>
            <w:tcW w:w="1842" w:type="dxa"/>
            <w:tcBorders>
              <w:left w:val="single" w:sz="4" w:space="0" w:color="0079C1"/>
              <w:bottom w:val="single" w:sz="4" w:space="0" w:color="BFE7FF" w:themeColor="text2" w:themeTint="33"/>
            </w:tcBorders>
            <w:vAlign w:val="center"/>
          </w:tcPr>
          <w:p w14:paraId="56D64269" w14:textId="71D2D82D" w:rsidR="00DB63CB" w:rsidRPr="00DB63CB" w:rsidRDefault="00655E7B" w:rsidP="00DB63CB">
            <w:pPr>
              <w:tabs>
                <w:tab w:val="left" w:pos="318"/>
              </w:tabs>
              <w:spacing w:before="60" w:after="60"/>
              <w:jc w:val="center"/>
              <w:rPr>
                <w:rFonts w:asciiTheme="minorHAnsi" w:eastAsia="Times New Roman" w:hAnsiTheme="minorHAnsi" w:cs="Segoe UI"/>
                <w:color w:val="000000" w:themeColor="text1"/>
                <w:sz w:val="20"/>
                <w:szCs w:val="20"/>
                <w:lang w:eastAsia="en-AU"/>
              </w:rPr>
            </w:pPr>
            <w:r w:rsidRPr="00DB63CB">
              <w:rPr>
                <w:rFonts w:asciiTheme="minorHAnsi" w:eastAsia="Times New Roman" w:hAnsiTheme="minorHAnsi" w:cs="Segoe UI"/>
                <w:color w:val="000000" w:themeColor="text1"/>
                <w:sz w:val="20"/>
                <w:szCs w:val="20"/>
                <w:lang w:eastAsia="en-AU"/>
              </w:rPr>
              <w:t>22.2%</w:t>
            </w:r>
          </w:p>
        </w:tc>
      </w:tr>
      <w:tr w:rsidR="00655E7B" w:rsidRPr="00DB63CB" w14:paraId="0A4E328E" w14:textId="77777777" w:rsidTr="00743899">
        <w:tc>
          <w:tcPr>
            <w:tcW w:w="6734" w:type="dxa"/>
            <w:gridSpan w:val="3"/>
            <w:tcBorders>
              <w:top w:val="single" w:sz="4" w:space="0" w:color="BFE7FF" w:themeColor="text2" w:themeTint="33"/>
              <w:bottom w:val="single" w:sz="4" w:space="0" w:color="0079C1" w:themeColor="text2"/>
            </w:tcBorders>
            <w:shd w:val="clear" w:color="auto" w:fill="BFE7FF" w:themeFill="text2" w:themeFillTint="33"/>
          </w:tcPr>
          <w:p w14:paraId="503E8A58" w14:textId="77777777" w:rsidR="00655E7B" w:rsidRPr="00DB63CB" w:rsidRDefault="00655E7B" w:rsidP="004B28FE">
            <w:pPr>
              <w:keepLines/>
              <w:tabs>
                <w:tab w:val="left" w:pos="318"/>
              </w:tabs>
              <w:spacing w:before="120" w:after="120"/>
              <w:rPr>
                <w:rFonts w:asciiTheme="minorHAnsi" w:eastAsiaTheme="minorHAnsi" w:hAnsiTheme="minorHAnsi" w:cs="Calibri"/>
                <w:b/>
                <w:sz w:val="20"/>
                <w:szCs w:val="20"/>
                <w:lang w:eastAsia="en-AU"/>
              </w:rPr>
            </w:pPr>
            <w:r w:rsidRPr="00DB63CB">
              <w:rPr>
                <w:rFonts w:asciiTheme="minorHAnsi" w:eastAsiaTheme="minorHAnsi" w:hAnsiTheme="minorHAnsi" w:cs="Calibri"/>
                <w:b/>
                <w:sz w:val="20"/>
                <w:szCs w:val="20"/>
                <w:lang w:eastAsia="en-AU"/>
              </w:rPr>
              <w:t>Age</w:t>
            </w:r>
          </w:p>
        </w:tc>
      </w:tr>
      <w:tr w:rsidR="00655E7B" w:rsidRPr="00DB63CB" w14:paraId="1BB4F2C7" w14:textId="77777777" w:rsidTr="00DB63CB">
        <w:tc>
          <w:tcPr>
            <w:tcW w:w="2894" w:type="dxa"/>
            <w:tcBorders>
              <w:top w:val="single" w:sz="4" w:space="0" w:color="0079C1"/>
              <w:right w:val="single" w:sz="4" w:space="0" w:color="0079C1"/>
            </w:tcBorders>
          </w:tcPr>
          <w:p w14:paraId="74F62A3B"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18-25 years</w:t>
            </w:r>
          </w:p>
        </w:tc>
        <w:tc>
          <w:tcPr>
            <w:tcW w:w="1998" w:type="dxa"/>
            <w:tcBorders>
              <w:top w:val="single" w:sz="4" w:space="0" w:color="0079C1"/>
              <w:left w:val="single" w:sz="4" w:space="0" w:color="0079C1"/>
              <w:right w:val="single" w:sz="4" w:space="0" w:color="0079C1"/>
            </w:tcBorders>
            <w:vAlign w:val="center"/>
          </w:tcPr>
          <w:p w14:paraId="22BEFF90"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2</w:t>
            </w:r>
          </w:p>
        </w:tc>
        <w:tc>
          <w:tcPr>
            <w:tcW w:w="1842" w:type="dxa"/>
            <w:tcBorders>
              <w:top w:val="single" w:sz="4" w:space="0" w:color="0079C1"/>
              <w:left w:val="single" w:sz="4" w:space="0" w:color="0079C1"/>
            </w:tcBorders>
            <w:vAlign w:val="center"/>
          </w:tcPr>
          <w:p w14:paraId="145F00F8"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0.9%</w:t>
            </w:r>
          </w:p>
        </w:tc>
      </w:tr>
      <w:tr w:rsidR="00655E7B" w:rsidRPr="00DB63CB" w14:paraId="03310653" w14:textId="77777777" w:rsidTr="00DB63CB">
        <w:tc>
          <w:tcPr>
            <w:tcW w:w="2894" w:type="dxa"/>
            <w:tcBorders>
              <w:right w:val="single" w:sz="4" w:space="0" w:color="0079C1"/>
            </w:tcBorders>
          </w:tcPr>
          <w:p w14:paraId="07D2771E"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26-29 years</w:t>
            </w:r>
          </w:p>
        </w:tc>
        <w:tc>
          <w:tcPr>
            <w:tcW w:w="1998" w:type="dxa"/>
            <w:tcBorders>
              <w:left w:val="single" w:sz="4" w:space="0" w:color="0079C1"/>
              <w:right w:val="single" w:sz="4" w:space="0" w:color="0079C1"/>
            </w:tcBorders>
            <w:vAlign w:val="center"/>
          </w:tcPr>
          <w:p w14:paraId="30305D91"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10</w:t>
            </w:r>
          </w:p>
        </w:tc>
        <w:tc>
          <w:tcPr>
            <w:tcW w:w="1842" w:type="dxa"/>
            <w:tcBorders>
              <w:left w:val="single" w:sz="4" w:space="0" w:color="0079C1"/>
            </w:tcBorders>
            <w:vAlign w:val="center"/>
          </w:tcPr>
          <w:p w14:paraId="4A8248D6"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4.3%</w:t>
            </w:r>
          </w:p>
        </w:tc>
      </w:tr>
      <w:tr w:rsidR="00655E7B" w:rsidRPr="00DB63CB" w14:paraId="1DA37251" w14:textId="77777777" w:rsidTr="00DB63CB">
        <w:tc>
          <w:tcPr>
            <w:tcW w:w="2894" w:type="dxa"/>
            <w:tcBorders>
              <w:right w:val="single" w:sz="4" w:space="0" w:color="0079C1"/>
            </w:tcBorders>
          </w:tcPr>
          <w:p w14:paraId="0ACC43B2"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lastRenderedPageBreak/>
              <w:t>30-45 years</w:t>
            </w:r>
          </w:p>
        </w:tc>
        <w:tc>
          <w:tcPr>
            <w:tcW w:w="1998" w:type="dxa"/>
            <w:tcBorders>
              <w:left w:val="single" w:sz="4" w:space="0" w:color="0079C1"/>
              <w:right w:val="single" w:sz="4" w:space="0" w:color="0079C1"/>
            </w:tcBorders>
            <w:vAlign w:val="center"/>
          </w:tcPr>
          <w:p w14:paraId="594DB737"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122</w:t>
            </w:r>
          </w:p>
        </w:tc>
        <w:tc>
          <w:tcPr>
            <w:tcW w:w="1842" w:type="dxa"/>
            <w:tcBorders>
              <w:left w:val="single" w:sz="4" w:space="0" w:color="0079C1"/>
            </w:tcBorders>
            <w:vAlign w:val="center"/>
          </w:tcPr>
          <w:p w14:paraId="157AA89E"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53.0%</w:t>
            </w:r>
          </w:p>
        </w:tc>
      </w:tr>
      <w:tr w:rsidR="00655E7B" w:rsidRPr="00DB63CB" w14:paraId="61190E11" w14:textId="77777777" w:rsidTr="00DB63CB">
        <w:tc>
          <w:tcPr>
            <w:tcW w:w="2894" w:type="dxa"/>
            <w:tcBorders>
              <w:right w:val="single" w:sz="4" w:space="0" w:color="0079C1"/>
            </w:tcBorders>
          </w:tcPr>
          <w:p w14:paraId="22655AC1"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46-55 years</w:t>
            </w:r>
          </w:p>
        </w:tc>
        <w:tc>
          <w:tcPr>
            <w:tcW w:w="1998" w:type="dxa"/>
            <w:tcBorders>
              <w:left w:val="single" w:sz="4" w:space="0" w:color="0079C1"/>
              <w:right w:val="single" w:sz="4" w:space="0" w:color="0079C1"/>
            </w:tcBorders>
            <w:vAlign w:val="center"/>
          </w:tcPr>
          <w:p w14:paraId="255762F9"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74</w:t>
            </w:r>
          </w:p>
        </w:tc>
        <w:tc>
          <w:tcPr>
            <w:tcW w:w="1842" w:type="dxa"/>
            <w:tcBorders>
              <w:left w:val="single" w:sz="4" w:space="0" w:color="0079C1"/>
            </w:tcBorders>
            <w:vAlign w:val="center"/>
          </w:tcPr>
          <w:p w14:paraId="247CC187"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32.2%</w:t>
            </w:r>
          </w:p>
        </w:tc>
      </w:tr>
      <w:tr w:rsidR="00655E7B" w:rsidRPr="00DB63CB" w14:paraId="05E5D3D4" w14:textId="77777777" w:rsidTr="00DB63CB">
        <w:tc>
          <w:tcPr>
            <w:tcW w:w="2894" w:type="dxa"/>
            <w:tcBorders>
              <w:right w:val="single" w:sz="4" w:space="0" w:color="0079C1"/>
            </w:tcBorders>
          </w:tcPr>
          <w:p w14:paraId="193D7A98"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56-65 years</w:t>
            </w:r>
          </w:p>
        </w:tc>
        <w:tc>
          <w:tcPr>
            <w:tcW w:w="1998" w:type="dxa"/>
            <w:tcBorders>
              <w:left w:val="single" w:sz="4" w:space="0" w:color="0079C1"/>
              <w:right w:val="single" w:sz="4" w:space="0" w:color="0079C1"/>
            </w:tcBorders>
            <w:vAlign w:val="center"/>
          </w:tcPr>
          <w:p w14:paraId="6694D995"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17</w:t>
            </w:r>
          </w:p>
        </w:tc>
        <w:tc>
          <w:tcPr>
            <w:tcW w:w="1842" w:type="dxa"/>
            <w:tcBorders>
              <w:left w:val="single" w:sz="4" w:space="0" w:color="0079C1"/>
            </w:tcBorders>
            <w:vAlign w:val="center"/>
          </w:tcPr>
          <w:p w14:paraId="776C0417"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7.4%</w:t>
            </w:r>
          </w:p>
        </w:tc>
      </w:tr>
      <w:tr w:rsidR="00655E7B" w:rsidRPr="00DB63CB" w14:paraId="7C631065" w14:textId="77777777" w:rsidTr="00DB63CB">
        <w:tc>
          <w:tcPr>
            <w:tcW w:w="2894" w:type="dxa"/>
            <w:tcBorders>
              <w:right w:val="single" w:sz="4" w:space="0" w:color="0079C1"/>
            </w:tcBorders>
          </w:tcPr>
          <w:p w14:paraId="5CFC2E07"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Over 65 years</w:t>
            </w:r>
          </w:p>
        </w:tc>
        <w:tc>
          <w:tcPr>
            <w:tcW w:w="1998" w:type="dxa"/>
            <w:tcBorders>
              <w:left w:val="single" w:sz="4" w:space="0" w:color="0079C1"/>
              <w:right w:val="single" w:sz="4" w:space="0" w:color="0079C1"/>
            </w:tcBorders>
            <w:vAlign w:val="center"/>
          </w:tcPr>
          <w:p w14:paraId="517E9D5B"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3</w:t>
            </w:r>
          </w:p>
        </w:tc>
        <w:tc>
          <w:tcPr>
            <w:tcW w:w="1842" w:type="dxa"/>
            <w:tcBorders>
              <w:left w:val="single" w:sz="4" w:space="0" w:color="0079C1"/>
            </w:tcBorders>
            <w:vAlign w:val="center"/>
          </w:tcPr>
          <w:p w14:paraId="01678B99"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1.3%</w:t>
            </w:r>
          </w:p>
        </w:tc>
      </w:tr>
      <w:tr w:rsidR="00655E7B" w:rsidRPr="00DB63CB" w14:paraId="5BDCACBF" w14:textId="77777777" w:rsidTr="00DB63CB">
        <w:tc>
          <w:tcPr>
            <w:tcW w:w="2894" w:type="dxa"/>
            <w:tcBorders>
              <w:right w:val="single" w:sz="4" w:space="0" w:color="0079C1"/>
            </w:tcBorders>
          </w:tcPr>
          <w:p w14:paraId="7F78EC26"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Not stated</w:t>
            </w:r>
          </w:p>
        </w:tc>
        <w:tc>
          <w:tcPr>
            <w:tcW w:w="1998" w:type="dxa"/>
            <w:tcBorders>
              <w:left w:val="single" w:sz="4" w:space="0" w:color="0079C1"/>
              <w:right w:val="single" w:sz="4" w:space="0" w:color="0079C1"/>
            </w:tcBorders>
            <w:vAlign w:val="center"/>
          </w:tcPr>
          <w:p w14:paraId="5D08641D"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2</w:t>
            </w:r>
          </w:p>
        </w:tc>
        <w:tc>
          <w:tcPr>
            <w:tcW w:w="1842" w:type="dxa"/>
            <w:tcBorders>
              <w:left w:val="single" w:sz="4" w:space="0" w:color="0079C1"/>
            </w:tcBorders>
            <w:vAlign w:val="center"/>
          </w:tcPr>
          <w:p w14:paraId="25F5A58C"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0.9%</w:t>
            </w:r>
          </w:p>
        </w:tc>
      </w:tr>
      <w:tr w:rsidR="00655E7B" w:rsidRPr="00DB63CB" w14:paraId="02162FD4" w14:textId="77777777" w:rsidTr="00743899">
        <w:tc>
          <w:tcPr>
            <w:tcW w:w="6734" w:type="dxa"/>
            <w:gridSpan w:val="3"/>
            <w:tcBorders>
              <w:top w:val="single" w:sz="4" w:space="0" w:color="0079C1" w:themeColor="text2"/>
              <w:bottom w:val="single" w:sz="4" w:space="0" w:color="0079C1" w:themeColor="text2"/>
            </w:tcBorders>
            <w:shd w:val="clear" w:color="auto" w:fill="BFE7FF" w:themeFill="text2" w:themeFillTint="33"/>
          </w:tcPr>
          <w:p w14:paraId="3BDC00C4" w14:textId="77777777" w:rsidR="00655E7B" w:rsidRPr="00DB63CB" w:rsidRDefault="00655E7B" w:rsidP="004B28FE">
            <w:pPr>
              <w:keepLines/>
              <w:tabs>
                <w:tab w:val="left" w:pos="318"/>
              </w:tabs>
              <w:spacing w:before="120" w:after="120"/>
              <w:rPr>
                <w:rFonts w:asciiTheme="minorHAnsi" w:eastAsiaTheme="minorHAnsi" w:hAnsiTheme="minorHAnsi" w:cs="Calibri"/>
                <w:b/>
                <w:sz w:val="20"/>
                <w:szCs w:val="20"/>
                <w:lang w:eastAsia="en-AU"/>
              </w:rPr>
            </w:pPr>
            <w:r w:rsidRPr="00DB63CB">
              <w:rPr>
                <w:rFonts w:asciiTheme="minorHAnsi" w:eastAsiaTheme="minorHAnsi" w:hAnsiTheme="minorHAnsi" w:cs="Calibri"/>
                <w:b/>
                <w:sz w:val="20"/>
                <w:szCs w:val="20"/>
                <w:lang w:eastAsia="en-AU"/>
              </w:rPr>
              <w:t>Gender</w:t>
            </w:r>
          </w:p>
        </w:tc>
      </w:tr>
      <w:tr w:rsidR="00655E7B" w:rsidRPr="00DB63CB" w14:paraId="48774B97" w14:textId="77777777" w:rsidTr="00DB63CB">
        <w:tc>
          <w:tcPr>
            <w:tcW w:w="2894" w:type="dxa"/>
            <w:tcBorders>
              <w:top w:val="single" w:sz="4" w:space="0" w:color="0079C1" w:themeColor="text2"/>
              <w:right w:val="single" w:sz="4" w:space="0" w:color="0079C1"/>
            </w:tcBorders>
          </w:tcPr>
          <w:p w14:paraId="28359C94"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Female</w:t>
            </w:r>
          </w:p>
        </w:tc>
        <w:tc>
          <w:tcPr>
            <w:tcW w:w="1998" w:type="dxa"/>
            <w:tcBorders>
              <w:top w:val="single" w:sz="4" w:space="0" w:color="0079C1"/>
              <w:left w:val="single" w:sz="4" w:space="0" w:color="0079C1"/>
              <w:right w:val="single" w:sz="4" w:space="0" w:color="0079C1"/>
            </w:tcBorders>
            <w:vAlign w:val="center"/>
          </w:tcPr>
          <w:p w14:paraId="2BC494F6"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189</w:t>
            </w:r>
          </w:p>
        </w:tc>
        <w:tc>
          <w:tcPr>
            <w:tcW w:w="1842" w:type="dxa"/>
            <w:tcBorders>
              <w:top w:val="single" w:sz="4" w:space="0" w:color="0079C1" w:themeColor="text2"/>
              <w:left w:val="single" w:sz="4" w:space="0" w:color="0079C1"/>
            </w:tcBorders>
            <w:vAlign w:val="center"/>
          </w:tcPr>
          <w:p w14:paraId="2F937EE1"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82.2%</w:t>
            </w:r>
          </w:p>
        </w:tc>
      </w:tr>
      <w:tr w:rsidR="00655E7B" w:rsidRPr="00DB63CB" w14:paraId="45F8BF7D" w14:textId="77777777" w:rsidTr="00DB63CB">
        <w:tc>
          <w:tcPr>
            <w:tcW w:w="2894" w:type="dxa"/>
            <w:tcBorders>
              <w:right w:val="single" w:sz="4" w:space="0" w:color="0079C1"/>
            </w:tcBorders>
          </w:tcPr>
          <w:p w14:paraId="239BAF22"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Male</w:t>
            </w:r>
          </w:p>
        </w:tc>
        <w:tc>
          <w:tcPr>
            <w:tcW w:w="1998" w:type="dxa"/>
            <w:tcBorders>
              <w:left w:val="single" w:sz="4" w:space="0" w:color="0079C1"/>
              <w:right w:val="single" w:sz="4" w:space="0" w:color="0079C1"/>
            </w:tcBorders>
            <w:vAlign w:val="center"/>
          </w:tcPr>
          <w:p w14:paraId="269A6593"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39</w:t>
            </w:r>
          </w:p>
        </w:tc>
        <w:tc>
          <w:tcPr>
            <w:tcW w:w="1842" w:type="dxa"/>
            <w:tcBorders>
              <w:left w:val="single" w:sz="4" w:space="0" w:color="0079C1"/>
            </w:tcBorders>
            <w:vAlign w:val="center"/>
          </w:tcPr>
          <w:p w14:paraId="0C37710D"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17.0%</w:t>
            </w:r>
          </w:p>
        </w:tc>
      </w:tr>
      <w:tr w:rsidR="00655E7B" w:rsidRPr="00DB63CB" w14:paraId="5764F8B8" w14:textId="77777777" w:rsidTr="00DB63CB">
        <w:tc>
          <w:tcPr>
            <w:tcW w:w="2894" w:type="dxa"/>
            <w:tcBorders>
              <w:right w:val="single" w:sz="4" w:space="0" w:color="0079C1"/>
            </w:tcBorders>
          </w:tcPr>
          <w:p w14:paraId="72D6E7FD"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Not stated</w:t>
            </w:r>
          </w:p>
        </w:tc>
        <w:tc>
          <w:tcPr>
            <w:tcW w:w="1998" w:type="dxa"/>
            <w:tcBorders>
              <w:left w:val="single" w:sz="4" w:space="0" w:color="0079C1"/>
              <w:right w:val="single" w:sz="4" w:space="0" w:color="0079C1"/>
            </w:tcBorders>
            <w:vAlign w:val="center"/>
          </w:tcPr>
          <w:p w14:paraId="398EBCFC"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2</w:t>
            </w:r>
          </w:p>
        </w:tc>
        <w:tc>
          <w:tcPr>
            <w:tcW w:w="1842" w:type="dxa"/>
            <w:tcBorders>
              <w:left w:val="single" w:sz="4" w:space="0" w:color="0079C1"/>
            </w:tcBorders>
            <w:vAlign w:val="center"/>
          </w:tcPr>
          <w:p w14:paraId="33F4F4ED"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0.9%</w:t>
            </w:r>
          </w:p>
        </w:tc>
      </w:tr>
      <w:tr w:rsidR="00655E7B" w:rsidRPr="00DB63CB" w14:paraId="2CCC61C3" w14:textId="77777777" w:rsidTr="00743899">
        <w:tc>
          <w:tcPr>
            <w:tcW w:w="6734" w:type="dxa"/>
            <w:gridSpan w:val="3"/>
            <w:tcBorders>
              <w:top w:val="single" w:sz="4" w:space="0" w:color="0079C1" w:themeColor="text2"/>
              <w:bottom w:val="single" w:sz="4" w:space="0" w:color="0079C1" w:themeColor="text2"/>
            </w:tcBorders>
            <w:shd w:val="clear" w:color="auto" w:fill="BFE7FF" w:themeFill="text2" w:themeFillTint="33"/>
          </w:tcPr>
          <w:p w14:paraId="57A695C4" w14:textId="77777777" w:rsidR="00655E7B" w:rsidRPr="00DB63CB" w:rsidRDefault="00655E7B" w:rsidP="004B28FE">
            <w:pPr>
              <w:keepLines/>
              <w:tabs>
                <w:tab w:val="left" w:pos="318"/>
              </w:tabs>
              <w:spacing w:before="120" w:after="120"/>
              <w:rPr>
                <w:rFonts w:asciiTheme="minorHAnsi" w:eastAsiaTheme="minorHAnsi" w:hAnsiTheme="minorHAnsi" w:cs="Calibri"/>
                <w:b/>
                <w:sz w:val="20"/>
                <w:szCs w:val="20"/>
                <w:lang w:eastAsia="en-AU"/>
              </w:rPr>
            </w:pPr>
            <w:r w:rsidRPr="00DB63CB">
              <w:rPr>
                <w:rFonts w:asciiTheme="minorHAnsi" w:eastAsiaTheme="minorHAnsi" w:hAnsiTheme="minorHAnsi" w:cs="Calibri"/>
                <w:b/>
                <w:sz w:val="20"/>
                <w:szCs w:val="20"/>
                <w:lang w:eastAsia="en-AU"/>
              </w:rPr>
              <w:t>Marital status</w:t>
            </w:r>
          </w:p>
        </w:tc>
      </w:tr>
      <w:tr w:rsidR="00655E7B" w:rsidRPr="00DB63CB" w14:paraId="64FAE5AF" w14:textId="77777777" w:rsidTr="00DB63CB">
        <w:tc>
          <w:tcPr>
            <w:tcW w:w="2894" w:type="dxa"/>
            <w:tcBorders>
              <w:top w:val="single" w:sz="4" w:space="0" w:color="0079C1" w:themeColor="text2"/>
              <w:right w:val="single" w:sz="4" w:space="0" w:color="0079C1"/>
            </w:tcBorders>
            <w:vAlign w:val="bottom"/>
          </w:tcPr>
          <w:p w14:paraId="37CF3C59"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De facto</w:t>
            </w:r>
          </w:p>
        </w:tc>
        <w:tc>
          <w:tcPr>
            <w:tcW w:w="1998" w:type="dxa"/>
            <w:tcBorders>
              <w:top w:val="single" w:sz="4" w:space="0" w:color="0079C1"/>
              <w:left w:val="single" w:sz="4" w:space="0" w:color="0079C1"/>
              <w:right w:val="single" w:sz="4" w:space="0" w:color="0079C1"/>
            </w:tcBorders>
            <w:vAlign w:val="center"/>
          </w:tcPr>
          <w:p w14:paraId="244AF940"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12</w:t>
            </w:r>
          </w:p>
        </w:tc>
        <w:tc>
          <w:tcPr>
            <w:tcW w:w="1842" w:type="dxa"/>
            <w:tcBorders>
              <w:top w:val="single" w:sz="4" w:space="0" w:color="0079C1" w:themeColor="text2"/>
              <w:left w:val="single" w:sz="4" w:space="0" w:color="0079C1"/>
            </w:tcBorders>
            <w:vAlign w:val="center"/>
          </w:tcPr>
          <w:p w14:paraId="6B48DAB3"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5.2%</w:t>
            </w:r>
          </w:p>
        </w:tc>
      </w:tr>
      <w:tr w:rsidR="00655E7B" w:rsidRPr="00DB63CB" w14:paraId="7D54C2EC" w14:textId="77777777" w:rsidTr="00DB63CB">
        <w:tc>
          <w:tcPr>
            <w:tcW w:w="2894" w:type="dxa"/>
            <w:tcBorders>
              <w:right w:val="single" w:sz="4" w:space="0" w:color="0079C1"/>
            </w:tcBorders>
            <w:vAlign w:val="bottom"/>
          </w:tcPr>
          <w:p w14:paraId="084A50B5"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Divorced</w:t>
            </w:r>
          </w:p>
        </w:tc>
        <w:tc>
          <w:tcPr>
            <w:tcW w:w="1998" w:type="dxa"/>
            <w:tcBorders>
              <w:left w:val="single" w:sz="4" w:space="0" w:color="0079C1"/>
              <w:right w:val="single" w:sz="4" w:space="0" w:color="0079C1"/>
            </w:tcBorders>
            <w:vAlign w:val="center"/>
          </w:tcPr>
          <w:p w14:paraId="2606D2F9"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2</w:t>
            </w:r>
          </w:p>
        </w:tc>
        <w:tc>
          <w:tcPr>
            <w:tcW w:w="1842" w:type="dxa"/>
            <w:tcBorders>
              <w:left w:val="single" w:sz="4" w:space="0" w:color="0079C1"/>
            </w:tcBorders>
            <w:vAlign w:val="center"/>
          </w:tcPr>
          <w:p w14:paraId="6ED85C2B"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0.9%</w:t>
            </w:r>
          </w:p>
        </w:tc>
      </w:tr>
      <w:tr w:rsidR="00655E7B" w:rsidRPr="00DB63CB" w14:paraId="2675B162" w14:textId="77777777" w:rsidTr="00DB63CB">
        <w:tc>
          <w:tcPr>
            <w:tcW w:w="2894" w:type="dxa"/>
            <w:tcBorders>
              <w:right w:val="single" w:sz="4" w:space="0" w:color="0079C1"/>
            </w:tcBorders>
            <w:vAlign w:val="bottom"/>
          </w:tcPr>
          <w:p w14:paraId="37C6C7C1"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Married</w:t>
            </w:r>
          </w:p>
        </w:tc>
        <w:tc>
          <w:tcPr>
            <w:tcW w:w="1998" w:type="dxa"/>
            <w:tcBorders>
              <w:left w:val="single" w:sz="4" w:space="0" w:color="0079C1"/>
              <w:right w:val="single" w:sz="4" w:space="0" w:color="0079C1"/>
            </w:tcBorders>
            <w:vAlign w:val="center"/>
          </w:tcPr>
          <w:p w14:paraId="5FE9FFDE"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199</w:t>
            </w:r>
          </w:p>
        </w:tc>
        <w:tc>
          <w:tcPr>
            <w:tcW w:w="1842" w:type="dxa"/>
            <w:tcBorders>
              <w:left w:val="single" w:sz="4" w:space="0" w:color="0079C1"/>
            </w:tcBorders>
            <w:vAlign w:val="center"/>
          </w:tcPr>
          <w:p w14:paraId="2F09CFCD"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86.5%</w:t>
            </w:r>
          </w:p>
        </w:tc>
      </w:tr>
      <w:tr w:rsidR="00655E7B" w:rsidRPr="00DB63CB" w14:paraId="57BDCCDB" w14:textId="77777777" w:rsidTr="00DB63CB">
        <w:tc>
          <w:tcPr>
            <w:tcW w:w="2894" w:type="dxa"/>
            <w:tcBorders>
              <w:right w:val="single" w:sz="4" w:space="0" w:color="0079C1"/>
            </w:tcBorders>
            <w:vAlign w:val="bottom"/>
          </w:tcPr>
          <w:p w14:paraId="0C22C223"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Other (please specify)</w:t>
            </w:r>
          </w:p>
        </w:tc>
        <w:tc>
          <w:tcPr>
            <w:tcW w:w="1998" w:type="dxa"/>
            <w:tcBorders>
              <w:left w:val="single" w:sz="4" w:space="0" w:color="0079C1"/>
              <w:right w:val="single" w:sz="4" w:space="0" w:color="0079C1"/>
            </w:tcBorders>
            <w:vAlign w:val="center"/>
          </w:tcPr>
          <w:p w14:paraId="2C7E81C5"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3</w:t>
            </w:r>
          </w:p>
        </w:tc>
        <w:tc>
          <w:tcPr>
            <w:tcW w:w="1842" w:type="dxa"/>
            <w:tcBorders>
              <w:left w:val="single" w:sz="4" w:space="0" w:color="0079C1"/>
            </w:tcBorders>
            <w:vAlign w:val="center"/>
          </w:tcPr>
          <w:p w14:paraId="0C45403B"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1.3%</w:t>
            </w:r>
          </w:p>
        </w:tc>
      </w:tr>
      <w:tr w:rsidR="00655E7B" w:rsidRPr="00DB63CB" w14:paraId="74E095A9" w14:textId="77777777" w:rsidTr="00DB63CB">
        <w:tc>
          <w:tcPr>
            <w:tcW w:w="2894" w:type="dxa"/>
            <w:tcBorders>
              <w:right w:val="single" w:sz="4" w:space="0" w:color="0079C1"/>
            </w:tcBorders>
            <w:vAlign w:val="bottom"/>
          </w:tcPr>
          <w:p w14:paraId="2768DAF5"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Single</w:t>
            </w:r>
          </w:p>
        </w:tc>
        <w:tc>
          <w:tcPr>
            <w:tcW w:w="1998" w:type="dxa"/>
            <w:tcBorders>
              <w:left w:val="single" w:sz="4" w:space="0" w:color="0079C1"/>
              <w:right w:val="single" w:sz="4" w:space="0" w:color="0079C1"/>
            </w:tcBorders>
            <w:vAlign w:val="center"/>
          </w:tcPr>
          <w:p w14:paraId="7CA4A3F8"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13</w:t>
            </w:r>
          </w:p>
        </w:tc>
        <w:tc>
          <w:tcPr>
            <w:tcW w:w="1842" w:type="dxa"/>
            <w:tcBorders>
              <w:left w:val="single" w:sz="4" w:space="0" w:color="0079C1"/>
            </w:tcBorders>
            <w:vAlign w:val="center"/>
          </w:tcPr>
          <w:p w14:paraId="53335F6C"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5.7%</w:t>
            </w:r>
          </w:p>
        </w:tc>
      </w:tr>
      <w:tr w:rsidR="00655E7B" w:rsidRPr="00DB63CB" w14:paraId="64DAD238" w14:textId="77777777" w:rsidTr="00DB63CB">
        <w:tc>
          <w:tcPr>
            <w:tcW w:w="2894" w:type="dxa"/>
            <w:tcBorders>
              <w:right w:val="single" w:sz="4" w:space="0" w:color="0079C1"/>
            </w:tcBorders>
            <w:vAlign w:val="bottom"/>
          </w:tcPr>
          <w:p w14:paraId="66DA7605"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Not stated</w:t>
            </w:r>
          </w:p>
        </w:tc>
        <w:tc>
          <w:tcPr>
            <w:tcW w:w="1998" w:type="dxa"/>
            <w:tcBorders>
              <w:left w:val="single" w:sz="4" w:space="0" w:color="0079C1"/>
              <w:right w:val="single" w:sz="4" w:space="0" w:color="0079C1"/>
            </w:tcBorders>
            <w:vAlign w:val="center"/>
          </w:tcPr>
          <w:p w14:paraId="65EE80F2"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1</w:t>
            </w:r>
          </w:p>
        </w:tc>
        <w:tc>
          <w:tcPr>
            <w:tcW w:w="1842" w:type="dxa"/>
            <w:tcBorders>
              <w:left w:val="single" w:sz="4" w:space="0" w:color="0079C1"/>
            </w:tcBorders>
            <w:vAlign w:val="center"/>
          </w:tcPr>
          <w:p w14:paraId="09D5A9AC"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0.4%</w:t>
            </w:r>
          </w:p>
        </w:tc>
      </w:tr>
      <w:tr w:rsidR="00655E7B" w:rsidRPr="00DB63CB" w14:paraId="0910E89D" w14:textId="77777777" w:rsidTr="009C3485">
        <w:tc>
          <w:tcPr>
            <w:tcW w:w="6734" w:type="dxa"/>
            <w:gridSpan w:val="3"/>
            <w:tcBorders>
              <w:top w:val="single" w:sz="4" w:space="0" w:color="0079C1"/>
              <w:bottom w:val="single" w:sz="4" w:space="0" w:color="0079C1" w:themeColor="text2"/>
            </w:tcBorders>
            <w:shd w:val="clear" w:color="auto" w:fill="BFE7FF" w:themeFill="text2" w:themeFillTint="33"/>
          </w:tcPr>
          <w:p w14:paraId="39BFAB06" w14:textId="77777777" w:rsidR="00655E7B" w:rsidRPr="00DB63CB" w:rsidRDefault="00655E7B" w:rsidP="004B28FE">
            <w:pPr>
              <w:keepLines/>
              <w:tabs>
                <w:tab w:val="left" w:pos="318"/>
              </w:tabs>
              <w:spacing w:before="120" w:after="120"/>
              <w:rPr>
                <w:rFonts w:asciiTheme="minorHAnsi" w:eastAsiaTheme="minorHAnsi" w:hAnsiTheme="minorHAnsi" w:cs="Calibri"/>
                <w:b/>
                <w:sz w:val="20"/>
                <w:szCs w:val="20"/>
                <w:lang w:eastAsia="en-AU"/>
              </w:rPr>
            </w:pPr>
            <w:r w:rsidRPr="00DB63CB">
              <w:rPr>
                <w:rFonts w:asciiTheme="minorHAnsi" w:eastAsiaTheme="minorHAnsi" w:hAnsiTheme="minorHAnsi" w:cs="Calibri"/>
                <w:b/>
                <w:sz w:val="20"/>
                <w:szCs w:val="20"/>
                <w:lang w:eastAsia="en-AU"/>
              </w:rPr>
              <w:t>Residency status</w:t>
            </w:r>
          </w:p>
        </w:tc>
      </w:tr>
      <w:tr w:rsidR="00655E7B" w:rsidRPr="00DB63CB" w14:paraId="7C611402" w14:textId="77777777" w:rsidTr="00DB63CB">
        <w:tc>
          <w:tcPr>
            <w:tcW w:w="2894" w:type="dxa"/>
            <w:tcBorders>
              <w:top w:val="single" w:sz="4" w:space="0" w:color="0079C1" w:themeColor="text2"/>
              <w:right w:val="single" w:sz="4" w:space="0" w:color="0079C1"/>
            </w:tcBorders>
            <w:vAlign w:val="bottom"/>
          </w:tcPr>
          <w:p w14:paraId="68B883EF"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An Australian citizen</w:t>
            </w:r>
          </w:p>
        </w:tc>
        <w:tc>
          <w:tcPr>
            <w:tcW w:w="1998" w:type="dxa"/>
            <w:tcBorders>
              <w:top w:val="single" w:sz="4" w:space="0" w:color="0079C1"/>
              <w:left w:val="single" w:sz="4" w:space="0" w:color="0079C1"/>
              <w:right w:val="single" w:sz="4" w:space="0" w:color="0079C1"/>
            </w:tcBorders>
            <w:vAlign w:val="center"/>
          </w:tcPr>
          <w:p w14:paraId="09AA4ACF"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220</w:t>
            </w:r>
          </w:p>
        </w:tc>
        <w:tc>
          <w:tcPr>
            <w:tcW w:w="1842" w:type="dxa"/>
            <w:tcBorders>
              <w:top w:val="single" w:sz="4" w:space="0" w:color="0079C1" w:themeColor="text2"/>
              <w:left w:val="single" w:sz="4" w:space="0" w:color="0079C1"/>
            </w:tcBorders>
            <w:vAlign w:val="center"/>
          </w:tcPr>
          <w:p w14:paraId="650498A6"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95.7%</w:t>
            </w:r>
          </w:p>
        </w:tc>
      </w:tr>
      <w:tr w:rsidR="00655E7B" w:rsidRPr="00DB63CB" w14:paraId="0C8FF87A" w14:textId="77777777" w:rsidTr="00DB63CB">
        <w:tc>
          <w:tcPr>
            <w:tcW w:w="2894" w:type="dxa"/>
            <w:tcBorders>
              <w:right w:val="single" w:sz="4" w:space="0" w:color="0079C1"/>
            </w:tcBorders>
            <w:vAlign w:val="bottom"/>
          </w:tcPr>
          <w:p w14:paraId="33498CA9"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An Australian resident</w:t>
            </w:r>
          </w:p>
        </w:tc>
        <w:tc>
          <w:tcPr>
            <w:tcW w:w="1998" w:type="dxa"/>
            <w:tcBorders>
              <w:left w:val="single" w:sz="4" w:space="0" w:color="0079C1"/>
              <w:right w:val="single" w:sz="4" w:space="0" w:color="0079C1"/>
            </w:tcBorders>
            <w:vAlign w:val="center"/>
          </w:tcPr>
          <w:p w14:paraId="27A5F3A8"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7</w:t>
            </w:r>
          </w:p>
        </w:tc>
        <w:tc>
          <w:tcPr>
            <w:tcW w:w="1842" w:type="dxa"/>
            <w:tcBorders>
              <w:left w:val="single" w:sz="4" w:space="0" w:color="0079C1"/>
            </w:tcBorders>
            <w:vAlign w:val="center"/>
          </w:tcPr>
          <w:p w14:paraId="248139B7"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3.0%</w:t>
            </w:r>
          </w:p>
        </w:tc>
      </w:tr>
      <w:tr w:rsidR="00655E7B" w:rsidRPr="00DB63CB" w14:paraId="175E82A0" w14:textId="77777777" w:rsidTr="00DB63CB">
        <w:tc>
          <w:tcPr>
            <w:tcW w:w="2894" w:type="dxa"/>
            <w:tcBorders>
              <w:right w:val="single" w:sz="4" w:space="0" w:color="0079C1"/>
            </w:tcBorders>
            <w:vAlign w:val="bottom"/>
          </w:tcPr>
          <w:p w14:paraId="0A3C0F61"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Not stated</w:t>
            </w:r>
          </w:p>
        </w:tc>
        <w:tc>
          <w:tcPr>
            <w:tcW w:w="1998" w:type="dxa"/>
            <w:tcBorders>
              <w:left w:val="single" w:sz="4" w:space="0" w:color="0079C1"/>
              <w:right w:val="single" w:sz="4" w:space="0" w:color="0079C1"/>
            </w:tcBorders>
            <w:vAlign w:val="center"/>
          </w:tcPr>
          <w:p w14:paraId="3D26B269"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3</w:t>
            </w:r>
          </w:p>
        </w:tc>
        <w:tc>
          <w:tcPr>
            <w:tcW w:w="1842" w:type="dxa"/>
            <w:tcBorders>
              <w:left w:val="single" w:sz="4" w:space="0" w:color="0079C1"/>
            </w:tcBorders>
            <w:vAlign w:val="center"/>
          </w:tcPr>
          <w:p w14:paraId="10974C80"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1.3%</w:t>
            </w:r>
          </w:p>
        </w:tc>
      </w:tr>
      <w:tr w:rsidR="00655E7B" w:rsidRPr="00DB63CB" w14:paraId="069AAD63" w14:textId="77777777" w:rsidTr="00743899">
        <w:tc>
          <w:tcPr>
            <w:tcW w:w="6734" w:type="dxa"/>
            <w:gridSpan w:val="3"/>
            <w:tcBorders>
              <w:top w:val="single" w:sz="4" w:space="0" w:color="0079C1" w:themeColor="text2"/>
              <w:bottom w:val="single" w:sz="4" w:space="0" w:color="0079C1" w:themeColor="text2"/>
            </w:tcBorders>
            <w:shd w:val="clear" w:color="auto" w:fill="BFE7FF" w:themeFill="text2" w:themeFillTint="33"/>
          </w:tcPr>
          <w:p w14:paraId="1FC5E97A" w14:textId="77777777" w:rsidR="00655E7B" w:rsidRPr="00DB63CB" w:rsidRDefault="00655E7B" w:rsidP="004B28FE">
            <w:pPr>
              <w:keepLines/>
              <w:tabs>
                <w:tab w:val="left" w:pos="318"/>
              </w:tabs>
              <w:spacing w:before="120" w:after="120"/>
              <w:rPr>
                <w:rFonts w:asciiTheme="minorHAnsi" w:eastAsiaTheme="minorHAnsi" w:hAnsiTheme="minorHAnsi" w:cs="Calibri"/>
                <w:b/>
                <w:sz w:val="20"/>
                <w:szCs w:val="20"/>
                <w:lang w:eastAsia="en-AU"/>
              </w:rPr>
            </w:pPr>
            <w:r w:rsidRPr="00DB63CB">
              <w:rPr>
                <w:rFonts w:asciiTheme="minorHAnsi" w:eastAsiaTheme="minorHAnsi" w:hAnsiTheme="minorHAnsi" w:cs="Calibri"/>
                <w:b/>
                <w:sz w:val="20"/>
                <w:szCs w:val="20"/>
                <w:lang w:eastAsia="en-AU"/>
              </w:rPr>
              <w:t>Culturally and Linguistically Diverse (CALD) background</w:t>
            </w:r>
          </w:p>
        </w:tc>
      </w:tr>
      <w:tr w:rsidR="00655E7B" w:rsidRPr="00DB63CB" w14:paraId="3453DF1C" w14:textId="77777777" w:rsidTr="00DB63CB">
        <w:tc>
          <w:tcPr>
            <w:tcW w:w="2894" w:type="dxa"/>
            <w:tcBorders>
              <w:top w:val="single" w:sz="4" w:space="0" w:color="0079C1"/>
              <w:right w:val="single" w:sz="4" w:space="0" w:color="0079C1"/>
            </w:tcBorders>
            <w:vAlign w:val="bottom"/>
          </w:tcPr>
          <w:p w14:paraId="76FA6E0D"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No</w:t>
            </w:r>
          </w:p>
        </w:tc>
        <w:tc>
          <w:tcPr>
            <w:tcW w:w="1998" w:type="dxa"/>
            <w:tcBorders>
              <w:top w:val="single" w:sz="4" w:space="0" w:color="0079C1"/>
              <w:left w:val="single" w:sz="4" w:space="0" w:color="0079C1"/>
              <w:right w:val="single" w:sz="4" w:space="0" w:color="0079C1"/>
            </w:tcBorders>
            <w:vAlign w:val="center"/>
          </w:tcPr>
          <w:p w14:paraId="005CE6AE"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176</w:t>
            </w:r>
          </w:p>
        </w:tc>
        <w:tc>
          <w:tcPr>
            <w:tcW w:w="1842" w:type="dxa"/>
            <w:tcBorders>
              <w:top w:val="single" w:sz="4" w:space="0" w:color="0079C1" w:themeColor="text2"/>
              <w:left w:val="single" w:sz="4" w:space="0" w:color="0079C1"/>
            </w:tcBorders>
            <w:vAlign w:val="center"/>
          </w:tcPr>
          <w:p w14:paraId="070A61BA"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76.5%</w:t>
            </w:r>
          </w:p>
        </w:tc>
      </w:tr>
      <w:tr w:rsidR="00655E7B" w:rsidRPr="00DB63CB" w14:paraId="23DA7FC5" w14:textId="77777777" w:rsidTr="00DB63CB">
        <w:tc>
          <w:tcPr>
            <w:tcW w:w="2894" w:type="dxa"/>
            <w:tcBorders>
              <w:right w:val="single" w:sz="4" w:space="0" w:color="0079C1"/>
            </w:tcBorders>
            <w:vAlign w:val="bottom"/>
          </w:tcPr>
          <w:p w14:paraId="10A3026B"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Yes</w:t>
            </w:r>
          </w:p>
        </w:tc>
        <w:tc>
          <w:tcPr>
            <w:tcW w:w="1998" w:type="dxa"/>
            <w:tcBorders>
              <w:left w:val="single" w:sz="4" w:space="0" w:color="0079C1"/>
              <w:right w:val="single" w:sz="4" w:space="0" w:color="0079C1"/>
            </w:tcBorders>
            <w:vAlign w:val="center"/>
          </w:tcPr>
          <w:p w14:paraId="58A07183"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51</w:t>
            </w:r>
          </w:p>
        </w:tc>
        <w:tc>
          <w:tcPr>
            <w:tcW w:w="1842" w:type="dxa"/>
            <w:tcBorders>
              <w:left w:val="single" w:sz="4" w:space="0" w:color="0079C1"/>
            </w:tcBorders>
            <w:vAlign w:val="center"/>
          </w:tcPr>
          <w:p w14:paraId="1E2F9E59"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22.2%</w:t>
            </w:r>
          </w:p>
        </w:tc>
      </w:tr>
      <w:tr w:rsidR="00655E7B" w:rsidRPr="00DB63CB" w14:paraId="15D9115E" w14:textId="77777777" w:rsidTr="00DB63CB">
        <w:tc>
          <w:tcPr>
            <w:tcW w:w="2894" w:type="dxa"/>
            <w:tcBorders>
              <w:right w:val="single" w:sz="4" w:space="0" w:color="0079C1"/>
            </w:tcBorders>
            <w:vAlign w:val="bottom"/>
          </w:tcPr>
          <w:p w14:paraId="10646E54"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Not stated</w:t>
            </w:r>
          </w:p>
        </w:tc>
        <w:tc>
          <w:tcPr>
            <w:tcW w:w="1998" w:type="dxa"/>
            <w:tcBorders>
              <w:left w:val="single" w:sz="4" w:space="0" w:color="0079C1"/>
              <w:right w:val="single" w:sz="4" w:space="0" w:color="0079C1"/>
            </w:tcBorders>
            <w:vAlign w:val="center"/>
          </w:tcPr>
          <w:p w14:paraId="77E9441C"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3</w:t>
            </w:r>
          </w:p>
        </w:tc>
        <w:tc>
          <w:tcPr>
            <w:tcW w:w="1842" w:type="dxa"/>
            <w:tcBorders>
              <w:left w:val="single" w:sz="4" w:space="0" w:color="0079C1"/>
            </w:tcBorders>
            <w:vAlign w:val="center"/>
          </w:tcPr>
          <w:p w14:paraId="4AE6DDD5"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1.3%</w:t>
            </w:r>
          </w:p>
        </w:tc>
      </w:tr>
      <w:tr w:rsidR="00655E7B" w:rsidRPr="00DB63CB" w14:paraId="08156E41" w14:textId="77777777" w:rsidTr="00743899">
        <w:tc>
          <w:tcPr>
            <w:tcW w:w="6734" w:type="dxa"/>
            <w:gridSpan w:val="3"/>
            <w:tcBorders>
              <w:top w:val="single" w:sz="4" w:space="0" w:color="0079C1" w:themeColor="text2"/>
              <w:bottom w:val="single" w:sz="4" w:space="0" w:color="0079C1" w:themeColor="text2"/>
            </w:tcBorders>
            <w:shd w:val="clear" w:color="auto" w:fill="BFE7FF" w:themeFill="text2" w:themeFillTint="33"/>
          </w:tcPr>
          <w:p w14:paraId="437C0696" w14:textId="77777777" w:rsidR="00655E7B" w:rsidRPr="00DB63CB" w:rsidRDefault="00655E7B" w:rsidP="004B28FE">
            <w:pPr>
              <w:keepLines/>
              <w:tabs>
                <w:tab w:val="left" w:pos="318"/>
              </w:tabs>
              <w:spacing w:before="120" w:after="120"/>
              <w:rPr>
                <w:rFonts w:asciiTheme="minorHAnsi" w:eastAsiaTheme="minorHAnsi" w:hAnsiTheme="minorHAnsi" w:cs="Calibri"/>
                <w:b/>
                <w:sz w:val="20"/>
                <w:szCs w:val="20"/>
                <w:lang w:eastAsia="en-AU"/>
              </w:rPr>
            </w:pPr>
            <w:r w:rsidRPr="00DB63CB">
              <w:rPr>
                <w:rFonts w:asciiTheme="minorHAnsi" w:eastAsiaTheme="minorHAnsi" w:hAnsiTheme="minorHAnsi" w:cs="Calibri"/>
                <w:b/>
                <w:sz w:val="20"/>
                <w:szCs w:val="20"/>
                <w:lang w:eastAsia="en-AU"/>
              </w:rPr>
              <w:t>Aboriginal/Torres Strait Islander</w:t>
            </w:r>
          </w:p>
        </w:tc>
      </w:tr>
      <w:tr w:rsidR="00655E7B" w:rsidRPr="00DB63CB" w14:paraId="5E127233" w14:textId="77777777" w:rsidTr="00DB63CB">
        <w:tc>
          <w:tcPr>
            <w:tcW w:w="2894" w:type="dxa"/>
            <w:tcBorders>
              <w:top w:val="single" w:sz="4" w:space="0" w:color="0079C1" w:themeColor="text2"/>
              <w:right w:val="single" w:sz="4" w:space="0" w:color="0079C1"/>
            </w:tcBorders>
            <w:vAlign w:val="bottom"/>
          </w:tcPr>
          <w:p w14:paraId="39336B36"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No</w:t>
            </w:r>
          </w:p>
        </w:tc>
        <w:tc>
          <w:tcPr>
            <w:tcW w:w="1998" w:type="dxa"/>
            <w:tcBorders>
              <w:top w:val="single" w:sz="4" w:space="0" w:color="0079C1"/>
              <w:left w:val="single" w:sz="4" w:space="0" w:color="0079C1"/>
              <w:right w:val="single" w:sz="4" w:space="0" w:color="0079C1"/>
            </w:tcBorders>
            <w:vAlign w:val="center"/>
          </w:tcPr>
          <w:p w14:paraId="04A4C7EB"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223</w:t>
            </w:r>
          </w:p>
        </w:tc>
        <w:tc>
          <w:tcPr>
            <w:tcW w:w="1842" w:type="dxa"/>
            <w:tcBorders>
              <w:top w:val="single" w:sz="4" w:space="0" w:color="0079C1" w:themeColor="text2"/>
              <w:left w:val="single" w:sz="4" w:space="0" w:color="0079C1"/>
            </w:tcBorders>
            <w:vAlign w:val="center"/>
          </w:tcPr>
          <w:p w14:paraId="409638EB"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97.0%</w:t>
            </w:r>
          </w:p>
        </w:tc>
      </w:tr>
      <w:tr w:rsidR="00655E7B" w:rsidRPr="00DB63CB" w14:paraId="42D5E210" w14:textId="77777777" w:rsidTr="00DB63CB">
        <w:tc>
          <w:tcPr>
            <w:tcW w:w="2894" w:type="dxa"/>
            <w:tcBorders>
              <w:right w:val="single" w:sz="4" w:space="0" w:color="0079C1"/>
            </w:tcBorders>
            <w:vAlign w:val="bottom"/>
          </w:tcPr>
          <w:p w14:paraId="04B3FEC6"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Yes</w:t>
            </w:r>
          </w:p>
        </w:tc>
        <w:tc>
          <w:tcPr>
            <w:tcW w:w="1998" w:type="dxa"/>
            <w:tcBorders>
              <w:left w:val="single" w:sz="4" w:space="0" w:color="0079C1"/>
              <w:right w:val="single" w:sz="4" w:space="0" w:color="0079C1"/>
            </w:tcBorders>
            <w:vAlign w:val="center"/>
          </w:tcPr>
          <w:p w14:paraId="0841A928"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5</w:t>
            </w:r>
          </w:p>
        </w:tc>
        <w:tc>
          <w:tcPr>
            <w:tcW w:w="1842" w:type="dxa"/>
            <w:tcBorders>
              <w:left w:val="single" w:sz="4" w:space="0" w:color="0079C1"/>
            </w:tcBorders>
            <w:vAlign w:val="center"/>
          </w:tcPr>
          <w:p w14:paraId="5A0311FC"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2.2%</w:t>
            </w:r>
          </w:p>
        </w:tc>
      </w:tr>
      <w:tr w:rsidR="00655E7B" w:rsidRPr="00DB63CB" w14:paraId="29B63720" w14:textId="77777777" w:rsidTr="00DB63CB">
        <w:tc>
          <w:tcPr>
            <w:tcW w:w="2894" w:type="dxa"/>
            <w:tcBorders>
              <w:right w:val="single" w:sz="4" w:space="0" w:color="0079C1"/>
            </w:tcBorders>
            <w:vAlign w:val="bottom"/>
          </w:tcPr>
          <w:p w14:paraId="224E60C6"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Not stated</w:t>
            </w:r>
          </w:p>
        </w:tc>
        <w:tc>
          <w:tcPr>
            <w:tcW w:w="1998" w:type="dxa"/>
            <w:tcBorders>
              <w:left w:val="single" w:sz="4" w:space="0" w:color="0079C1"/>
              <w:right w:val="single" w:sz="4" w:space="0" w:color="0079C1"/>
            </w:tcBorders>
            <w:vAlign w:val="center"/>
          </w:tcPr>
          <w:p w14:paraId="33E3410E"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2</w:t>
            </w:r>
          </w:p>
        </w:tc>
        <w:tc>
          <w:tcPr>
            <w:tcW w:w="1842" w:type="dxa"/>
            <w:tcBorders>
              <w:left w:val="single" w:sz="4" w:space="0" w:color="0079C1"/>
            </w:tcBorders>
            <w:vAlign w:val="center"/>
          </w:tcPr>
          <w:p w14:paraId="3043879C"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0.9%</w:t>
            </w:r>
          </w:p>
        </w:tc>
      </w:tr>
      <w:tr w:rsidR="00655E7B" w:rsidRPr="00DB63CB" w14:paraId="5E306CB8" w14:textId="77777777" w:rsidTr="00743899">
        <w:tc>
          <w:tcPr>
            <w:tcW w:w="6734" w:type="dxa"/>
            <w:gridSpan w:val="3"/>
            <w:tcBorders>
              <w:top w:val="single" w:sz="4" w:space="0" w:color="0079C1" w:themeColor="text2"/>
              <w:bottom w:val="single" w:sz="4" w:space="0" w:color="0079C1" w:themeColor="text2"/>
            </w:tcBorders>
            <w:shd w:val="clear" w:color="auto" w:fill="BFE7FF" w:themeFill="text2" w:themeFillTint="33"/>
          </w:tcPr>
          <w:p w14:paraId="4E6D9D17" w14:textId="77777777" w:rsidR="00655E7B" w:rsidRPr="00DB63CB" w:rsidRDefault="00655E7B" w:rsidP="004B28FE">
            <w:pPr>
              <w:keepLines/>
              <w:tabs>
                <w:tab w:val="left" w:pos="318"/>
              </w:tabs>
              <w:spacing w:before="120" w:after="120"/>
              <w:rPr>
                <w:rFonts w:asciiTheme="minorHAnsi" w:eastAsiaTheme="minorHAnsi" w:hAnsiTheme="minorHAnsi" w:cs="Calibri"/>
                <w:b/>
                <w:sz w:val="20"/>
                <w:szCs w:val="20"/>
                <w:lang w:eastAsia="en-AU"/>
              </w:rPr>
            </w:pPr>
            <w:r w:rsidRPr="00DB63CB">
              <w:rPr>
                <w:rFonts w:asciiTheme="minorHAnsi" w:eastAsiaTheme="minorHAnsi" w:hAnsiTheme="minorHAnsi" w:cs="Calibri"/>
                <w:b/>
                <w:sz w:val="20"/>
                <w:szCs w:val="20"/>
                <w:lang w:eastAsia="en-AU"/>
              </w:rPr>
              <w:t>Dependent children</w:t>
            </w:r>
          </w:p>
        </w:tc>
      </w:tr>
      <w:tr w:rsidR="00655E7B" w:rsidRPr="00DB63CB" w14:paraId="08993B64" w14:textId="77777777" w:rsidTr="00DB63CB">
        <w:tc>
          <w:tcPr>
            <w:tcW w:w="2894" w:type="dxa"/>
            <w:tcBorders>
              <w:top w:val="single" w:sz="4" w:space="0" w:color="0079C1" w:themeColor="text2"/>
              <w:right w:val="single" w:sz="4" w:space="0" w:color="0079C1"/>
            </w:tcBorders>
            <w:vAlign w:val="bottom"/>
          </w:tcPr>
          <w:p w14:paraId="02C7C83B"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No</w:t>
            </w:r>
          </w:p>
        </w:tc>
        <w:tc>
          <w:tcPr>
            <w:tcW w:w="1998" w:type="dxa"/>
            <w:tcBorders>
              <w:top w:val="single" w:sz="4" w:space="0" w:color="0079C1"/>
              <w:left w:val="single" w:sz="4" w:space="0" w:color="0079C1"/>
              <w:right w:val="single" w:sz="4" w:space="0" w:color="0079C1"/>
            </w:tcBorders>
            <w:vAlign w:val="center"/>
          </w:tcPr>
          <w:p w14:paraId="45593CCD"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95</w:t>
            </w:r>
          </w:p>
        </w:tc>
        <w:tc>
          <w:tcPr>
            <w:tcW w:w="1842" w:type="dxa"/>
            <w:tcBorders>
              <w:top w:val="single" w:sz="4" w:space="0" w:color="0079C1" w:themeColor="text2"/>
              <w:left w:val="single" w:sz="4" w:space="0" w:color="0079C1"/>
            </w:tcBorders>
            <w:vAlign w:val="center"/>
          </w:tcPr>
          <w:p w14:paraId="0B7E5540"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41.3%</w:t>
            </w:r>
          </w:p>
        </w:tc>
      </w:tr>
      <w:tr w:rsidR="00655E7B" w:rsidRPr="00DB63CB" w14:paraId="738E6B7C" w14:textId="77777777" w:rsidTr="00DB63CB">
        <w:tc>
          <w:tcPr>
            <w:tcW w:w="2894" w:type="dxa"/>
            <w:tcBorders>
              <w:right w:val="single" w:sz="4" w:space="0" w:color="0079C1"/>
            </w:tcBorders>
            <w:vAlign w:val="bottom"/>
          </w:tcPr>
          <w:p w14:paraId="79881536"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Yes</w:t>
            </w:r>
          </w:p>
        </w:tc>
        <w:tc>
          <w:tcPr>
            <w:tcW w:w="1998" w:type="dxa"/>
            <w:tcBorders>
              <w:left w:val="single" w:sz="4" w:space="0" w:color="0079C1"/>
              <w:right w:val="single" w:sz="4" w:space="0" w:color="0079C1"/>
            </w:tcBorders>
            <w:vAlign w:val="center"/>
          </w:tcPr>
          <w:p w14:paraId="74A2A70F"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134</w:t>
            </w:r>
          </w:p>
        </w:tc>
        <w:tc>
          <w:tcPr>
            <w:tcW w:w="1842" w:type="dxa"/>
            <w:tcBorders>
              <w:left w:val="single" w:sz="4" w:space="0" w:color="0079C1"/>
            </w:tcBorders>
            <w:vAlign w:val="center"/>
          </w:tcPr>
          <w:p w14:paraId="1EEFE0C3"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58.3%</w:t>
            </w:r>
          </w:p>
        </w:tc>
      </w:tr>
      <w:tr w:rsidR="00655E7B" w:rsidRPr="00DB63CB" w14:paraId="24C0011D" w14:textId="77777777" w:rsidTr="00DB63CB">
        <w:tc>
          <w:tcPr>
            <w:tcW w:w="2894" w:type="dxa"/>
            <w:tcBorders>
              <w:right w:val="single" w:sz="4" w:space="0" w:color="0079C1"/>
            </w:tcBorders>
            <w:vAlign w:val="bottom"/>
          </w:tcPr>
          <w:p w14:paraId="39BE5B4C"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Not stated</w:t>
            </w:r>
          </w:p>
        </w:tc>
        <w:tc>
          <w:tcPr>
            <w:tcW w:w="1998" w:type="dxa"/>
            <w:tcBorders>
              <w:left w:val="single" w:sz="4" w:space="0" w:color="0079C1"/>
              <w:right w:val="single" w:sz="4" w:space="0" w:color="0079C1"/>
            </w:tcBorders>
            <w:vAlign w:val="center"/>
          </w:tcPr>
          <w:p w14:paraId="56C15823"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1</w:t>
            </w:r>
          </w:p>
        </w:tc>
        <w:tc>
          <w:tcPr>
            <w:tcW w:w="1842" w:type="dxa"/>
            <w:tcBorders>
              <w:left w:val="single" w:sz="4" w:space="0" w:color="0079C1"/>
            </w:tcBorders>
            <w:vAlign w:val="center"/>
          </w:tcPr>
          <w:p w14:paraId="525F1546"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0.4%</w:t>
            </w:r>
          </w:p>
        </w:tc>
      </w:tr>
      <w:tr w:rsidR="00655E7B" w:rsidRPr="00DB63CB" w14:paraId="53C93B26" w14:textId="77777777" w:rsidTr="00743899">
        <w:tc>
          <w:tcPr>
            <w:tcW w:w="6734" w:type="dxa"/>
            <w:gridSpan w:val="3"/>
            <w:tcBorders>
              <w:top w:val="single" w:sz="4" w:space="0" w:color="0079C1" w:themeColor="text2"/>
              <w:bottom w:val="single" w:sz="4" w:space="0" w:color="0079C1" w:themeColor="text2"/>
            </w:tcBorders>
            <w:shd w:val="clear" w:color="auto" w:fill="BFE7FF" w:themeFill="text2" w:themeFillTint="33"/>
          </w:tcPr>
          <w:p w14:paraId="74F7717A" w14:textId="77777777" w:rsidR="00655E7B" w:rsidRPr="00DB63CB" w:rsidRDefault="00655E7B" w:rsidP="004B28FE">
            <w:pPr>
              <w:keepLines/>
              <w:tabs>
                <w:tab w:val="left" w:pos="318"/>
              </w:tabs>
              <w:spacing w:before="120" w:after="120"/>
              <w:rPr>
                <w:rFonts w:asciiTheme="minorHAnsi" w:eastAsiaTheme="minorHAnsi" w:hAnsiTheme="minorHAnsi" w:cs="Calibri"/>
                <w:b/>
                <w:color w:val="FFFFFF" w:themeColor="background1"/>
                <w:sz w:val="20"/>
                <w:szCs w:val="20"/>
                <w:lang w:eastAsia="en-AU"/>
              </w:rPr>
            </w:pPr>
            <w:r w:rsidRPr="00DB63CB">
              <w:rPr>
                <w:rFonts w:asciiTheme="minorHAnsi" w:eastAsiaTheme="minorHAnsi" w:hAnsiTheme="minorHAnsi" w:cs="Calibri"/>
                <w:b/>
                <w:sz w:val="20"/>
                <w:szCs w:val="20"/>
                <w:lang w:eastAsia="en-AU"/>
              </w:rPr>
              <w:t xml:space="preserve">Other dependents </w:t>
            </w:r>
          </w:p>
        </w:tc>
      </w:tr>
      <w:tr w:rsidR="00655E7B" w:rsidRPr="00DB63CB" w14:paraId="73003969" w14:textId="77777777" w:rsidTr="00DB63CB">
        <w:tc>
          <w:tcPr>
            <w:tcW w:w="2894" w:type="dxa"/>
            <w:tcBorders>
              <w:top w:val="single" w:sz="4" w:space="0" w:color="0079C1" w:themeColor="text2"/>
              <w:right w:val="single" w:sz="4" w:space="0" w:color="0079C1"/>
            </w:tcBorders>
            <w:vAlign w:val="bottom"/>
          </w:tcPr>
          <w:p w14:paraId="69EEF4F2"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No</w:t>
            </w:r>
          </w:p>
        </w:tc>
        <w:tc>
          <w:tcPr>
            <w:tcW w:w="1998" w:type="dxa"/>
            <w:tcBorders>
              <w:top w:val="single" w:sz="4" w:space="0" w:color="0079C1"/>
              <w:left w:val="single" w:sz="4" w:space="0" w:color="0079C1"/>
              <w:right w:val="single" w:sz="4" w:space="0" w:color="0079C1"/>
            </w:tcBorders>
            <w:vAlign w:val="center"/>
          </w:tcPr>
          <w:p w14:paraId="0F37E772"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210</w:t>
            </w:r>
          </w:p>
        </w:tc>
        <w:tc>
          <w:tcPr>
            <w:tcW w:w="1842" w:type="dxa"/>
            <w:tcBorders>
              <w:top w:val="single" w:sz="4" w:space="0" w:color="0079C1" w:themeColor="text2"/>
              <w:left w:val="single" w:sz="4" w:space="0" w:color="0079C1"/>
            </w:tcBorders>
            <w:vAlign w:val="center"/>
          </w:tcPr>
          <w:p w14:paraId="6EB6B9BB"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91.3%</w:t>
            </w:r>
          </w:p>
        </w:tc>
      </w:tr>
      <w:tr w:rsidR="00655E7B" w:rsidRPr="00DB63CB" w14:paraId="2F02BBAD" w14:textId="77777777" w:rsidTr="00DB63CB">
        <w:tc>
          <w:tcPr>
            <w:tcW w:w="2894" w:type="dxa"/>
            <w:tcBorders>
              <w:right w:val="single" w:sz="4" w:space="0" w:color="0079C1"/>
            </w:tcBorders>
            <w:vAlign w:val="bottom"/>
          </w:tcPr>
          <w:p w14:paraId="6AA7625C"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t>Yes</w:t>
            </w:r>
          </w:p>
        </w:tc>
        <w:tc>
          <w:tcPr>
            <w:tcW w:w="1998" w:type="dxa"/>
            <w:tcBorders>
              <w:left w:val="single" w:sz="4" w:space="0" w:color="0079C1"/>
              <w:right w:val="single" w:sz="4" w:space="0" w:color="0079C1"/>
            </w:tcBorders>
            <w:vAlign w:val="center"/>
          </w:tcPr>
          <w:p w14:paraId="32754EF2"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16</w:t>
            </w:r>
          </w:p>
        </w:tc>
        <w:tc>
          <w:tcPr>
            <w:tcW w:w="1842" w:type="dxa"/>
            <w:tcBorders>
              <w:left w:val="single" w:sz="4" w:space="0" w:color="0079C1"/>
            </w:tcBorders>
            <w:vAlign w:val="center"/>
          </w:tcPr>
          <w:p w14:paraId="5962667D"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7.0%</w:t>
            </w:r>
          </w:p>
        </w:tc>
      </w:tr>
      <w:tr w:rsidR="00655E7B" w:rsidRPr="00DB63CB" w14:paraId="09FC983E" w14:textId="77777777" w:rsidTr="00DB63CB">
        <w:tc>
          <w:tcPr>
            <w:tcW w:w="2894" w:type="dxa"/>
            <w:tcBorders>
              <w:right w:val="single" w:sz="4" w:space="0" w:color="0079C1"/>
            </w:tcBorders>
            <w:vAlign w:val="bottom"/>
          </w:tcPr>
          <w:p w14:paraId="16E6B5C4" w14:textId="77777777" w:rsidR="00655E7B" w:rsidRPr="00DB63CB" w:rsidRDefault="00655E7B" w:rsidP="004B28FE">
            <w:pPr>
              <w:tabs>
                <w:tab w:val="left" w:pos="318"/>
              </w:tabs>
              <w:spacing w:before="60" w:after="60"/>
              <w:rPr>
                <w:rFonts w:asciiTheme="minorHAnsi" w:hAnsiTheme="minorHAnsi"/>
                <w:color w:val="000000" w:themeColor="text1"/>
                <w:sz w:val="20"/>
                <w:szCs w:val="20"/>
              </w:rPr>
            </w:pPr>
            <w:r w:rsidRPr="00DB63CB">
              <w:rPr>
                <w:rFonts w:asciiTheme="minorHAnsi" w:hAnsiTheme="minorHAnsi"/>
                <w:color w:val="000000" w:themeColor="text1"/>
                <w:sz w:val="20"/>
                <w:szCs w:val="20"/>
              </w:rPr>
              <w:lastRenderedPageBreak/>
              <w:t>Not stated</w:t>
            </w:r>
          </w:p>
        </w:tc>
        <w:tc>
          <w:tcPr>
            <w:tcW w:w="1998" w:type="dxa"/>
            <w:tcBorders>
              <w:left w:val="single" w:sz="4" w:space="0" w:color="0079C1"/>
              <w:right w:val="single" w:sz="4" w:space="0" w:color="0079C1"/>
            </w:tcBorders>
            <w:vAlign w:val="center"/>
          </w:tcPr>
          <w:p w14:paraId="2BD7D27B"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4</w:t>
            </w:r>
          </w:p>
        </w:tc>
        <w:tc>
          <w:tcPr>
            <w:tcW w:w="1842" w:type="dxa"/>
            <w:tcBorders>
              <w:left w:val="single" w:sz="4" w:space="0" w:color="0079C1"/>
            </w:tcBorders>
            <w:vAlign w:val="center"/>
          </w:tcPr>
          <w:p w14:paraId="11B28DF5" w14:textId="77777777" w:rsidR="00655E7B" w:rsidRPr="00DB63CB" w:rsidRDefault="00655E7B" w:rsidP="004B28FE">
            <w:pPr>
              <w:tabs>
                <w:tab w:val="left" w:pos="318"/>
              </w:tabs>
              <w:spacing w:before="60" w:after="60"/>
              <w:jc w:val="center"/>
              <w:rPr>
                <w:rFonts w:asciiTheme="minorHAnsi" w:hAnsiTheme="minorHAnsi"/>
                <w:color w:val="000000" w:themeColor="text1"/>
                <w:sz w:val="20"/>
                <w:szCs w:val="20"/>
              </w:rPr>
            </w:pPr>
            <w:r w:rsidRPr="00DB63CB">
              <w:rPr>
                <w:rFonts w:asciiTheme="minorHAnsi" w:eastAsia="Times New Roman" w:hAnsiTheme="minorHAnsi" w:cs="Segoe UI"/>
                <w:color w:val="000000" w:themeColor="text1"/>
                <w:sz w:val="20"/>
                <w:szCs w:val="20"/>
                <w:lang w:eastAsia="en-AU"/>
              </w:rPr>
              <w:t>1.7%</w:t>
            </w:r>
          </w:p>
        </w:tc>
      </w:tr>
    </w:tbl>
    <w:p w14:paraId="3A694AC1" w14:textId="77777777" w:rsidR="00655E7B" w:rsidRPr="002B5E7B" w:rsidRDefault="00655E7B" w:rsidP="00E26B30">
      <w:pPr>
        <w:pStyle w:val="Heading10"/>
      </w:pPr>
      <w:r w:rsidRPr="002B5E7B">
        <w:t>Family status</w:t>
      </w:r>
    </w:p>
    <w:p w14:paraId="7465ABD8" w14:textId="77777777" w:rsidR="00655E7B" w:rsidRPr="002B5E7B" w:rsidRDefault="00655E7B" w:rsidP="00655E7B">
      <w:pPr>
        <w:spacing w:before="240" w:after="240" w:line="264" w:lineRule="auto"/>
        <w:rPr>
          <w:lang w:eastAsia="en-AU"/>
        </w:rPr>
      </w:pPr>
      <w:r w:rsidRPr="002B5E7B">
        <w:rPr>
          <w:lang w:eastAsia="en-AU"/>
        </w:rPr>
        <w:t xml:space="preserve">The majority of survey respondents reported being either married (86.5%) or in a de facto relationship (5.2%).  A small proportion (5.7%) reported being single and 1.3% reported their status as ‘other’.  More than half (58.3%) reported having dependent children, and 7.0% ‘other dependents’. </w:t>
      </w:r>
    </w:p>
    <w:p w14:paraId="7B7E8696" w14:textId="77777777" w:rsidR="00655E7B" w:rsidRDefault="00655E7B" w:rsidP="00E26B30">
      <w:pPr>
        <w:pStyle w:val="Heading10"/>
      </w:pPr>
      <w:r>
        <w:t>ICA status and motivation</w:t>
      </w:r>
    </w:p>
    <w:p w14:paraId="3FFE11EB" w14:textId="40CC1D1D" w:rsidR="00655E7B" w:rsidRDefault="00655E7B" w:rsidP="00655E7B">
      <w:pPr>
        <w:pStyle w:val="Paragraph"/>
      </w:pPr>
      <w:r>
        <w:rPr>
          <w:lang w:eastAsia="en-AU"/>
        </w:rPr>
        <w:t xml:space="preserve">Respondents were asked to describe their current situation in terms of the stage of ICA they were currently in.  </w:t>
      </w:r>
      <w:r w:rsidR="00F673EB" w:rsidRPr="00F31AAB">
        <w:rPr>
          <w:rStyle w:val="Emphasis"/>
          <w:lang w:eastAsia="en-AU"/>
        </w:rPr>
        <w:t>Table B</w:t>
      </w:r>
      <w:r w:rsidR="00F31AAB" w:rsidRPr="00F31AAB">
        <w:rPr>
          <w:rStyle w:val="Emphasis"/>
        </w:rPr>
        <w:t>-</w:t>
      </w:r>
      <w:r w:rsidR="00F673EB" w:rsidRPr="00F31AAB">
        <w:rPr>
          <w:rStyle w:val="Emphasis"/>
          <w:lang w:eastAsia="en-AU"/>
        </w:rPr>
        <w:t>2</w:t>
      </w:r>
      <w:r w:rsidR="00F673EB" w:rsidRPr="00F31AAB">
        <w:rPr>
          <w:rStyle w:val="Emphasis"/>
        </w:rPr>
        <w:t xml:space="preserve"> </w:t>
      </w:r>
      <w:r>
        <w:rPr>
          <w:lang w:eastAsia="en-AU"/>
        </w:rPr>
        <w:t xml:space="preserve">provides details of respondents’ stage in the ICA process.  </w:t>
      </w:r>
      <w:r>
        <w:t xml:space="preserve">More than </w:t>
      </w:r>
      <w:r w:rsidRPr="00DE1FBE">
        <w:t>half of the survey respondents (</w:t>
      </w:r>
      <w:r>
        <w:t>55.3</w:t>
      </w:r>
      <w:r w:rsidRPr="00DE1FBE">
        <w:t xml:space="preserve">%) </w:t>
      </w:r>
      <w:r>
        <w:t>wanted to adopt from overseas, either as a first-time or repeat ICA parent</w:t>
      </w:r>
      <w:r w:rsidRPr="00DE1FBE">
        <w:t xml:space="preserve">.  A further 31.7% </w:t>
      </w:r>
      <w:r>
        <w:t>were prior ICA parents who were in the post-adoption phase and were not considering further ICA</w:t>
      </w:r>
      <w:r w:rsidRPr="00DE1FBE">
        <w:t xml:space="preserve">.  </w:t>
      </w:r>
      <w:r>
        <w:t>The remainder comprised respondents who:</w:t>
      </w:r>
    </w:p>
    <w:p w14:paraId="11022DBB" w14:textId="77777777" w:rsidR="00655E7B" w:rsidRDefault="00655E7B" w:rsidP="00655E7B">
      <w:pPr>
        <w:pStyle w:val="Bullet1"/>
      </w:pPr>
      <w:r>
        <w:t>Had decided against ICA (8.7%)</w:t>
      </w:r>
    </w:p>
    <w:p w14:paraId="1BA10BBE" w14:textId="77777777" w:rsidR="00655E7B" w:rsidRDefault="00655E7B" w:rsidP="00655E7B">
      <w:pPr>
        <w:pStyle w:val="Bullet1"/>
      </w:pPr>
      <w:r>
        <w:t>Were a</w:t>
      </w:r>
      <w:r w:rsidRPr="00DE1FBE">
        <w:t>dult adoptees</w:t>
      </w:r>
      <w:r>
        <w:t xml:space="preserve"> (</w:t>
      </w:r>
      <w:r w:rsidRPr="00DE1FBE">
        <w:t>2.2%</w:t>
      </w:r>
      <w:r>
        <w:t>)</w:t>
      </w:r>
    </w:p>
    <w:p w14:paraId="0C4C4354" w14:textId="77777777" w:rsidR="00655E7B" w:rsidRDefault="00655E7B" w:rsidP="00655E7B">
      <w:pPr>
        <w:pStyle w:val="Bullet1"/>
      </w:pPr>
      <w:r>
        <w:t>Were ineligible (2.2%) on the basis of:</w:t>
      </w:r>
    </w:p>
    <w:p w14:paraId="64BFB60B" w14:textId="77777777" w:rsidR="00655E7B" w:rsidRDefault="00655E7B" w:rsidP="00655E7B">
      <w:pPr>
        <w:pStyle w:val="Bullet2"/>
      </w:pPr>
      <w:r>
        <w:t>Relationship status (3)</w:t>
      </w:r>
    </w:p>
    <w:p w14:paraId="29B7BD9B" w14:textId="08B54111" w:rsidR="00655E7B" w:rsidRDefault="00655E7B" w:rsidP="00655E7B">
      <w:pPr>
        <w:pStyle w:val="Bullet2"/>
      </w:pPr>
      <w:r>
        <w:t>Wanting to adopt from a non-partner country (1)</w:t>
      </w:r>
    </w:p>
    <w:p w14:paraId="08F1B595" w14:textId="77777777" w:rsidR="00655E7B" w:rsidRDefault="00655E7B" w:rsidP="00655E7B">
      <w:pPr>
        <w:pStyle w:val="Bullet2"/>
      </w:pPr>
      <w:r>
        <w:t>Processing delays meant someone had waited eight years then ‘timed out’ (1).</w:t>
      </w:r>
    </w:p>
    <w:p w14:paraId="3BCFD98A" w14:textId="5422927A" w:rsidR="00655E7B" w:rsidRDefault="007F0F4F" w:rsidP="00655E7B">
      <w:pPr>
        <w:pStyle w:val="Caption"/>
      </w:pPr>
      <w:r>
        <w:t>Table </w:t>
      </w:r>
      <w:r>
        <w:fldChar w:fldCharType="begin"/>
      </w:r>
      <w:r>
        <w:instrText xml:space="preserve"> STYLEREF 7 \s </w:instrText>
      </w:r>
      <w:r>
        <w:fldChar w:fldCharType="separate"/>
      </w:r>
      <w:r w:rsidR="00487073">
        <w:rPr>
          <w:noProof/>
        </w:rPr>
        <w:t>C</w:t>
      </w:r>
      <w:r>
        <w:fldChar w:fldCharType="end"/>
      </w:r>
      <w:r>
        <w:noBreakHyphen/>
      </w:r>
      <w:r>
        <w:fldChar w:fldCharType="begin"/>
      </w:r>
      <w:r>
        <w:instrText xml:space="preserve"> SEQ Table_Apx \* ARABIC \s 7 </w:instrText>
      </w:r>
      <w:r>
        <w:fldChar w:fldCharType="separate"/>
      </w:r>
      <w:r w:rsidR="00487073">
        <w:rPr>
          <w:noProof/>
        </w:rPr>
        <w:t>2</w:t>
      </w:r>
      <w:r>
        <w:fldChar w:fldCharType="end"/>
      </w:r>
      <w:r>
        <w:t>:</w:t>
      </w:r>
      <w:r>
        <w:tab/>
      </w:r>
      <w:r w:rsidR="00655E7B">
        <w:t>Respondents’ current stage in the ICA process</w:t>
      </w:r>
    </w:p>
    <w:tbl>
      <w:tblPr>
        <w:tblStyle w:val="TableGrid"/>
        <w:tblW w:w="0" w:type="auto"/>
        <w:tblInd w:w="108"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Description w:val="Table C 2: Respondents’ current stage in the ICA process"/>
      </w:tblPr>
      <w:tblGrid>
        <w:gridCol w:w="1560"/>
        <w:gridCol w:w="850"/>
        <w:gridCol w:w="4500"/>
        <w:gridCol w:w="603"/>
        <w:gridCol w:w="851"/>
      </w:tblGrid>
      <w:tr w:rsidR="00655E7B" w:rsidRPr="00DB63CB" w14:paraId="72AB915B" w14:textId="77777777" w:rsidTr="008E7495">
        <w:trPr>
          <w:tblHeader/>
        </w:trPr>
        <w:tc>
          <w:tcPr>
            <w:tcW w:w="1560" w:type="dxa"/>
            <w:tcBorders>
              <w:top w:val="single" w:sz="4" w:space="0" w:color="0079C1" w:themeColor="text2"/>
              <w:bottom w:val="single" w:sz="4" w:space="0" w:color="0079C1" w:themeColor="text2"/>
            </w:tcBorders>
            <w:shd w:val="clear" w:color="auto" w:fill="0079C1" w:themeFill="text2"/>
          </w:tcPr>
          <w:p w14:paraId="2FD956C1" w14:textId="77777777" w:rsidR="00655E7B" w:rsidRPr="00DB63CB" w:rsidRDefault="00655E7B" w:rsidP="004B28FE">
            <w:pPr>
              <w:pStyle w:val="TableHeading1"/>
              <w:rPr>
                <w:sz w:val="20"/>
              </w:rPr>
            </w:pPr>
            <w:r w:rsidRPr="00DB63CB">
              <w:rPr>
                <w:sz w:val="20"/>
              </w:rPr>
              <w:t>Category</w:t>
            </w:r>
          </w:p>
        </w:tc>
        <w:tc>
          <w:tcPr>
            <w:tcW w:w="5350" w:type="dxa"/>
            <w:gridSpan w:val="2"/>
            <w:tcBorders>
              <w:top w:val="single" w:sz="4" w:space="0" w:color="0079C1" w:themeColor="text2"/>
              <w:bottom w:val="single" w:sz="4" w:space="0" w:color="0079C1" w:themeColor="text2"/>
            </w:tcBorders>
            <w:shd w:val="clear" w:color="auto" w:fill="0079C1" w:themeFill="text2"/>
          </w:tcPr>
          <w:p w14:paraId="3FE1F8DD" w14:textId="77777777" w:rsidR="00655E7B" w:rsidRPr="00DB63CB" w:rsidRDefault="00655E7B" w:rsidP="004B28FE">
            <w:pPr>
              <w:pStyle w:val="TableHeading1"/>
              <w:rPr>
                <w:sz w:val="20"/>
              </w:rPr>
            </w:pPr>
            <w:r w:rsidRPr="00DB63CB">
              <w:rPr>
                <w:sz w:val="20"/>
              </w:rPr>
              <w:t>Stage description</w:t>
            </w:r>
          </w:p>
        </w:tc>
        <w:tc>
          <w:tcPr>
            <w:tcW w:w="603" w:type="dxa"/>
            <w:tcBorders>
              <w:top w:val="single" w:sz="4" w:space="0" w:color="0079C1" w:themeColor="text2"/>
              <w:bottom w:val="single" w:sz="4" w:space="0" w:color="0079C1" w:themeColor="text2"/>
            </w:tcBorders>
            <w:shd w:val="clear" w:color="auto" w:fill="0079C1" w:themeFill="text2"/>
          </w:tcPr>
          <w:p w14:paraId="5B150C74" w14:textId="77777777" w:rsidR="00655E7B" w:rsidRPr="00DB63CB" w:rsidRDefault="00655E7B" w:rsidP="004B28FE">
            <w:pPr>
              <w:pStyle w:val="TableHeading1Centred"/>
              <w:rPr>
                <w:sz w:val="20"/>
              </w:rPr>
            </w:pPr>
            <w:r w:rsidRPr="00DB63CB">
              <w:rPr>
                <w:sz w:val="20"/>
              </w:rPr>
              <w:t>n</w:t>
            </w:r>
          </w:p>
        </w:tc>
        <w:tc>
          <w:tcPr>
            <w:tcW w:w="851" w:type="dxa"/>
            <w:tcBorders>
              <w:top w:val="single" w:sz="4" w:space="0" w:color="0079C1" w:themeColor="text2"/>
              <w:bottom w:val="single" w:sz="4" w:space="0" w:color="0079C1" w:themeColor="text2"/>
            </w:tcBorders>
            <w:shd w:val="clear" w:color="auto" w:fill="0079C1" w:themeFill="text2"/>
          </w:tcPr>
          <w:p w14:paraId="518B93A2" w14:textId="77777777" w:rsidR="00655E7B" w:rsidRPr="00DB63CB" w:rsidRDefault="00655E7B" w:rsidP="004B28FE">
            <w:pPr>
              <w:pStyle w:val="TableHeading1Centred"/>
              <w:rPr>
                <w:sz w:val="20"/>
              </w:rPr>
            </w:pPr>
            <w:r w:rsidRPr="00DB63CB">
              <w:rPr>
                <w:sz w:val="20"/>
              </w:rPr>
              <w:t>%</w:t>
            </w:r>
          </w:p>
        </w:tc>
      </w:tr>
      <w:tr w:rsidR="00655E7B" w:rsidRPr="00DB63CB" w14:paraId="53DDC3D3" w14:textId="77777777" w:rsidTr="00DB63CB">
        <w:tc>
          <w:tcPr>
            <w:tcW w:w="1560" w:type="dxa"/>
            <w:vMerge w:val="restart"/>
            <w:tcBorders>
              <w:top w:val="single" w:sz="4" w:space="0" w:color="0079C1" w:themeColor="text2"/>
              <w:right w:val="single" w:sz="4" w:space="0" w:color="C6E9FF" w:themeColor="accent1" w:themeTint="66"/>
            </w:tcBorders>
            <w:vAlign w:val="center"/>
          </w:tcPr>
          <w:p w14:paraId="3AF4324A" w14:textId="77777777" w:rsidR="00655E7B" w:rsidRPr="00DB63CB" w:rsidRDefault="00655E7B" w:rsidP="004B28FE">
            <w:pPr>
              <w:pStyle w:val="TableText"/>
              <w:rPr>
                <w:sz w:val="20"/>
                <w:szCs w:val="20"/>
              </w:rPr>
            </w:pPr>
            <w:r w:rsidRPr="00DB63CB">
              <w:rPr>
                <w:sz w:val="20"/>
                <w:szCs w:val="20"/>
              </w:rPr>
              <w:t>Wanting to adopt</w:t>
            </w:r>
          </w:p>
        </w:tc>
        <w:tc>
          <w:tcPr>
            <w:tcW w:w="850" w:type="dxa"/>
            <w:tcBorders>
              <w:top w:val="single" w:sz="4" w:space="0" w:color="0079C1" w:themeColor="text2"/>
              <w:left w:val="single" w:sz="4" w:space="0" w:color="C6E9FF" w:themeColor="accent1" w:themeTint="66"/>
              <w:bottom w:val="single" w:sz="4" w:space="0" w:color="BFE7FF" w:themeColor="text2" w:themeTint="33"/>
              <w:right w:val="nil"/>
            </w:tcBorders>
          </w:tcPr>
          <w:p w14:paraId="453A1FD1" w14:textId="77777777" w:rsidR="00655E7B" w:rsidRPr="00DB63CB" w:rsidRDefault="00655E7B" w:rsidP="004B28FE">
            <w:pPr>
              <w:pStyle w:val="TableText"/>
              <w:rPr>
                <w:rStyle w:val="Emphasis"/>
                <w:sz w:val="20"/>
                <w:szCs w:val="20"/>
              </w:rPr>
            </w:pPr>
            <w:r w:rsidRPr="00DB63CB">
              <w:rPr>
                <w:rStyle w:val="Emphasis"/>
                <w:sz w:val="20"/>
                <w:szCs w:val="20"/>
              </w:rPr>
              <w:t>First time:</w:t>
            </w:r>
          </w:p>
        </w:tc>
        <w:tc>
          <w:tcPr>
            <w:tcW w:w="4500" w:type="dxa"/>
            <w:tcBorders>
              <w:top w:val="single" w:sz="4" w:space="0" w:color="0079C1" w:themeColor="text2"/>
              <w:left w:val="nil"/>
            </w:tcBorders>
          </w:tcPr>
          <w:p w14:paraId="61E37415" w14:textId="77777777" w:rsidR="00655E7B" w:rsidRPr="00DB63CB" w:rsidRDefault="00655E7B" w:rsidP="004B28FE">
            <w:pPr>
              <w:pStyle w:val="TableText"/>
              <w:tabs>
                <w:tab w:val="clear" w:pos="318"/>
                <w:tab w:val="left" w:pos="33"/>
              </w:tabs>
              <w:ind w:left="33" w:hanging="33"/>
              <w:jc w:val="both"/>
              <w:rPr>
                <w:sz w:val="20"/>
                <w:szCs w:val="20"/>
              </w:rPr>
            </w:pPr>
            <w:r w:rsidRPr="00DB63CB">
              <w:rPr>
                <w:sz w:val="20"/>
                <w:szCs w:val="20"/>
              </w:rPr>
              <w:t>A person wanting to adopt, or in the process of adopting, a child from overseas</w:t>
            </w:r>
          </w:p>
        </w:tc>
        <w:tc>
          <w:tcPr>
            <w:tcW w:w="603" w:type="dxa"/>
            <w:tcBorders>
              <w:top w:val="single" w:sz="4" w:space="0" w:color="0079C1" w:themeColor="text2"/>
            </w:tcBorders>
            <w:vAlign w:val="center"/>
          </w:tcPr>
          <w:p w14:paraId="6DE93DB1" w14:textId="77777777" w:rsidR="00655E7B" w:rsidRPr="00C61524" w:rsidRDefault="00655E7B" w:rsidP="00DB63CB">
            <w:pPr>
              <w:pStyle w:val="TableTextCentred"/>
              <w:rPr>
                <w:b/>
                <w:sz w:val="20"/>
                <w:szCs w:val="20"/>
              </w:rPr>
            </w:pPr>
            <w:r w:rsidRPr="00C61524">
              <w:rPr>
                <w:b/>
                <w:sz w:val="20"/>
                <w:szCs w:val="20"/>
              </w:rPr>
              <w:t>108</w:t>
            </w:r>
          </w:p>
        </w:tc>
        <w:tc>
          <w:tcPr>
            <w:tcW w:w="851" w:type="dxa"/>
            <w:tcBorders>
              <w:top w:val="single" w:sz="4" w:space="0" w:color="0079C1" w:themeColor="text2"/>
            </w:tcBorders>
            <w:vAlign w:val="center"/>
          </w:tcPr>
          <w:p w14:paraId="27F09701" w14:textId="77777777" w:rsidR="00655E7B" w:rsidRPr="00C61524" w:rsidRDefault="00655E7B" w:rsidP="00DB63CB">
            <w:pPr>
              <w:pStyle w:val="TableTextCentred"/>
              <w:rPr>
                <w:b/>
                <w:sz w:val="20"/>
                <w:szCs w:val="20"/>
              </w:rPr>
            </w:pPr>
            <w:r w:rsidRPr="00C61524">
              <w:rPr>
                <w:b/>
                <w:sz w:val="20"/>
                <w:szCs w:val="20"/>
              </w:rPr>
              <w:t>47.0%</w:t>
            </w:r>
          </w:p>
        </w:tc>
      </w:tr>
      <w:tr w:rsidR="00655E7B" w:rsidRPr="00DB63CB" w14:paraId="729DD055" w14:textId="77777777" w:rsidTr="00DB63CB">
        <w:tc>
          <w:tcPr>
            <w:tcW w:w="1560" w:type="dxa"/>
            <w:vMerge/>
            <w:tcBorders>
              <w:right w:val="single" w:sz="4" w:space="0" w:color="C6E9FF" w:themeColor="accent1" w:themeTint="66"/>
            </w:tcBorders>
          </w:tcPr>
          <w:p w14:paraId="7DAE53E9" w14:textId="77777777" w:rsidR="00655E7B" w:rsidRPr="00DB63CB" w:rsidRDefault="00655E7B" w:rsidP="004B28FE">
            <w:pPr>
              <w:pStyle w:val="TableText"/>
              <w:rPr>
                <w:sz w:val="20"/>
                <w:szCs w:val="20"/>
              </w:rPr>
            </w:pPr>
          </w:p>
        </w:tc>
        <w:tc>
          <w:tcPr>
            <w:tcW w:w="850" w:type="dxa"/>
            <w:tcBorders>
              <w:top w:val="single" w:sz="4" w:space="0" w:color="BFE7FF" w:themeColor="text2" w:themeTint="33"/>
              <w:left w:val="single" w:sz="4" w:space="0" w:color="C6E9FF" w:themeColor="accent1" w:themeTint="66"/>
              <w:bottom w:val="single" w:sz="4" w:space="0" w:color="BFE7FF" w:themeColor="text2" w:themeTint="33"/>
              <w:right w:val="nil"/>
            </w:tcBorders>
          </w:tcPr>
          <w:p w14:paraId="23D5FED1" w14:textId="77777777" w:rsidR="00655E7B" w:rsidRPr="00DB63CB" w:rsidRDefault="00655E7B" w:rsidP="004B28FE">
            <w:pPr>
              <w:pStyle w:val="TableText"/>
              <w:rPr>
                <w:rStyle w:val="Emphasis"/>
                <w:sz w:val="20"/>
                <w:szCs w:val="20"/>
              </w:rPr>
            </w:pPr>
            <w:r w:rsidRPr="00DB63CB">
              <w:rPr>
                <w:rStyle w:val="Emphasis"/>
                <w:sz w:val="20"/>
                <w:szCs w:val="20"/>
              </w:rPr>
              <w:t>Repeat:</w:t>
            </w:r>
          </w:p>
        </w:tc>
        <w:tc>
          <w:tcPr>
            <w:tcW w:w="4500" w:type="dxa"/>
            <w:tcBorders>
              <w:left w:val="nil"/>
            </w:tcBorders>
          </w:tcPr>
          <w:p w14:paraId="639D646D" w14:textId="7A73D4C0" w:rsidR="00655E7B" w:rsidRPr="00DB63CB" w:rsidRDefault="00655E7B" w:rsidP="004B28FE">
            <w:pPr>
              <w:pStyle w:val="TableText"/>
              <w:jc w:val="both"/>
              <w:rPr>
                <w:sz w:val="20"/>
                <w:szCs w:val="20"/>
              </w:rPr>
            </w:pPr>
            <w:r w:rsidRPr="00DB63CB">
              <w:rPr>
                <w:sz w:val="20"/>
                <w:szCs w:val="20"/>
              </w:rPr>
              <w:t>A person w</w:t>
            </w:r>
            <w:r w:rsidR="007B1278" w:rsidRPr="00DB63CB">
              <w:rPr>
                <w:sz w:val="20"/>
                <w:szCs w:val="20"/>
              </w:rPr>
              <w:t>ho has already adopted a child/</w:t>
            </w:r>
            <w:r w:rsidRPr="00DB63CB">
              <w:rPr>
                <w:sz w:val="20"/>
                <w:szCs w:val="20"/>
              </w:rPr>
              <w:t>children from overseas and am now seeking to adopt another child</w:t>
            </w:r>
          </w:p>
        </w:tc>
        <w:tc>
          <w:tcPr>
            <w:tcW w:w="603" w:type="dxa"/>
            <w:vAlign w:val="center"/>
          </w:tcPr>
          <w:p w14:paraId="282294E6" w14:textId="77777777" w:rsidR="00655E7B" w:rsidRPr="00C61524" w:rsidRDefault="00655E7B" w:rsidP="00DB63CB">
            <w:pPr>
              <w:pStyle w:val="TableTextCentred"/>
              <w:rPr>
                <w:b/>
                <w:sz w:val="20"/>
                <w:szCs w:val="20"/>
              </w:rPr>
            </w:pPr>
            <w:r w:rsidRPr="00C61524">
              <w:rPr>
                <w:b/>
                <w:sz w:val="20"/>
                <w:szCs w:val="20"/>
              </w:rPr>
              <w:t>19</w:t>
            </w:r>
          </w:p>
        </w:tc>
        <w:tc>
          <w:tcPr>
            <w:tcW w:w="851" w:type="dxa"/>
            <w:vAlign w:val="center"/>
          </w:tcPr>
          <w:p w14:paraId="51B6F33A" w14:textId="77777777" w:rsidR="00655E7B" w:rsidRPr="00C61524" w:rsidRDefault="00655E7B" w:rsidP="00DB63CB">
            <w:pPr>
              <w:pStyle w:val="TableTextCentred"/>
              <w:rPr>
                <w:b/>
                <w:sz w:val="20"/>
                <w:szCs w:val="20"/>
              </w:rPr>
            </w:pPr>
            <w:r w:rsidRPr="00C61524">
              <w:rPr>
                <w:b/>
                <w:sz w:val="20"/>
                <w:szCs w:val="20"/>
              </w:rPr>
              <w:t>8.3%</w:t>
            </w:r>
          </w:p>
        </w:tc>
      </w:tr>
      <w:tr w:rsidR="00655E7B" w:rsidRPr="00DB63CB" w14:paraId="47E538E1" w14:textId="77777777" w:rsidTr="00DB63CB">
        <w:tc>
          <w:tcPr>
            <w:tcW w:w="1560" w:type="dxa"/>
            <w:tcBorders>
              <w:right w:val="single" w:sz="4" w:space="0" w:color="C6E9FF" w:themeColor="accent1" w:themeTint="66"/>
            </w:tcBorders>
          </w:tcPr>
          <w:p w14:paraId="2B4E4C09" w14:textId="77777777" w:rsidR="00655E7B" w:rsidRPr="00DB63CB" w:rsidRDefault="00655E7B" w:rsidP="004B28FE">
            <w:pPr>
              <w:pStyle w:val="TableText"/>
              <w:rPr>
                <w:sz w:val="20"/>
                <w:szCs w:val="20"/>
              </w:rPr>
            </w:pPr>
            <w:r w:rsidRPr="00DB63CB">
              <w:rPr>
                <w:sz w:val="20"/>
                <w:szCs w:val="20"/>
              </w:rPr>
              <w:t>Post adoption</w:t>
            </w:r>
          </w:p>
        </w:tc>
        <w:tc>
          <w:tcPr>
            <w:tcW w:w="5350" w:type="dxa"/>
            <w:gridSpan w:val="2"/>
            <w:tcBorders>
              <w:left w:val="single" w:sz="4" w:space="0" w:color="C6E9FF" w:themeColor="accent1" w:themeTint="66"/>
            </w:tcBorders>
          </w:tcPr>
          <w:p w14:paraId="75C7B22F" w14:textId="77777777" w:rsidR="00655E7B" w:rsidRPr="00DB63CB" w:rsidRDefault="00655E7B" w:rsidP="004B28FE">
            <w:pPr>
              <w:pStyle w:val="TableText"/>
              <w:rPr>
                <w:sz w:val="20"/>
                <w:szCs w:val="20"/>
              </w:rPr>
            </w:pPr>
            <w:r w:rsidRPr="00DB63CB">
              <w:rPr>
                <w:sz w:val="20"/>
                <w:szCs w:val="20"/>
              </w:rPr>
              <w:t>A person who has adopted a child from overseas</w:t>
            </w:r>
          </w:p>
        </w:tc>
        <w:tc>
          <w:tcPr>
            <w:tcW w:w="603" w:type="dxa"/>
            <w:vAlign w:val="center"/>
          </w:tcPr>
          <w:p w14:paraId="090BA8C4" w14:textId="77777777" w:rsidR="00655E7B" w:rsidRPr="00C61524" w:rsidRDefault="00655E7B" w:rsidP="00DB63CB">
            <w:pPr>
              <w:pStyle w:val="TableTextCentred"/>
              <w:rPr>
                <w:b/>
                <w:sz w:val="20"/>
                <w:szCs w:val="20"/>
              </w:rPr>
            </w:pPr>
            <w:r w:rsidRPr="00C61524">
              <w:rPr>
                <w:b/>
                <w:sz w:val="20"/>
                <w:szCs w:val="20"/>
              </w:rPr>
              <w:t>73</w:t>
            </w:r>
          </w:p>
        </w:tc>
        <w:tc>
          <w:tcPr>
            <w:tcW w:w="851" w:type="dxa"/>
            <w:vAlign w:val="center"/>
          </w:tcPr>
          <w:p w14:paraId="1F562C11" w14:textId="77777777" w:rsidR="00655E7B" w:rsidRPr="00C61524" w:rsidRDefault="00655E7B" w:rsidP="00DB63CB">
            <w:pPr>
              <w:pStyle w:val="TableTextCentred"/>
              <w:rPr>
                <w:b/>
                <w:sz w:val="20"/>
                <w:szCs w:val="20"/>
              </w:rPr>
            </w:pPr>
            <w:r w:rsidRPr="00C61524">
              <w:rPr>
                <w:b/>
                <w:sz w:val="20"/>
                <w:szCs w:val="20"/>
              </w:rPr>
              <w:t>31.7%</w:t>
            </w:r>
          </w:p>
        </w:tc>
      </w:tr>
      <w:tr w:rsidR="00655E7B" w:rsidRPr="00DB63CB" w14:paraId="401D2712" w14:textId="77777777" w:rsidTr="00DB63CB">
        <w:tc>
          <w:tcPr>
            <w:tcW w:w="1560" w:type="dxa"/>
            <w:tcBorders>
              <w:right w:val="single" w:sz="4" w:space="0" w:color="C6E9FF" w:themeColor="accent1" w:themeTint="66"/>
            </w:tcBorders>
          </w:tcPr>
          <w:p w14:paraId="3FC3EC20" w14:textId="77777777" w:rsidR="00655E7B" w:rsidRPr="00DB63CB" w:rsidRDefault="00655E7B" w:rsidP="004B28FE">
            <w:pPr>
              <w:pStyle w:val="TableText"/>
              <w:rPr>
                <w:sz w:val="20"/>
                <w:szCs w:val="20"/>
              </w:rPr>
            </w:pPr>
            <w:r w:rsidRPr="00DB63CB">
              <w:rPr>
                <w:sz w:val="20"/>
                <w:szCs w:val="20"/>
              </w:rPr>
              <w:t>Did not continue</w:t>
            </w:r>
          </w:p>
        </w:tc>
        <w:tc>
          <w:tcPr>
            <w:tcW w:w="5350" w:type="dxa"/>
            <w:gridSpan w:val="2"/>
            <w:tcBorders>
              <w:left w:val="single" w:sz="4" w:space="0" w:color="C6E9FF" w:themeColor="accent1" w:themeTint="66"/>
            </w:tcBorders>
          </w:tcPr>
          <w:p w14:paraId="5A46600A" w14:textId="77777777" w:rsidR="00655E7B" w:rsidRPr="00DB63CB" w:rsidRDefault="00655E7B" w:rsidP="004B28FE">
            <w:pPr>
              <w:pStyle w:val="TableText"/>
              <w:rPr>
                <w:sz w:val="20"/>
                <w:szCs w:val="20"/>
              </w:rPr>
            </w:pPr>
            <w:r w:rsidRPr="00DB63CB">
              <w:rPr>
                <w:sz w:val="20"/>
                <w:szCs w:val="20"/>
              </w:rPr>
              <w:t>A person who has decided against adopting a child from overseas</w:t>
            </w:r>
          </w:p>
        </w:tc>
        <w:tc>
          <w:tcPr>
            <w:tcW w:w="603" w:type="dxa"/>
            <w:vAlign w:val="center"/>
          </w:tcPr>
          <w:p w14:paraId="58DF465C" w14:textId="77777777" w:rsidR="00655E7B" w:rsidRPr="00C61524" w:rsidRDefault="00655E7B" w:rsidP="00DB63CB">
            <w:pPr>
              <w:pStyle w:val="TableTextCentred"/>
              <w:rPr>
                <w:b/>
                <w:sz w:val="20"/>
                <w:szCs w:val="20"/>
              </w:rPr>
            </w:pPr>
            <w:r w:rsidRPr="00C61524">
              <w:rPr>
                <w:b/>
                <w:sz w:val="20"/>
                <w:szCs w:val="20"/>
              </w:rPr>
              <w:t>20</w:t>
            </w:r>
          </w:p>
        </w:tc>
        <w:tc>
          <w:tcPr>
            <w:tcW w:w="851" w:type="dxa"/>
            <w:vAlign w:val="center"/>
          </w:tcPr>
          <w:p w14:paraId="089B1263" w14:textId="77777777" w:rsidR="00655E7B" w:rsidRPr="00C61524" w:rsidRDefault="00655E7B" w:rsidP="00DB63CB">
            <w:pPr>
              <w:pStyle w:val="TableTextCentred"/>
              <w:rPr>
                <w:b/>
                <w:sz w:val="20"/>
                <w:szCs w:val="20"/>
              </w:rPr>
            </w:pPr>
            <w:r w:rsidRPr="00C61524">
              <w:rPr>
                <w:b/>
                <w:sz w:val="20"/>
                <w:szCs w:val="20"/>
              </w:rPr>
              <w:t>8.7%</w:t>
            </w:r>
          </w:p>
        </w:tc>
      </w:tr>
      <w:tr w:rsidR="00655E7B" w:rsidRPr="00DB63CB" w14:paraId="2B677523" w14:textId="77777777" w:rsidTr="00DB63CB">
        <w:tc>
          <w:tcPr>
            <w:tcW w:w="1560" w:type="dxa"/>
            <w:tcBorders>
              <w:right w:val="single" w:sz="4" w:space="0" w:color="C6E9FF" w:themeColor="accent1" w:themeTint="66"/>
            </w:tcBorders>
          </w:tcPr>
          <w:p w14:paraId="3970C5D7" w14:textId="77777777" w:rsidR="00655E7B" w:rsidRPr="00DB63CB" w:rsidRDefault="00655E7B" w:rsidP="004B28FE">
            <w:pPr>
              <w:pStyle w:val="TableText"/>
              <w:rPr>
                <w:sz w:val="20"/>
                <w:szCs w:val="20"/>
              </w:rPr>
            </w:pPr>
            <w:r w:rsidRPr="00DB63CB">
              <w:rPr>
                <w:sz w:val="20"/>
                <w:szCs w:val="20"/>
              </w:rPr>
              <w:t>Adult adoptee</w:t>
            </w:r>
          </w:p>
        </w:tc>
        <w:tc>
          <w:tcPr>
            <w:tcW w:w="5350" w:type="dxa"/>
            <w:gridSpan w:val="2"/>
            <w:tcBorders>
              <w:left w:val="single" w:sz="4" w:space="0" w:color="C6E9FF" w:themeColor="accent1" w:themeTint="66"/>
            </w:tcBorders>
          </w:tcPr>
          <w:p w14:paraId="002BF9F0" w14:textId="77777777" w:rsidR="00655E7B" w:rsidRPr="00DB63CB" w:rsidRDefault="00655E7B" w:rsidP="004B28FE">
            <w:pPr>
              <w:pStyle w:val="TableText"/>
              <w:rPr>
                <w:sz w:val="20"/>
                <w:szCs w:val="20"/>
              </w:rPr>
            </w:pPr>
            <w:r w:rsidRPr="00DB63CB">
              <w:rPr>
                <w:sz w:val="20"/>
                <w:szCs w:val="20"/>
              </w:rPr>
              <w:t>An adoptee from overseas</w:t>
            </w:r>
          </w:p>
        </w:tc>
        <w:tc>
          <w:tcPr>
            <w:tcW w:w="603" w:type="dxa"/>
            <w:vAlign w:val="center"/>
          </w:tcPr>
          <w:p w14:paraId="32200FA1" w14:textId="77777777" w:rsidR="00655E7B" w:rsidRPr="00C61524" w:rsidRDefault="00655E7B" w:rsidP="00DB63CB">
            <w:pPr>
              <w:pStyle w:val="TableTextCentred"/>
              <w:rPr>
                <w:b/>
                <w:sz w:val="20"/>
                <w:szCs w:val="20"/>
              </w:rPr>
            </w:pPr>
            <w:r w:rsidRPr="00C61524">
              <w:rPr>
                <w:b/>
                <w:sz w:val="20"/>
                <w:szCs w:val="20"/>
              </w:rPr>
              <w:t>5</w:t>
            </w:r>
          </w:p>
        </w:tc>
        <w:tc>
          <w:tcPr>
            <w:tcW w:w="851" w:type="dxa"/>
            <w:vAlign w:val="center"/>
          </w:tcPr>
          <w:p w14:paraId="13046A1C" w14:textId="77777777" w:rsidR="00655E7B" w:rsidRPr="00C61524" w:rsidRDefault="00655E7B" w:rsidP="00DB63CB">
            <w:pPr>
              <w:pStyle w:val="TableTextCentred"/>
              <w:rPr>
                <w:b/>
                <w:sz w:val="20"/>
                <w:szCs w:val="20"/>
              </w:rPr>
            </w:pPr>
            <w:r w:rsidRPr="00C61524">
              <w:rPr>
                <w:b/>
                <w:sz w:val="20"/>
                <w:szCs w:val="20"/>
              </w:rPr>
              <w:t>2.2%</w:t>
            </w:r>
          </w:p>
        </w:tc>
      </w:tr>
      <w:tr w:rsidR="00655E7B" w:rsidRPr="00DB63CB" w14:paraId="7CEFDCEA" w14:textId="77777777" w:rsidTr="00DB63CB">
        <w:tc>
          <w:tcPr>
            <w:tcW w:w="1560" w:type="dxa"/>
            <w:tcBorders>
              <w:right w:val="single" w:sz="4" w:space="0" w:color="C6E9FF" w:themeColor="accent1" w:themeTint="66"/>
            </w:tcBorders>
          </w:tcPr>
          <w:p w14:paraId="3B0585B3" w14:textId="77777777" w:rsidR="00655E7B" w:rsidRPr="00DB63CB" w:rsidRDefault="00655E7B" w:rsidP="004B28FE">
            <w:pPr>
              <w:pStyle w:val="TableText"/>
              <w:rPr>
                <w:sz w:val="20"/>
                <w:szCs w:val="20"/>
              </w:rPr>
            </w:pPr>
            <w:r w:rsidRPr="00DB63CB">
              <w:rPr>
                <w:sz w:val="20"/>
                <w:szCs w:val="20"/>
              </w:rPr>
              <w:t>Ineligible</w:t>
            </w:r>
          </w:p>
        </w:tc>
        <w:tc>
          <w:tcPr>
            <w:tcW w:w="5350" w:type="dxa"/>
            <w:gridSpan w:val="2"/>
            <w:tcBorders>
              <w:left w:val="single" w:sz="4" w:space="0" w:color="C6E9FF" w:themeColor="accent1" w:themeTint="66"/>
            </w:tcBorders>
          </w:tcPr>
          <w:p w14:paraId="5DE6F087" w14:textId="77777777" w:rsidR="00655E7B" w:rsidRPr="00DB63CB" w:rsidRDefault="00655E7B" w:rsidP="004B28FE">
            <w:pPr>
              <w:pStyle w:val="TableText"/>
              <w:rPr>
                <w:sz w:val="20"/>
                <w:szCs w:val="20"/>
              </w:rPr>
            </w:pPr>
            <w:r w:rsidRPr="00DB63CB">
              <w:rPr>
                <w:sz w:val="20"/>
                <w:szCs w:val="20"/>
              </w:rPr>
              <w:t>Survey respondent who was not eligible for the ICA program</w:t>
            </w:r>
          </w:p>
        </w:tc>
        <w:tc>
          <w:tcPr>
            <w:tcW w:w="603" w:type="dxa"/>
            <w:vAlign w:val="center"/>
          </w:tcPr>
          <w:p w14:paraId="7FA65656" w14:textId="77777777" w:rsidR="00655E7B" w:rsidRPr="00C61524" w:rsidRDefault="00655E7B" w:rsidP="00DB63CB">
            <w:pPr>
              <w:pStyle w:val="TableTextCentred"/>
              <w:rPr>
                <w:b/>
                <w:sz w:val="20"/>
                <w:szCs w:val="20"/>
              </w:rPr>
            </w:pPr>
            <w:r w:rsidRPr="00C61524">
              <w:rPr>
                <w:b/>
                <w:sz w:val="20"/>
                <w:szCs w:val="20"/>
              </w:rPr>
              <w:t>5</w:t>
            </w:r>
          </w:p>
        </w:tc>
        <w:tc>
          <w:tcPr>
            <w:tcW w:w="851" w:type="dxa"/>
            <w:vAlign w:val="center"/>
          </w:tcPr>
          <w:p w14:paraId="2B4B25A4" w14:textId="77777777" w:rsidR="00655E7B" w:rsidRPr="00C61524" w:rsidRDefault="00655E7B" w:rsidP="00DB63CB">
            <w:pPr>
              <w:pStyle w:val="TableTextCentred"/>
              <w:rPr>
                <w:b/>
                <w:sz w:val="20"/>
                <w:szCs w:val="20"/>
              </w:rPr>
            </w:pPr>
            <w:r w:rsidRPr="00C61524">
              <w:rPr>
                <w:b/>
                <w:sz w:val="20"/>
                <w:szCs w:val="20"/>
              </w:rPr>
              <w:t>2.2%</w:t>
            </w:r>
          </w:p>
        </w:tc>
      </w:tr>
      <w:tr w:rsidR="00655E7B" w:rsidRPr="00DB63CB" w14:paraId="0581F19C" w14:textId="77777777" w:rsidTr="004B28FE">
        <w:tc>
          <w:tcPr>
            <w:tcW w:w="6910" w:type="dxa"/>
            <w:gridSpan w:val="3"/>
          </w:tcPr>
          <w:p w14:paraId="18FB0322" w14:textId="77777777" w:rsidR="00655E7B" w:rsidRPr="00DB63CB" w:rsidDel="00BA0468" w:rsidRDefault="00655E7B" w:rsidP="004B28FE">
            <w:pPr>
              <w:pStyle w:val="TableText"/>
              <w:jc w:val="right"/>
              <w:rPr>
                <w:rStyle w:val="Strong"/>
                <w:sz w:val="20"/>
                <w:szCs w:val="20"/>
              </w:rPr>
            </w:pPr>
            <w:r w:rsidRPr="00DB63CB">
              <w:rPr>
                <w:rStyle w:val="Strong"/>
                <w:sz w:val="20"/>
                <w:szCs w:val="20"/>
              </w:rPr>
              <w:t>Total</w:t>
            </w:r>
          </w:p>
        </w:tc>
        <w:tc>
          <w:tcPr>
            <w:tcW w:w="603" w:type="dxa"/>
            <w:vAlign w:val="center"/>
          </w:tcPr>
          <w:p w14:paraId="70B3E838" w14:textId="77777777" w:rsidR="00655E7B" w:rsidRPr="00DB63CB" w:rsidRDefault="00655E7B" w:rsidP="004B28FE">
            <w:pPr>
              <w:pStyle w:val="TableTextCentred"/>
              <w:rPr>
                <w:rStyle w:val="Strong"/>
                <w:sz w:val="20"/>
                <w:szCs w:val="20"/>
              </w:rPr>
            </w:pPr>
            <w:r w:rsidRPr="00DB63CB">
              <w:rPr>
                <w:rStyle w:val="Strong"/>
                <w:sz w:val="20"/>
                <w:szCs w:val="20"/>
              </w:rPr>
              <w:t>230</w:t>
            </w:r>
          </w:p>
        </w:tc>
        <w:tc>
          <w:tcPr>
            <w:tcW w:w="851" w:type="dxa"/>
          </w:tcPr>
          <w:p w14:paraId="40E0A760" w14:textId="77777777" w:rsidR="00655E7B" w:rsidRPr="00DB63CB" w:rsidRDefault="00655E7B" w:rsidP="004B28FE">
            <w:pPr>
              <w:pStyle w:val="TableTextCentred"/>
              <w:rPr>
                <w:rStyle w:val="Strong"/>
                <w:sz w:val="20"/>
                <w:szCs w:val="20"/>
              </w:rPr>
            </w:pPr>
            <w:r w:rsidRPr="00DB63CB">
              <w:rPr>
                <w:rStyle w:val="Strong"/>
                <w:sz w:val="20"/>
                <w:szCs w:val="20"/>
              </w:rPr>
              <w:t>100.0%</w:t>
            </w:r>
          </w:p>
        </w:tc>
      </w:tr>
    </w:tbl>
    <w:p w14:paraId="651E9814" w14:textId="77777777" w:rsidR="00655E7B" w:rsidRDefault="00655E7B" w:rsidP="00E26B30">
      <w:pPr>
        <w:pStyle w:val="Heading9"/>
      </w:pPr>
      <w:r>
        <w:t>Profile of respondents who considered/adopted from overseas</w:t>
      </w:r>
    </w:p>
    <w:p w14:paraId="61BD3020" w14:textId="7E68F098" w:rsidR="00655E7B" w:rsidRDefault="00655E7B" w:rsidP="00655E7B">
      <w:pPr>
        <w:spacing w:before="240" w:after="240" w:line="264" w:lineRule="auto"/>
        <w:rPr>
          <w:lang w:eastAsia="en-AU"/>
        </w:rPr>
      </w:pPr>
      <w:r>
        <w:rPr>
          <w:lang w:eastAsia="en-AU"/>
        </w:rPr>
        <w:t xml:space="preserve">The analysis presented in the following sections relates to the 220 </w:t>
      </w:r>
      <w:r w:rsidR="000421C3">
        <w:rPr>
          <w:lang w:eastAsia="en-AU"/>
        </w:rPr>
        <w:t xml:space="preserve">parental </w:t>
      </w:r>
      <w:r>
        <w:rPr>
          <w:lang w:eastAsia="en-AU"/>
        </w:rPr>
        <w:t xml:space="preserve">respondents who were either considering ICA, had already adopted or had decided not to proceed.  Responses from the five ineligible respondents and the five adult adoptees are excluded from the descriptive statistics </w:t>
      </w:r>
      <w:r w:rsidR="00C61524">
        <w:rPr>
          <w:lang w:eastAsia="en-AU"/>
        </w:rPr>
        <w:t xml:space="preserve">in </w:t>
      </w:r>
      <w:r>
        <w:rPr>
          <w:lang w:eastAsia="en-AU"/>
        </w:rPr>
        <w:t xml:space="preserve">this section.  </w:t>
      </w:r>
    </w:p>
    <w:p w14:paraId="48EC28CF" w14:textId="77777777" w:rsidR="00655E7B" w:rsidRDefault="00655E7B" w:rsidP="00655E7B">
      <w:pPr>
        <w:spacing w:before="240" w:after="240" w:line="264" w:lineRule="auto"/>
        <w:rPr>
          <w:lang w:eastAsia="en-AU"/>
        </w:rPr>
      </w:pPr>
      <w:r>
        <w:rPr>
          <w:lang w:eastAsia="en-AU"/>
        </w:rPr>
        <w:t>It is important to note that not all respondents provided responses to all survey questions.</w:t>
      </w:r>
    </w:p>
    <w:p w14:paraId="26E65D13" w14:textId="77777777" w:rsidR="00655E7B" w:rsidRPr="002B5E7B" w:rsidRDefault="00655E7B" w:rsidP="00E26B30">
      <w:pPr>
        <w:pStyle w:val="Heading10"/>
      </w:pPr>
      <w:r>
        <w:lastRenderedPageBreak/>
        <w:t>Year respondents started the ICA process</w:t>
      </w:r>
    </w:p>
    <w:p w14:paraId="6E8D6D81" w14:textId="0FE05942" w:rsidR="00D32517" w:rsidRPr="00F673EB" w:rsidRDefault="00655E7B" w:rsidP="00655E7B">
      <w:pPr>
        <w:pStyle w:val="Paragraph"/>
      </w:pPr>
      <w:r w:rsidRPr="00F673EB">
        <w:t xml:space="preserve">Of those respondents who answered a question </w:t>
      </w:r>
      <w:r w:rsidR="00C61524">
        <w:t>regarding</w:t>
      </w:r>
      <w:r w:rsidRPr="00F673EB">
        <w:t xml:space="preserve"> the year they started the adoption process they were currently involved in, mo</w:t>
      </w:r>
      <w:r w:rsidR="00F673EB" w:rsidRPr="00F673EB">
        <w:t>re than half (</w:t>
      </w:r>
      <w:r w:rsidR="00F673EB">
        <w:t xml:space="preserve">51.3%) did so prior to the implementation of IAA </w:t>
      </w:r>
      <w:r w:rsidRPr="00F673EB">
        <w:t>(</w:t>
      </w:r>
      <w:r w:rsidR="00F673EB" w:rsidRPr="00F673EB">
        <w:rPr>
          <w:rStyle w:val="Emphasis"/>
        </w:rPr>
        <w:t>Table B-3</w:t>
      </w:r>
      <w:r w:rsidRPr="00F673EB">
        <w:t xml:space="preserve">).  </w:t>
      </w:r>
      <w:r w:rsidR="00F673EB">
        <w:t>Just over a quarter of respondents (2638%) began their engagement with ICA</w:t>
      </w:r>
      <w:r w:rsidR="00F673EB" w:rsidRPr="00F673EB">
        <w:t xml:space="preserve"> </w:t>
      </w:r>
      <w:r w:rsidR="00F673EB" w:rsidRPr="00F673EB">
        <w:rPr>
          <w:bCs/>
        </w:rPr>
        <w:t xml:space="preserve">in 2015/2016. </w:t>
      </w:r>
    </w:p>
    <w:p w14:paraId="42AED244" w14:textId="15025DFA" w:rsidR="00655E7B" w:rsidRDefault="007F0F4F" w:rsidP="00655E7B">
      <w:pPr>
        <w:pStyle w:val="Caption"/>
      </w:pPr>
      <w:r w:rsidRPr="00F673EB">
        <w:t>Table </w:t>
      </w:r>
      <w:r w:rsidRPr="00F673EB">
        <w:fldChar w:fldCharType="begin"/>
      </w:r>
      <w:r w:rsidRPr="00F673EB">
        <w:instrText xml:space="preserve"> STYLEREF 7 \s </w:instrText>
      </w:r>
      <w:r w:rsidRPr="00F673EB">
        <w:fldChar w:fldCharType="separate"/>
      </w:r>
      <w:r w:rsidR="00487073">
        <w:rPr>
          <w:noProof/>
        </w:rPr>
        <w:t>C</w:t>
      </w:r>
      <w:r w:rsidRPr="00F673EB">
        <w:fldChar w:fldCharType="end"/>
      </w:r>
      <w:r w:rsidRPr="00F673EB">
        <w:noBreakHyphen/>
      </w:r>
      <w:r w:rsidRPr="00F673EB">
        <w:fldChar w:fldCharType="begin"/>
      </w:r>
      <w:r w:rsidRPr="00F673EB">
        <w:instrText xml:space="preserve"> SEQ Table_Apx \* ARABIC \s 7 </w:instrText>
      </w:r>
      <w:r w:rsidRPr="00F673EB">
        <w:fldChar w:fldCharType="separate"/>
      </w:r>
      <w:r w:rsidR="00487073">
        <w:rPr>
          <w:noProof/>
        </w:rPr>
        <w:t>3</w:t>
      </w:r>
      <w:r w:rsidRPr="00F673EB">
        <w:fldChar w:fldCharType="end"/>
      </w:r>
      <w:r w:rsidRPr="00F673EB">
        <w:t>:</w:t>
      </w:r>
      <w:r w:rsidRPr="00F673EB">
        <w:tab/>
      </w:r>
      <w:r w:rsidR="00655E7B" w:rsidRPr="00F673EB">
        <w:t>Year respondent commenced current adoption process</w:t>
      </w:r>
    </w:p>
    <w:tbl>
      <w:tblPr>
        <w:tblStyle w:val="TableGrid"/>
        <w:tblW w:w="9498" w:type="dxa"/>
        <w:tblInd w:w="108"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Description w:val="Table C 3: Year respondent commenced current adoption process"/>
      </w:tblPr>
      <w:tblGrid>
        <w:gridCol w:w="1841"/>
        <w:gridCol w:w="765"/>
        <w:gridCol w:w="766"/>
        <w:gridCol w:w="765"/>
        <w:gridCol w:w="766"/>
        <w:gridCol w:w="766"/>
        <w:gridCol w:w="766"/>
        <w:gridCol w:w="765"/>
        <w:gridCol w:w="766"/>
        <w:gridCol w:w="765"/>
        <w:gridCol w:w="767"/>
      </w:tblGrid>
      <w:tr w:rsidR="000421C3" w:rsidRPr="00E61AC8" w14:paraId="4554AC89" w14:textId="77777777" w:rsidTr="008E7495">
        <w:trPr>
          <w:trHeight w:val="658"/>
          <w:tblHeader/>
        </w:trPr>
        <w:tc>
          <w:tcPr>
            <w:tcW w:w="1841" w:type="dxa"/>
            <w:vMerge w:val="restart"/>
            <w:tcBorders>
              <w:top w:val="single" w:sz="4" w:space="0" w:color="BFE7FF" w:themeColor="text2" w:themeTint="33"/>
            </w:tcBorders>
            <w:shd w:val="clear" w:color="auto" w:fill="0079C1" w:themeFill="text2"/>
            <w:vAlign w:val="center"/>
          </w:tcPr>
          <w:p w14:paraId="110A4B49" w14:textId="77777777" w:rsidR="000421C3" w:rsidRPr="00E61AC8" w:rsidRDefault="000421C3" w:rsidP="002822C7">
            <w:pPr>
              <w:keepLines/>
              <w:tabs>
                <w:tab w:val="left" w:pos="318"/>
              </w:tabs>
              <w:spacing w:before="120" w:after="120"/>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Year started</w:t>
            </w:r>
          </w:p>
        </w:tc>
        <w:tc>
          <w:tcPr>
            <w:tcW w:w="3062" w:type="dxa"/>
            <w:gridSpan w:val="4"/>
            <w:tcBorders>
              <w:top w:val="single" w:sz="4" w:space="0" w:color="BFE7FF" w:themeColor="text2" w:themeTint="33"/>
              <w:bottom w:val="single" w:sz="4" w:space="0" w:color="BFE7FF" w:themeColor="text2" w:themeTint="33"/>
            </w:tcBorders>
            <w:shd w:val="clear" w:color="auto" w:fill="0079C1" w:themeFill="text2"/>
          </w:tcPr>
          <w:p w14:paraId="52F6F3C7" w14:textId="77777777" w:rsidR="000421C3" w:rsidRPr="00E61AC8" w:rsidRDefault="000421C3" w:rsidP="002822C7">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Wanting to adopt</w:t>
            </w:r>
          </w:p>
        </w:tc>
        <w:tc>
          <w:tcPr>
            <w:tcW w:w="1532" w:type="dxa"/>
            <w:gridSpan w:val="2"/>
            <w:vMerge w:val="restart"/>
            <w:tcBorders>
              <w:top w:val="single" w:sz="4" w:space="0" w:color="BFE7FF" w:themeColor="text2" w:themeTint="33"/>
            </w:tcBorders>
            <w:shd w:val="clear" w:color="auto" w:fill="0079C1" w:themeFill="text2"/>
            <w:vAlign w:val="center"/>
          </w:tcPr>
          <w:p w14:paraId="66F30556" w14:textId="77777777" w:rsidR="000421C3" w:rsidRPr="00E61AC8" w:rsidRDefault="000421C3" w:rsidP="002822C7">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Post adoption</w:t>
            </w:r>
          </w:p>
        </w:tc>
        <w:tc>
          <w:tcPr>
            <w:tcW w:w="1531" w:type="dxa"/>
            <w:gridSpan w:val="2"/>
            <w:vMerge w:val="restart"/>
            <w:tcBorders>
              <w:top w:val="single" w:sz="4" w:space="0" w:color="BFE7FF" w:themeColor="text2" w:themeTint="33"/>
            </w:tcBorders>
            <w:shd w:val="clear" w:color="auto" w:fill="0079C1" w:themeFill="text2"/>
            <w:vAlign w:val="center"/>
          </w:tcPr>
          <w:p w14:paraId="1420B19A" w14:textId="77777777" w:rsidR="000421C3" w:rsidRPr="00E61AC8" w:rsidRDefault="000421C3" w:rsidP="002822C7">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Did not continue</w:t>
            </w:r>
          </w:p>
        </w:tc>
        <w:tc>
          <w:tcPr>
            <w:tcW w:w="1532" w:type="dxa"/>
            <w:gridSpan w:val="2"/>
            <w:vMerge w:val="restart"/>
            <w:tcBorders>
              <w:top w:val="single" w:sz="4" w:space="0" w:color="BFE7FF" w:themeColor="text2" w:themeTint="33"/>
            </w:tcBorders>
            <w:shd w:val="clear" w:color="auto" w:fill="0079C1" w:themeFill="text2"/>
            <w:vAlign w:val="center"/>
          </w:tcPr>
          <w:p w14:paraId="454A1000" w14:textId="77777777" w:rsidR="000421C3" w:rsidRPr="00E61AC8" w:rsidRDefault="000421C3" w:rsidP="002822C7">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Total</w:t>
            </w:r>
          </w:p>
        </w:tc>
      </w:tr>
      <w:tr w:rsidR="000421C3" w:rsidRPr="00E61AC8" w14:paraId="12FFC65A" w14:textId="77777777" w:rsidTr="008E7495">
        <w:trPr>
          <w:trHeight w:val="454"/>
          <w:tblHeader/>
        </w:trPr>
        <w:tc>
          <w:tcPr>
            <w:tcW w:w="1841" w:type="dxa"/>
            <w:vMerge/>
            <w:shd w:val="clear" w:color="auto" w:fill="0079C1" w:themeFill="text2"/>
            <w:vAlign w:val="center"/>
          </w:tcPr>
          <w:p w14:paraId="5C6BEA1F" w14:textId="77777777" w:rsidR="000421C3" w:rsidRPr="00E61AC8" w:rsidRDefault="000421C3" w:rsidP="002822C7">
            <w:pPr>
              <w:keepLines/>
              <w:tabs>
                <w:tab w:val="left" w:pos="318"/>
              </w:tabs>
              <w:spacing w:before="120" w:after="120"/>
              <w:rPr>
                <w:rFonts w:eastAsiaTheme="minorHAnsi" w:cs="Calibri"/>
                <w:b/>
                <w:color w:val="FFFFFF" w:themeColor="background1"/>
                <w:sz w:val="20"/>
                <w:szCs w:val="20"/>
                <w:lang w:eastAsia="en-AU"/>
              </w:rPr>
            </w:pPr>
          </w:p>
        </w:tc>
        <w:tc>
          <w:tcPr>
            <w:tcW w:w="1531" w:type="dxa"/>
            <w:gridSpan w:val="2"/>
            <w:tcBorders>
              <w:top w:val="nil"/>
              <w:bottom w:val="single" w:sz="4" w:space="0" w:color="BFE7FF" w:themeColor="text2" w:themeTint="33"/>
            </w:tcBorders>
            <w:shd w:val="clear" w:color="auto" w:fill="0079C1" w:themeFill="text2"/>
          </w:tcPr>
          <w:p w14:paraId="330185BF" w14:textId="77777777" w:rsidR="000421C3" w:rsidRPr="00E61AC8" w:rsidRDefault="000421C3" w:rsidP="002822C7">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First time</w:t>
            </w:r>
          </w:p>
        </w:tc>
        <w:tc>
          <w:tcPr>
            <w:tcW w:w="1531" w:type="dxa"/>
            <w:gridSpan w:val="2"/>
            <w:tcBorders>
              <w:top w:val="nil"/>
              <w:bottom w:val="single" w:sz="4" w:space="0" w:color="BFE7FF" w:themeColor="text2" w:themeTint="33"/>
            </w:tcBorders>
            <w:shd w:val="clear" w:color="auto" w:fill="0079C1" w:themeFill="text2"/>
          </w:tcPr>
          <w:p w14:paraId="5C74CC19" w14:textId="77777777" w:rsidR="000421C3" w:rsidRPr="00E61AC8" w:rsidRDefault="000421C3" w:rsidP="002822C7">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Repeat</w:t>
            </w:r>
          </w:p>
        </w:tc>
        <w:tc>
          <w:tcPr>
            <w:tcW w:w="1532" w:type="dxa"/>
            <w:gridSpan w:val="2"/>
            <w:vMerge/>
            <w:tcBorders>
              <w:bottom w:val="single" w:sz="4" w:space="0" w:color="BFE7FF" w:themeColor="text2" w:themeTint="33"/>
            </w:tcBorders>
            <w:shd w:val="clear" w:color="auto" w:fill="0079C1" w:themeFill="text2"/>
          </w:tcPr>
          <w:p w14:paraId="07C6C183" w14:textId="77777777" w:rsidR="000421C3" w:rsidRPr="00E61AC8" w:rsidRDefault="000421C3" w:rsidP="002822C7">
            <w:pPr>
              <w:keepLines/>
              <w:tabs>
                <w:tab w:val="left" w:pos="318"/>
              </w:tabs>
              <w:spacing w:before="120" w:after="120"/>
              <w:jc w:val="center"/>
              <w:rPr>
                <w:rFonts w:eastAsiaTheme="minorHAnsi" w:cs="Calibri"/>
                <w:b/>
                <w:color w:val="FFFFFF" w:themeColor="background1"/>
                <w:sz w:val="20"/>
                <w:szCs w:val="20"/>
                <w:lang w:eastAsia="en-AU"/>
              </w:rPr>
            </w:pPr>
          </w:p>
        </w:tc>
        <w:tc>
          <w:tcPr>
            <w:tcW w:w="1531" w:type="dxa"/>
            <w:gridSpan w:val="2"/>
            <w:vMerge/>
            <w:tcBorders>
              <w:bottom w:val="single" w:sz="4" w:space="0" w:color="BFE7FF" w:themeColor="text2" w:themeTint="33"/>
            </w:tcBorders>
            <w:shd w:val="clear" w:color="auto" w:fill="0079C1" w:themeFill="text2"/>
          </w:tcPr>
          <w:p w14:paraId="6EFA7DAD" w14:textId="77777777" w:rsidR="000421C3" w:rsidRPr="00E61AC8" w:rsidRDefault="000421C3" w:rsidP="002822C7">
            <w:pPr>
              <w:keepLines/>
              <w:tabs>
                <w:tab w:val="left" w:pos="318"/>
              </w:tabs>
              <w:spacing w:before="120" w:after="120"/>
              <w:jc w:val="center"/>
              <w:rPr>
                <w:rFonts w:eastAsiaTheme="minorHAnsi" w:cs="Calibri"/>
                <w:b/>
                <w:color w:val="FFFFFF" w:themeColor="background1"/>
                <w:sz w:val="20"/>
                <w:szCs w:val="20"/>
                <w:lang w:eastAsia="en-AU"/>
              </w:rPr>
            </w:pPr>
          </w:p>
        </w:tc>
        <w:tc>
          <w:tcPr>
            <w:tcW w:w="1532" w:type="dxa"/>
            <w:gridSpan w:val="2"/>
            <w:vMerge/>
            <w:tcBorders>
              <w:bottom w:val="single" w:sz="4" w:space="0" w:color="BFE7FF" w:themeColor="text2" w:themeTint="33"/>
            </w:tcBorders>
            <w:shd w:val="clear" w:color="auto" w:fill="0079C1" w:themeFill="text2"/>
          </w:tcPr>
          <w:p w14:paraId="1AB453CE" w14:textId="77777777" w:rsidR="000421C3" w:rsidRPr="00E61AC8" w:rsidRDefault="000421C3" w:rsidP="002822C7">
            <w:pPr>
              <w:keepLines/>
              <w:tabs>
                <w:tab w:val="left" w:pos="318"/>
              </w:tabs>
              <w:spacing w:before="120" w:after="120"/>
              <w:jc w:val="center"/>
              <w:rPr>
                <w:rFonts w:eastAsiaTheme="minorHAnsi" w:cs="Calibri"/>
                <w:b/>
                <w:color w:val="FFFFFF" w:themeColor="background1"/>
                <w:sz w:val="20"/>
                <w:szCs w:val="20"/>
                <w:lang w:eastAsia="en-AU"/>
              </w:rPr>
            </w:pPr>
          </w:p>
        </w:tc>
      </w:tr>
      <w:tr w:rsidR="000421C3" w:rsidRPr="00E61AC8" w14:paraId="5E127053" w14:textId="77777777" w:rsidTr="008E7495">
        <w:trPr>
          <w:tblHeader/>
        </w:trPr>
        <w:tc>
          <w:tcPr>
            <w:tcW w:w="1841" w:type="dxa"/>
            <w:vMerge/>
          </w:tcPr>
          <w:p w14:paraId="79692D3A" w14:textId="77777777" w:rsidR="000421C3" w:rsidRPr="00E61AC8" w:rsidRDefault="000421C3" w:rsidP="002822C7">
            <w:pPr>
              <w:tabs>
                <w:tab w:val="left" w:pos="318"/>
              </w:tabs>
              <w:spacing w:before="60" w:after="60"/>
              <w:rPr>
                <w:rFonts w:cs="Arial"/>
                <w:color w:val="333333"/>
                <w:sz w:val="20"/>
                <w:szCs w:val="20"/>
              </w:rPr>
            </w:pPr>
          </w:p>
        </w:tc>
        <w:tc>
          <w:tcPr>
            <w:tcW w:w="765" w:type="dxa"/>
            <w:tcBorders>
              <w:top w:val="single" w:sz="4" w:space="0" w:color="BFE7FF" w:themeColor="text2" w:themeTint="33"/>
            </w:tcBorders>
            <w:shd w:val="clear" w:color="auto" w:fill="0079C1" w:themeFill="text2"/>
          </w:tcPr>
          <w:p w14:paraId="52F915A9" w14:textId="77777777" w:rsidR="000421C3" w:rsidRPr="00E61AC8" w:rsidRDefault="000421C3" w:rsidP="002822C7">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n</w:t>
            </w:r>
          </w:p>
        </w:tc>
        <w:tc>
          <w:tcPr>
            <w:tcW w:w="766" w:type="dxa"/>
            <w:tcBorders>
              <w:top w:val="single" w:sz="4" w:space="0" w:color="BFE7FF" w:themeColor="text2" w:themeTint="33"/>
            </w:tcBorders>
            <w:shd w:val="clear" w:color="auto" w:fill="0079C1" w:themeFill="text2"/>
          </w:tcPr>
          <w:p w14:paraId="38C0DD85" w14:textId="77777777" w:rsidR="000421C3" w:rsidRPr="00E61AC8" w:rsidRDefault="000421C3" w:rsidP="002822C7">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w:t>
            </w:r>
          </w:p>
        </w:tc>
        <w:tc>
          <w:tcPr>
            <w:tcW w:w="765" w:type="dxa"/>
            <w:tcBorders>
              <w:top w:val="single" w:sz="4" w:space="0" w:color="BFE7FF" w:themeColor="text2" w:themeTint="33"/>
            </w:tcBorders>
            <w:shd w:val="clear" w:color="auto" w:fill="0079C1" w:themeFill="text2"/>
          </w:tcPr>
          <w:p w14:paraId="59FF0B16" w14:textId="77777777" w:rsidR="000421C3" w:rsidRPr="00E61AC8" w:rsidRDefault="000421C3" w:rsidP="002822C7">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n</w:t>
            </w:r>
          </w:p>
        </w:tc>
        <w:tc>
          <w:tcPr>
            <w:tcW w:w="766" w:type="dxa"/>
            <w:tcBorders>
              <w:top w:val="single" w:sz="4" w:space="0" w:color="BFE7FF" w:themeColor="text2" w:themeTint="33"/>
            </w:tcBorders>
            <w:shd w:val="clear" w:color="auto" w:fill="0079C1" w:themeFill="text2"/>
          </w:tcPr>
          <w:p w14:paraId="285927AE" w14:textId="77777777" w:rsidR="000421C3" w:rsidRPr="00E61AC8" w:rsidRDefault="000421C3" w:rsidP="002822C7">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w:t>
            </w:r>
          </w:p>
        </w:tc>
        <w:tc>
          <w:tcPr>
            <w:tcW w:w="766" w:type="dxa"/>
            <w:tcBorders>
              <w:top w:val="single" w:sz="4" w:space="0" w:color="BFE7FF" w:themeColor="text2" w:themeTint="33"/>
            </w:tcBorders>
            <w:shd w:val="clear" w:color="auto" w:fill="0079C1" w:themeFill="text2"/>
          </w:tcPr>
          <w:p w14:paraId="7F540C22" w14:textId="77777777" w:rsidR="000421C3" w:rsidRPr="00E61AC8" w:rsidRDefault="000421C3" w:rsidP="002822C7">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n</w:t>
            </w:r>
          </w:p>
        </w:tc>
        <w:tc>
          <w:tcPr>
            <w:tcW w:w="766" w:type="dxa"/>
            <w:tcBorders>
              <w:top w:val="single" w:sz="4" w:space="0" w:color="BFE7FF" w:themeColor="text2" w:themeTint="33"/>
            </w:tcBorders>
            <w:shd w:val="clear" w:color="auto" w:fill="0079C1" w:themeFill="text2"/>
          </w:tcPr>
          <w:p w14:paraId="566270F5" w14:textId="77777777" w:rsidR="000421C3" w:rsidRPr="00E61AC8" w:rsidRDefault="000421C3" w:rsidP="002822C7">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w:t>
            </w:r>
          </w:p>
        </w:tc>
        <w:tc>
          <w:tcPr>
            <w:tcW w:w="765" w:type="dxa"/>
            <w:tcBorders>
              <w:top w:val="single" w:sz="4" w:space="0" w:color="BFE7FF" w:themeColor="text2" w:themeTint="33"/>
            </w:tcBorders>
            <w:shd w:val="clear" w:color="auto" w:fill="0079C1" w:themeFill="text2"/>
          </w:tcPr>
          <w:p w14:paraId="1994438B" w14:textId="77777777" w:rsidR="000421C3" w:rsidRPr="00E61AC8" w:rsidRDefault="000421C3" w:rsidP="002822C7">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n</w:t>
            </w:r>
          </w:p>
        </w:tc>
        <w:tc>
          <w:tcPr>
            <w:tcW w:w="766" w:type="dxa"/>
            <w:tcBorders>
              <w:top w:val="single" w:sz="4" w:space="0" w:color="BFE7FF" w:themeColor="text2" w:themeTint="33"/>
            </w:tcBorders>
            <w:shd w:val="clear" w:color="auto" w:fill="0079C1" w:themeFill="text2"/>
          </w:tcPr>
          <w:p w14:paraId="67EFEB7C" w14:textId="77777777" w:rsidR="000421C3" w:rsidRPr="00E61AC8" w:rsidRDefault="000421C3" w:rsidP="002822C7">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w:t>
            </w:r>
          </w:p>
        </w:tc>
        <w:tc>
          <w:tcPr>
            <w:tcW w:w="765" w:type="dxa"/>
            <w:tcBorders>
              <w:top w:val="single" w:sz="4" w:space="0" w:color="BFE7FF" w:themeColor="text2" w:themeTint="33"/>
              <w:bottom w:val="nil"/>
            </w:tcBorders>
            <w:shd w:val="clear" w:color="auto" w:fill="0079C1" w:themeFill="text2"/>
          </w:tcPr>
          <w:p w14:paraId="7A29D287" w14:textId="77777777" w:rsidR="000421C3" w:rsidRPr="00E61AC8" w:rsidRDefault="000421C3" w:rsidP="002822C7">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n</w:t>
            </w:r>
          </w:p>
        </w:tc>
        <w:tc>
          <w:tcPr>
            <w:tcW w:w="767" w:type="dxa"/>
            <w:tcBorders>
              <w:top w:val="single" w:sz="4" w:space="0" w:color="BFE7FF" w:themeColor="text2" w:themeTint="33"/>
              <w:bottom w:val="nil"/>
            </w:tcBorders>
            <w:shd w:val="clear" w:color="auto" w:fill="0079C1" w:themeFill="text2"/>
          </w:tcPr>
          <w:p w14:paraId="317E871F" w14:textId="77777777" w:rsidR="000421C3" w:rsidRPr="00E61AC8" w:rsidRDefault="000421C3" w:rsidP="002822C7">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w:t>
            </w:r>
          </w:p>
        </w:tc>
      </w:tr>
      <w:tr w:rsidR="00C61524" w:rsidRPr="00E61AC8" w14:paraId="27C6EB3D" w14:textId="77777777" w:rsidTr="00E61AC8">
        <w:tc>
          <w:tcPr>
            <w:tcW w:w="1841" w:type="dxa"/>
            <w:tcBorders>
              <w:top w:val="single" w:sz="4" w:space="0" w:color="0079C1" w:themeColor="text2"/>
              <w:right w:val="single" w:sz="4" w:space="0" w:color="0079C1"/>
            </w:tcBorders>
          </w:tcPr>
          <w:p w14:paraId="046C059C" w14:textId="77777777" w:rsidR="00C61524" w:rsidRPr="00E61AC8" w:rsidRDefault="00C61524" w:rsidP="00C61524">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1991</w:t>
            </w:r>
          </w:p>
        </w:tc>
        <w:tc>
          <w:tcPr>
            <w:tcW w:w="765" w:type="dxa"/>
            <w:tcBorders>
              <w:top w:val="single" w:sz="4" w:space="0" w:color="0079C1" w:themeColor="text2"/>
              <w:left w:val="single" w:sz="4" w:space="0" w:color="0079C1"/>
            </w:tcBorders>
            <w:shd w:val="clear" w:color="auto" w:fill="FFFFFF" w:themeFill="background1"/>
            <w:vAlign w:val="center"/>
          </w:tcPr>
          <w:p w14:paraId="3F1FE2E6"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top w:val="single" w:sz="4" w:space="0" w:color="0079C1" w:themeColor="text2"/>
              <w:right w:val="single" w:sz="4" w:space="0" w:color="0079C1"/>
            </w:tcBorders>
            <w:shd w:val="clear" w:color="auto" w:fill="FFFFFF" w:themeFill="background1"/>
            <w:vAlign w:val="center"/>
          </w:tcPr>
          <w:p w14:paraId="4550785B" w14:textId="69D13FFF"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5" w:type="dxa"/>
            <w:tcBorders>
              <w:top w:val="single" w:sz="4" w:space="0" w:color="0079C1" w:themeColor="text2"/>
              <w:left w:val="single" w:sz="4" w:space="0" w:color="0079C1"/>
            </w:tcBorders>
            <w:shd w:val="clear" w:color="auto" w:fill="FFFFFF" w:themeFill="background1"/>
            <w:vAlign w:val="center"/>
          </w:tcPr>
          <w:p w14:paraId="3B261CFE"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top w:val="single" w:sz="4" w:space="0" w:color="0079C1" w:themeColor="text2"/>
              <w:right w:val="single" w:sz="4" w:space="0" w:color="0079C1"/>
            </w:tcBorders>
            <w:shd w:val="clear" w:color="auto" w:fill="auto"/>
            <w:vAlign w:val="center"/>
          </w:tcPr>
          <w:p w14:paraId="4032FF42" w14:textId="7E90D093"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6" w:type="dxa"/>
            <w:tcBorders>
              <w:top w:val="single" w:sz="4" w:space="0" w:color="0079C1" w:themeColor="text2"/>
              <w:left w:val="single" w:sz="4" w:space="0" w:color="0079C1"/>
            </w:tcBorders>
            <w:shd w:val="clear" w:color="auto" w:fill="FFFFFF" w:themeFill="background1"/>
            <w:vAlign w:val="center"/>
          </w:tcPr>
          <w:p w14:paraId="7F776FA6"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w:t>
            </w:r>
          </w:p>
        </w:tc>
        <w:tc>
          <w:tcPr>
            <w:tcW w:w="766" w:type="dxa"/>
            <w:tcBorders>
              <w:top w:val="nil"/>
              <w:right w:val="single" w:sz="4" w:space="0" w:color="0079C1"/>
            </w:tcBorders>
            <w:shd w:val="clear" w:color="auto" w:fill="FFFFFF" w:themeFill="background1"/>
            <w:vAlign w:val="center"/>
          </w:tcPr>
          <w:p w14:paraId="240329FE" w14:textId="43AF5228"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1.4%</w:t>
            </w:r>
          </w:p>
        </w:tc>
        <w:tc>
          <w:tcPr>
            <w:tcW w:w="765" w:type="dxa"/>
            <w:tcBorders>
              <w:top w:val="nil"/>
              <w:left w:val="single" w:sz="4" w:space="0" w:color="0079C1"/>
            </w:tcBorders>
            <w:shd w:val="clear" w:color="auto" w:fill="FFFFFF" w:themeFill="background1"/>
            <w:vAlign w:val="center"/>
          </w:tcPr>
          <w:p w14:paraId="286EC453"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top w:val="nil"/>
              <w:right w:val="single" w:sz="4" w:space="0" w:color="0079C1"/>
            </w:tcBorders>
            <w:shd w:val="clear" w:color="auto" w:fill="FFFFFF" w:themeFill="background1"/>
            <w:vAlign w:val="center"/>
          </w:tcPr>
          <w:p w14:paraId="3C6E6FD5" w14:textId="5B421E04"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5" w:type="dxa"/>
            <w:tcBorders>
              <w:top w:val="nil"/>
              <w:left w:val="single" w:sz="4" w:space="0" w:color="0079C1"/>
            </w:tcBorders>
            <w:shd w:val="clear" w:color="auto" w:fill="FFFFFF" w:themeFill="background1"/>
            <w:vAlign w:val="center"/>
          </w:tcPr>
          <w:p w14:paraId="73C50363" w14:textId="7203FB88" w:rsidR="00C61524" w:rsidRPr="00E61AC8" w:rsidRDefault="00C61524" w:rsidP="00C61524">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w:t>
            </w:r>
          </w:p>
        </w:tc>
        <w:tc>
          <w:tcPr>
            <w:tcW w:w="767" w:type="dxa"/>
            <w:tcBorders>
              <w:top w:val="nil"/>
            </w:tcBorders>
            <w:shd w:val="clear" w:color="auto" w:fill="FFFFFF" w:themeFill="background1"/>
            <w:vAlign w:val="center"/>
          </w:tcPr>
          <w:p w14:paraId="681FD1F7" w14:textId="13C0CCB9" w:rsidR="00C61524" w:rsidRPr="00C61524" w:rsidRDefault="00C61524" w:rsidP="00C61524">
            <w:pPr>
              <w:tabs>
                <w:tab w:val="left" w:pos="318"/>
              </w:tabs>
              <w:spacing w:before="60" w:after="60"/>
              <w:jc w:val="center"/>
              <w:rPr>
                <w:rStyle w:val="Strong"/>
                <w:rFonts w:asciiTheme="minorHAnsi" w:hAnsiTheme="minorHAnsi"/>
                <w:b w:val="0"/>
                <w:sz w:val="20"/>
                <w:szCs w:val="20"/>
              </w:rPr>
            </w:pPr>
            <w:r w:rsidRPr="00E61AC8">
              <w:rPr>
                <w:rStyle w:val="Strong"/>
                <w:rFonts w:asciiTheme="minorHAnsi" w:hAnsiTheme="minorHAnsi"/>
                <w:sz w:val="20"/>
                <w:szCs w:val="20"/>
              </w:rPr>
              <w:t>0.4</w:t>
            </w:r>
            <w:r>
              <w:rPr>
                <w:rStyle w:val="Strong"/>
                <w:rFonts w:asciiTheme="minorHAnsi" w:hAnsiTheme="minorHAnsi"/>
                <w:sz w:val="20"/>
                <w:szCs w:val="20"/>
              </w:rPr>
              <w:t>%</w:t>
            </w:r>
          </w:p>
        </w:tc>
      </w:tr>
      <w:tr w:rsidR="00C61524" w:rsidRPr="00E61AC8" w14:paraId="2CA878B3" w14:textId="77777777" w:rsidTr="00E61AC8">
        <w:tc>
          <w:tcPr>
            <w:tcW w:w="1841" w:type="dxa"/>
            <w:tcBorders>
              <w:right w:val="single" w:sz="4" w:space="0" w:color="0079C1"/>
            </w:tcBorders>
          </w:tcPr>
          <w:p w14:paraId="153B5C54" w14:textId="77777777" w:rsidR="00C61524" w:rsidRPr="00E61AC8" w:rsidRDefault="00C61524" w:rsidP="00C61524">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1993</w:t>
            </w:r>
          </w:p>
        </w:tc>
        <w:tc>
          <w:tcPr>
            <w:tcW w:w="765" w:type="dxa"/>
            <w:tcBorders>
              <w:left w:val="single" w:sz="4" w:space="0" w:color="0079C1"/>
            </w:tcBorders>
            <w:shd w:val="clear" w:color="auto" w:fill="FFFFFF" w:themeFill="background1"/>
            <w:vAlign w:val="center"/>
          </w:tcPr>
          <w:p w14:paraId="2151BBD7"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FFFFFF" w:themeFill="background1"/>
            <w:vAlign w:val="center"/>
          </w:tcPr>
          <w:p w14:paraId="579FD8DB" w14:textId="2203CA43"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5" w:type="dxa"/>
            <w:tcBorders>
              <w:left w:val="single" w:sz="4" w:space="0" w:color="0079C1"/>
            </w:tcBorders>
            <w:shd w:val="clear" w:color="auto" w:fill="FFFFFF" w:themeFill="background1"/>
            <w:vAlign w:val="center"/>
          </w:tcPr>
          <w:p w14:paraId="2A4F3AC7"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auto"/>
            <w:vAlign w:val="center"/>
          </w:tcPr>
          <w:p w14:paraId="3C8EA961" w14:textId="698CD453"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6" w:type="dxa"/>
            <w:tcBorders>
              <w:left w:val="single" w:sz="4" w:space="0" w:color="0079C1"/>
            </w:tcBorders>
            <w:shd w:val="clear" w:color="auto" w:fill="FFFFFF" w:themeFill="background1"/>
            <w:vAlign w:val="center"/>
          </w:tcPr>
          <w:p w14:paraId="4804B3D9"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w:t>
            </w:r>
          </w:p>
        </w:tc>
        <w:tc>
          <w:tcPr>
            <w:tcW w:w="766" w:type="dxa"/>
            <w:tcBorders>
              <w:right w:val="single" w:sz="4" w:space="0" w:color="0079C1"/>
            </w:tcBorders>
            <w:shd w:val="clear" w:color="auto" w:fill="FFFFFF" w:themeFill="background1"/>
            <w:vAlign w:val="center"/>
          </w:tcPr>
          <w:p w14:paraId="77745BDA" w14:textId="6650E355"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1.4%</w:t>
            </w:r>
          </w:p>
        </w:tc>
        <w:tc>
          <w:tcPr>
            <w:tcW w:w="765" w:type="dxa"/>
            <w:tcBorders>
              <w:left w:val="single" w:sz="4" w:space="0" w:color="0079C1"/>
            </w:tcBorders>
            <w:shd w:val="clear" w:color="auto" w:fill="FFFFFF" w:themeFill="background1"/>
            <w:vAlign w:val="center"/>
          </w:tcPr>
          <w:p w14:paraId="45F4BA19"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FFFFFF" w:themeFill="background1"/>
            <w:vAlign w:val="center"/>
          </w:tcPr>
          <w:p w14:paraId="58942D51" w14:textId="34E77320"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5" w:type="dxa"/>
            <w:tcBorders>
              <w:left w:val="single" w:sz="4" w:space="0" w:color="0079C1"/>
            </w:tcBorders>
            <w:shd w:val="clear" w:color="auto" w:fill="FFFFFF" w:themeFill="background1"/>
            <w:vAlign w:val="center"/>
          </w:tcPr>
          <w:p w14:paraId="479B6D45" w14:textId="696E775F" w:rsidR="00C61524" w:rsidRPr="00E61AC8" w:rsidRDefault="00C61524" w:rsidP="00C61524">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w:t>
            </w:r>
          </w:p>
        </w:tc>
        <w:tc>
          <w:tcPr>
            <w:tcW w:w="767" w:type="dxa"/>
            <w:shd w:val="clear" w:color="auto" w:fill="FFFFFF" w:themeFill="background1"/>
            <w:vAlign w:val="center"/>
          </w:tcPr>
          <w:p w14:paraId="30BBB8AC" w14:textId="074A62B2" w:rsidR="00C61524" w:rsidRPr="00C61524" w:rsidRDefault="00C61524" w:rsidP="00C61524">
            <w:pPr>
              <w:tabs>
                <w:tab w:val="left" w:pos="318"/>
              </w:tabs>
              <w:spacing w:before="60" w:after="60"/>
              <w:jc w:val="center"/>
              <w:rPr>
                <w:rStyle w:val="Strong"/>
                <w:rFonts w:asciiTheme="minorHAnsi" w:hAnsiTheme="minorHAnsi"/>
                <w:b w:val="0"/>
                <w:sz w:val="20"/>
                <w:szCs w:val="20"/>
              </w:rPr>
            </w:pPr>
            <w:r w:rsidRPr="00E61AC8">
              <w:rPr>
                <w:rStyle w:val="Strong"/>
                <w:rFonts w:asciiTheme="minorHAnsi" w:hAnsiTheme="minorHAnsi"/>
                <w:sz w:val="20"/>
                <w:szCs w:val="20"/>
              </w:rPr>
              <w:t>0.4</w:t>
            </w:r>
            <w:r>
              <w:rPr>
                <w:rStyle w:val="Strong"/>
                <w:rFonts w:asciiTheme="minorHAnsi" w:hAnsiTheme="minorHAnsi"/>
                <w:sz w:val="20"/>
                <w:szCs w:val="20"/>
              </w:rPr>
              <w:t>%</w:t>
            </w:r>
          </w:p>
        </w:tc>
      </w:tr>
      <w:tr w:rsidR="00C61524" w:rsidRPr="00E61AC8" w14:paraId="21894E31" w14:textId="77777777" w:rsidTr="00E61AC8">
        <w:tc>
          <w:tcPr>
            <w:tcW w:w="1841" w:type="dxa"/>
            <w:tcBorders>
              <w:right w:val="single" w:sz="4" w:space="0" w:color="0079C1"/>
            </w:tcBorders>
          </w:tcPr>
          <w:p w14:paraId="562B392D" w14:textId="77777777" w:rsidR="00C61524" w:rsidRPr="00E61AC8" w:rsidRDefault="00C61524" w:rsidP="00C61524">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1997</w:t>
            </w:r>
          </w:p>
        </w:tc>
        <w:tc>
          <w:tcPr>
            <w:tcW w:w="765" w:type="dxa"/>
            <w:tcBorders>
              <w:left w:val="single" w:sz="4" w:space="0" w:color="0079C1"/>
            </w:tcBorders>
            <w:shd w:val="clear" w:color="auto" w:fill="FFFFFF" w:themeFill="background1"/>
            <w:vAlign w:val="center"/>
          </w:tcPr>
          <w:p w14:paraId="533D5E7F"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FFFFFF" w:themeFill="background1"/>
            <w:vAlign w:val="center"/>
          </w:tcPr>
          <w:p w14:paraId="745EFE3B" w14:textId="7C66349F"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5" w:type="dxa"/>
            <w:tcBorders>
              <w:left w:val="single" w:sz="4" w:space="0" w:color="0079C1"/>
            </w:tcBorders>
            <w:shd w:val="clear" w:color="auto" w:fill="FFFFFF" w:themeFill="background1"/>
            <w:vAlign w:val="center"/>
          </w:tcPr>
          <w:p w14:paraId="7B4C244D"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auto"/>
            <w:vAlign w:val="center"/>
          </w:tcPr>
          <w:p w14:paraId="33199C61" w14:textId="3E94280F"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6" w:type="dxa"/>
            <w:tcBorders>
              <w:left w:val="single" w:sz="4" w:space="0" w:color="0079C1"/>
            </w:tcBorders>
            <w:shd w:val="clear" w:color="auto" w:fill="FFFFFF" w:themeFill="background1"/>
            <w:vAlign w:val="center"/>
          </w:tcPr>
          <w:p w14:paraId="7890F932"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w:t>
            </w:r>
          </w:p>
        </w:tc>
        <w:tc>
          <w:tcPr>
            <w:tcW w:w="766" w:type="dxa"/>
            <w:tcBorders>
              <w:right w:val="single" w:sz="4" w:space="0" w:color="0079C1"/>
            </w:tcBorders>
            <w:shd w:val="clear" w:color="auto" w:fill="FFFFFF" w:themeFill="background1"/>
            <w:vAlign w:val="center"/>
          </w:tcPr>
          <w:p w14:paraId="6CB4E9B3" w14:textId="7F1233C1"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1.4%</w:t>
            </w:r>
          </w:p>
        </w:tc>
        <w:tc>
          <w:tcPr>
            <w:tcW w:w="765" w:type="dxa"/>
            <w:tcBorders>
              <w:left w:val="single" w:sz="4" w:space="0" w:color="0079C1"/>
            </w:tcBorders>
            <w:shd w:val="clear" w:color="auto" w:fill="FFFFFF" w:themeFill="background1"/>
            <w:vAlign w:val="center"/>
          </w:tcPr>
          <w:p w14:paraId="73765F80"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FFFFFF" w:themeFill="background1"/>
            <w:vAlign w:val="center"/>
          </w:tcPr>
          <w:p w14:paraId="1F3AABDC" w14:textId="4E914E34"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5" w:type="dxa"/>
            <w:tcBorders>
              <w:left w:val="single" w:sz="4" w:space="0" w:color="0079C1"/>
            </w:tcBorders>
            <w:shd w:val="clear" w:color="auto" w:fill="FFFFFF" w:themeFill="background1"/>
            <w:vAlign w:val="center"/>
          </w:tcPr>
          <w:p w14:paraId="28DFE23A" w14:textId="1599733A" w:rsidR="00C61524" w:rsidRPr="00E61AC8" w:rsidRDefault="00C61524" w:rsidP="00C61524">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w:t>
            </w:r>
          </w:p>
        </w:tc>
        <w:tc>
          <w:tcPr>
            <w:tcW w:w="767" w:type="dxa"/>
            <w:shd w:val="clear" w:color="auto" w:fill="FFFFFF" w:themeFill="background1"/>
            <w:vAlign w:val="center"/>
          </w:tcPr>
          <w:p w14:paraId="2FF6939A" w14:textId="13BFB8FA" w:rsidR="00C61524" w:rsidRPr="00C61524" w:rsidRDefault="00C61524" w:rsidP="00C61524">
            <w:pPr>
              <w:tabs>
                <w:tab w:val="left" w:pos="318"/>
              </w:tabs>
              <w:spacing w:before="60" w:after="60"/>
              <w:jc w:val="center"/>
              <w:rPr>
                <w:rStyle w:val="Strong"/>
                <w:rFonts w:asciiTheme="minorHAnsi" w:hAnsiTheme="minorHAnsi"/>
                <w:b w:val="0"/>
                <w:sz w:val="20"/>
                <w:szCs w:val="20"/>
              </w:rPr>
            </w:pPr>
            <w:r w:rsidRPr="00E61AC8">
              <w:rPr>
                <w:rStyle w:val="Strong"/>
                <w:rFonts w:asciiTheme="minorHAnsi" w:hAnsiTheme="minorHAnsi"/>
                <w:sz w:val="20"/>
                <w:szCs w:val="20"/>
              </w:rPr>
              <w:t>0.4</w:t>
            </w:r>
            <w:r>
              <w:rPr>
                <w:rStyle w:val="Strong"/>
                <w:rFonts w:asciiTheme="minorHAnsi" w:hAnsiTheme="minorHAnsi"/>
                <w:sz w:val="20"/>
                <w:szCs w:val="20"/>
              </w:rPr>
              <w:t>%</w:t>
            </w:r>
          </w:p>
        </w:tc>
      </w:tr>
      <w:tr w:rsidR="00C61524" w:rsidRPr="00E61AC8" w14:paraId="3D40894D" w14:textId="77777777" w:rsidTr="00E61AC8">
        <w:tc>
          <w:tcPr>
            <w:tcW w:w="1841" w:type="dxa"/>
            <w:tcBorders>
              <w:right w:val="single" w:sz="4" w:space="0" w:color="0079C1"/>
            </w:tcBorders>
          </w:tcPr>
          <w:p w14:paraId="2B898013" w14:textId="77777777" w:rsidR="00C61524" w:rsidRPr="00E61AC8" w:rsidRDefault="00C61524" w:rsidP="00C61524">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1998</w:t>
            </w:r>
          </w:p>
        </w:tc>
        <w:tc>
          <w:tcPr>
            <w:tcW w:w="765" w:type="dxa"/>
            <w:tcBorders>
              <w:left w:val="single" w:sz="4" w:space="0" w:color="0079C1"/>
            </w:tcBorders>
            <w:shd w:val="clear" w:color="auto" w:fill="FFFFFF" w:themeFill="background1"/>
            <w:vAlign w:val="center"/>
          </w:tcPr>
          <w:p w14:paraId="55031D50"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FFFFFF" w:themeFill="background1"/>
            <w:vAlign w:val="center"/>
          </w:tcPr>
          <w:p w14:paraId="738859AE" w14:textId="6D0EA0A5"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5" w:type="dxa"/>
            <w:tcBorders>
              <w:left w:val="single" w:sz="4" w:space="0" w:color="0079C1"/>
            </w:tcBorders>
            <w:shd w:val="clear" w:color="auto" w:fill="FFFFFF" w:themeFill="background1"/>
            <w:vAlign w:val="center"/>
          </w:tcPr>
          <w:p w14:paraId="50E55D53"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auto"/>
            <w:vAlign w:val="center"/>
          </w:tcPr>
          <w:p w14:paraId="0A3A0F66" w14:textId="4FE57A0E"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6" w:type="dxa"/>
            <w:tcBorders>
              <w:left w:val="single" w:sz="4" w:space="0" w:color="0079C1"/>
            </w:tcBorders>
            <w:shd w:val="clear" w:color="auto" w:fill="FFFFFF" w:themeFill="background1"/>
            <w:vAlign w:val="center"/>
          </w:tcPr>
          <w:p w14:paraId="706D7226"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w:t>
            </w:r>
          </w:p>
        </w:tc>
        <w:tc>
          <w:tcPr>
            <w:tcW w:w="766" w:type="dxa"/>
            <w:tcBorders>
              <w:right w:val="single" w:sz="4" w:space="0" w:color="0079C1"/>
            </w:tcBorders>
            <w:shd w:val="clear" w:color="auto" w:fill="FFFFFF" w:themeFill="background1"/>
            <w:vAlign w:val="center"/>
          </w:tcPr>
          <w:p w14:paraId="31C1218E" w14:textId="51C30814"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1.4%</w:t>
            </w:r>
          </w:p>
        </w:tc>
        <w:tc>
          <w:tcPr>
            <w:tcW w:w="765" w:type="dxa"/>
            <w:tcBorders>
              <w:left w:val="single" w:sz="4" w:space="0" w:color="0079C1"/>
            </w:tcBorders>
            <w:shd w:val="clear" w:color="auto" w:fill="FFFFFF" w:themeFill="background1"/>
            <w:vAlign w:val="center"/>
          </w:tcPr>
          <w:p w14:paraId="593100E7"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FFFFFF" w:themeFill="background1"/>
            <w:vAlign w:val="center"/>
          </w:tcPr>
          <w:p w14:paraId="47FC8039" w14:textId="2D1DD67B"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5" w:type="dxa"/>
            <w:tcBorders>
              <w:left w:val="single" w:sz="4" w:space="0" w:color="0079C1"/>
            </w:tcBorders>
            <w:shd w:val="clear" w:color="auto" w:fill="FFFFFF" w:themeFill="background1"/>
            <w:vAlign w:val="center"/>
          </w:tcPr>
          <w:p w14:paraId="3CCFF089" w14:textId="1EC94C40" w:rsidR="00C61524" w:rsidRPr="00E61AC8" w:rsidRDefault="00C61524" w:rsidP="00C61524">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w:t>
            </w:r>
          </w:p>
        </w:tc>
        <w:tc>
          <w:tcPr>
            <w:tcW w:w="767" w:type="dxa"/>
            <w:shd w:val="clear" w:color="auto" w:fill="FFFFFF" w:themeFill="background1"/>
            <w:vAlign w:val="center"/>
          </w:tcPr>
          <w:p w14:paraId="104B8BD8" w14:textId="4240770A" w:rsidR="00C61524" w:rsidRPr="00C61524" w:rsidRDefault="00C61524" w:rsidP="00C61524">
            <w:pPr>
              <w:tabs>
                <w:tab w:val="left" w:pos="318"/>
              </w:tabs>
              <w:spacing w:before="60" w:after="60"/>
              <w:jc w:val="center"/>
              <w:rPr>
                <w:rStyle w:val="Strong"/>
                <w:rFonts w:asciiTheme="minorHAnsi" w:hAnsiTheme="minorHAnsi"/>
                <w:b w:val="0"/>
                <w:sz w:val="20"/>
                <w:szCs w:val="20"/>
              </w:rPr>
            </w:pPr>
            <w:r w:rsidRPr="00E61AC8">
              <w:rPr>
                <w:rStyle w:val="Strong"/>
                <w:rFonts w:asciiTheme="minorHAnsi" w:hAnsiTheme="minorHAnsi"/>
                <w:sz w:val="20"/>
                <w:szCs w:val="20"/>
              </w:rPr>
              <w:t>0.4</w:t>
            </w:r>
            <w:r>
              <w:rPr>
                <w:rStyle w:val="Strong"/>
                <w:rFonts w:asciiTheme="minorHAnsi" w:hAnsiTheme="minorHAnsi"/>
                <w:sz w:val="20"/>
                <w:szCs w:val="20"/>
              </w:rPr>
              <w:t>%</w:t>
            </w:r>
          </w:p>
        </w:tc>
      </w:tr>
      <w:tr w:rsidR="00C61524" w:rsidRPr="00E61AC8" w14:paraId="6EF37528" w14:textId="77777777" w:rsidTr="00E61AC8">
        <w:tc>
          <w:tcPr>
            <w:tcW w:w="1841" w:type="dxa"/>
            <w:tcBorders>
              <w:right w:val="single" w:sz="4" w:space="0" w:color="0079C1"/>
            </w:tcBorders>
          </w:tcPr>
          <w:p w14:paraId="6FE032C6" w14:textId="77777777" w:rsidR="00C61524" w:rsidRPr="00E61AC8" w:rsidRDefault="00C61524" w:rsidP="00C61524">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1999</w:t>
            </w:r>
          </w:p>
        </w:tc>
        <w:tc>
          <w:tcPr>
            <w:tcW w:w="765" w:type="dxa"/>
            <w:tcBorders>
              <w:left w:val="single" w:sz="4" w:space="0" w:color="0079C1"/>
            </w:tcBorders>
            <w:shd w:val="clear" w:color="auto" w:fill="FFFFFF" w:themeFill="background1"/>
            <w:vAlign w:val="center"/>
          </w:tcPr>
          <w:p w14:paraId="0708D40A"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FFFFFF" w:themeFill="background1"/>
            <w:vAlign w:val="center"/>
          </w:tcPr>
          <w:p w14:paraId="78BB2BB7" w14:textId="79CAEE2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5" w:type="dxa"/>
            <w:tcBorders>
              <w:left w:val="single" w:sz="4" w:space="0" w:color="0079C1"/>
            </w:tcBorders>
            <w:shd w:val="clear" w:color="auto" w:fill="FFFFFF" w:themeFill="background1"/>
            <w:vAlign w:val="center"/>
          </w:tcPr>
          <w:p w14:paraId="3F891280"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auto"/>
            <w:vAlign w:val="center"/>
          </w:tcPr>
          <w:p w14:paraId="08979E7B" w14:textId="42A3AB63"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6" w:type="dxa"/>
            <w:tcBorders>
              <w:left w:val="single" w:sz="4" w:space="0" w:color="0079C1"/>
            </w:tcBorders>
            <w:shd w:val="clear" w:color="auto" w:fill="FFFFFF" w:themeFill="background1"/>
            <w:vAlign w:val="center"/>
          </w:tcPr>
          <w:p w14:paraId="3BA79054"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w:t>
            </w:r>
          </w:p>
        </w:tc>
        <w:tc>
          <w:tcPr>
            <w:tcW w:w="766" w:type="dxa"/>
            <w:tcBorders>
              <w:right w:val="single" w:sz="4" w:space="0" w:color="0079C1"/>
            </w:tcBorders>
            <w:shd w:val="clear" w:color="auto" w:fill="FFFFFF" w:themeFill="background1"/>
            <w:vAlign w:val="center"/>
          </w:tcPr>
          <w:p w14:paraId="2658B079" w14:textId="4653881E"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1.4%</w:t>
            </w:r>
          </w:p>
        </w:tc>
        <w:tc>
          <w:tcPr>
            <w:tcW w:w="765" w:type="dxa"/>
            <w:tcBorders>
              <w:left w:val="single" w:sz="4" w:space="0" w:color="0079C1"/>
            </w:tcBorders>
            <w:shd w:val="clear" w:color="auto" w:fill="FFFFFF" w:themeFill="background1"/>
            <w:vAlign w:val="center"/>
          </w:tcPr>
          <w:p w14:paraId="3376D026"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FFFFFF" w:themeFill="background1"/>
            <w:vAlign w:val="center"/>
          </w:tcPr>
          <w:p w14:paraId="701C1280" w14:textId="06E5BBA9"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5" w:type="dxa"/>
            <w:tcBorders>
              <w:left w:val="single" w:sz="4" w:space="0" w:color="0079C1"/>
            </w:tcBorders>
            <w:shd w:val="clear" w:color="auto" w:fill="FFFFFF" w:themeFill="background1"/>
            <w:vAlign w:val="center"/>
          </w:tcPr>
          <w:p w14:paraId="7FFEAA63" w14:textId="18C0635F" w:rsidR="00C61524" w:rsidRPr="00E61AC8" w:rsidRDefault="00C61524" w:rsidP="00C61524">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w:t>
            </w:r>
          </w:p>
        </w:tc>
        <w:tc>
          <w:tcPr>
            <w:tcW w:w="767" w:type="dxa"/>
            <w:shd w:val="clear" w:color="auto" w:fill="FFFFFF" w:themeFill="background1"/>
            <w:vAlign w:val="center"/>
          </w:tcPr>
          <w:p w14:paraId="67DB9BC3" w14:textId="7881DAEA" w:rsidR="00C61524" w:rsidRPr="00C61524" w:rsidRDefault="00C61524" w:rsidP="00C61524">
            <w:pPr>
              <w:tabs>
                <w:tab w:val="left" w:pos="318"/>
              </w:tabs>
              <w:spacing w:before="60" w:after="60"/>
              <w:jc w:val="center"/>
              <w:rPr>
                <w:rStyle w:val="Strong"/>
                <w:rFonts w:asciiTheme="minorHAnsi" w:hAnsiTheme="minorHAnsi"/>
                <w:b w:val="0"/>
                <w:sz w:val="20"/>
                <w:szCs w:val="20"/>
              </w:rPr>
            </w:pPr>
            <w:r w:rsidRPr="00E61AC8">
              <w:rPr>
                <w:rStyle w:val="Strong"/>
                <w:rFonts w:asciiTheme="minorHAnsi" w:hAnsiTheme="minorHAnsi"/>
                <w:sz w:val="20"/>
                <w:szCs w:val="20"/>
              </w:rPr>
              <w:t>0.4</w:t>
            </w:r>
            <w:r>
              <w:rPr>
                <w:rStyle w:val="Strong"/>
                <w:rFonts w:asciiTheme="minorHAnsi" w:hAnsiTheme="minorHAnsi"/>
                <w:sz w:val="20"/>
                <w:szCs w:val="20"/>
              </w:rPr>
              <w:t>%</w:t>
            </w:r>
          </w:p>
        </w:tc>
      </w:tr>
      <w:tr w:rsidR="00C61524" w:rsidRPr="00E61AC8" w14:paraId="49C9C6F2" w14:textId="77777777" w:rsidTr="00E61AC8">
        <w:tc>
          <w:tcPr>
            <w:tcW w:w="1841" w:type="dxa"/>
            <w:tcBorders>
              <w:right w:val="single" w:sz="4" w:space="0" w:color="0079C1"/>
            </w:tcBorders>
          </w:tcPr>
          <w:p w14:paraId="0CE28043" w14:textId="77777777" w:rsidR="00C61524" w:rsidRPr="00E61AC8" w:rsidRDefault="00C61524" w:rsidP="00C61524">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2000</w:t>
            </w:r>
          </w:p>
        </w:tc>
        <w:tc>
          <w:tcPr>
            <w:tcW w:w="765" w:type="dxa"/>
            <w:tcBorders>
              <w:left w:val="single" w:sz="4" w:space="0" w:color="0079C1"/>
            </w:tcBorders>
            <w:shd w:val="clear" w:color="auto" w:fill="FFFFFF" w:themeFill="background1"/>
            <w:vAlign w:val="center"/>
          </w:tcPr>
          <w:p w14:paraId="685F4010"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FFFFFF" w:themeFill="background1"/>
            <w:vAlign w:val="center"/>
          </w:tcPr>
          <w:p w14:paraId="292988B8" w14:textId="76C23EBB"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5" w:type="dxa"/>
            <w:tcBorders>
              <w:left w:val="single" w:sz="4" w:space="0" w:color="0079C1"/>
            </w:tcBorders>
            <w:shd w:val="clear" w:color="auto" w:fill="FFFFFF" w:themeFill="background1"/>
            <w:vAlign w:val="center"/>
          </w:tcPr>
          <w:p w14:paraId="396ECBB1"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auto"/>
            <w:vAlign w:val="center"/>
          </w:tcPr>
          <w:p w14:paraId="6A891EC3" w14:textId="03A1F021"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6" w:type="dxa"/>
            <w:tcBorders>
              <w:left w:val="single" w:sz="4" w:space="0" w:color="0079C1"/>
            </w:tcBorders>
            <w:shd w:val="clear" w:color="auto" w:fill="FFFFFF" w:themeFill="background1"/>
            <w:vAlign w:val="center"/>
          </w:tcPr>
          <w:p w14:paraId="296E1A66"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w:t>
            </w:r>
          </w:p>
        </w:tc>
        <w:tc>
          <w:tcPr>
            <w:tcW w:w="766" w:type="dxa"/>
            <w:tcBorders>
              <w:right w:val="single" w:sz="4" w:space="0" w:color="0079C1"/>
            </w:tcBorders>
            <w:shd w:val="clear" w:color="auto" w:fill="FFFFFF" w:themeFill="background1"/>
            <w:vAlign w:val="center"/>
          </w:tcPr>
          <w:p w14:paraId="7FF782AF" w14:textId="1073B3EF"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1.4%</w:t>
            </w:r>
          </w:p>
        </w:tc>
        <w:tc>
          <w:tcPr>
            <w:tcW w:w="765" w:type="dxa"/>
            <w:tcBorders>
              <w:left w:val="single" w:sz="4" w:space="0" w:color="0079C1"/>
            </w:tcBorders>
            <w:shd w:val="clear" w:color="auto" w:fill="FFFFFF" w:themeFill="background1"/>
            <w:vAlign w:val="center"/>
          </w:tcPr>
          <w:p w14:paraId="555D664A"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w:t>
            </w:r>
          </w:p>
        </w:tc>
        <w:tc>
          <w:tcPr>
            <w:tcW w:w="766" w:type="dxa"/>
            <w:tcBorders>
              <w:right w:val="single" w:sz="4" w:space="0" w:color="0079C1"/>
            </w:tcBorders>
            <w:shd w:val="clear" w:color="auto" w:fill="FFFFFF" w:themeFill="background1"/>
            <w:vAlign w:val="center"/>
          </w:tcPr>
          <w:p w14:paraId="7B2A0251" w14:textId="7523E42F"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5.3%</w:t>
            </w:r>
          </w:p>
        </w:tc>
        <w:tc>
          <w:tcPr>
            <w:tcW w:w="765" w:type="dxa"/>
            <w:tcBorders>
              <w:left w:val="single" w:sz="4" w:space="0" w:color="0079C1"/>
            </w:tcBorders>
            <w:shd w:val="clear" w:color="auto" w:fill="FFFFFF" w:themeFill="background1"/>
            <w:vAlign w:val="center"/>
          </w:tcPr>
          <w:p w14:paraId="15A7CAAD" w14:textId="4EAC8872" w:rsidR="00C61524" w:rsidRPr="00E61AC8" w:rsidRDefault="00C61524" w:rsidP="00C61524">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2</w:t>
            </w:r>
          </w:p>
        </w:tc>
        <w:tc>
          <w:tcPr>
            <w:tcW w:w="767" w:type="dxa"/>
            <w:shd w:val="clear" w:color="auto" w:fill="FFFFFF" w:themeFill="background1"/>
            <w:vAlign w:val="center"/>
          </w:tcPr>
          <w:p w14:paraId="6116FBE1" w14:textId="40C6370E" w:rsidR="00C61524" w:rsidRPr="00C61524" w:rsidRDefault="00C61524" w:rsidP="00C61524">
            <w:pPr>
              <w:tabs>
                <w:tab w:val="left" w:pos="318"/>
              </w:tabs>
              <w:spacing w:before="60" w:after="60"/>
              <w:jc w:val="center"/>
              <w:rPr>
                <w:rStyle w:val="Strong"/>
                <w:rFonts w:asciiTheme="minorHAnsi" w:hAnsiTheme="minorHAnsi"/>
                <w:b w:val="0"/>
                <w:sz w:val="20"/>
                <w:szCs w:val="20"/>
              </w:rPr>
            </w:pPr>
            <w:r w:rsidRPr="00E61AC8">
              <w:rPr>
                <w:rStyle w:val="Strong"/>
                <w:rFonts w:asciiTheme="minorHAnsi" w:hAnsiTheme="minorHAnsi"/>
                <w:sz w:val="20"/>
                <w:szCs w:val="20"/>
              </w:rPr>
              <w:t>0.9</w:t>
            </w:r>
            <w:r>
              <w:rPr>
                <w:rStyle w:val="Strong"/>
                <w:rFonts w:asciiTheme="minorHAnsi" w:hAnsiTheme="minorHAnsi"/>
                <w:sz w:val="20"/>
                <w:szCs w:val="20"/>
              </w:rPr>
              <w:t>%</w:t>
            </w:r>
          </w:p>
        </w:tc>
      </w:tr>
      <w:tr w:rsidR="00C61524" w:rsidRPr="00E61AC8" w14:paraId="33F66234" w14:textId="77777777" w:rsidTr="00E61AC8">
        <w:tc>
          <w:tcPr>
            <w:tcW w:w="1841" w:type="dxa"/>
            <w:tcBorders>
              <w:right w:val="single" w:sz="4" w:space="0" w:color="0079C1"/>
            </w:tcBorders>
          </w:tcPr>
          <w:p w14:paraId="5CE21471" w14:textId="77777777" w:rsidR="00C61524" w:rsidRPr="00E61AC8" w:rsidRDefault="00C61524" w:rsidP="00C61524">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2001</w:t>
            </w:r>
          </w:p>
        </w:tc>
        <w:tc>
          <w:tcPr>
            <w:tcW w:w="765" w:type="dxa"/>
            <w:tcBorders>
              <w:left w:val="single" w:sz="4" w:space="0" w:color="0079C1"/>
            </w:tcBorders>
            <w:shd w:val="clear" w:color="auto" w:fill="FFFFFF" w:themeFill="background1"/>
            <w:vAlign w:val="center"/>
          </w:tcPr>
          <w:p w14:paraId="68372DC8"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FFFFFF" w:themeFill="background1"/>
            <w:vAlign w:val="center"/>
          </w:tcPr>
          <w:p w14:paraId="27E43FBA" w14:textId="4377179D"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5" w:type="dxa"/>
            <w:tcBorders>
              <w:left w:val="single" w:sz="4" w:space="0" w:color="0079C1"/>
            </w:tcBorders>
            <w:shd w:val="clear" w:color="auto" w:fill="FFFFFF" w:themeFill="background1"/>
            <w:vAlign w:val="center"/>
          </w:tcPr>
          <w:p w14:paraId="7A6D95E3"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auto"/>
            <w:vAlign w:val="center"/>
          </w:tcPr>
          <w:p w14:paraId="591C2511" w14:textId="2E13B780"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6" w:type="dxa"/>
            <w:tcBorders>
              <w:left w:val="single" w:sz="4" w:space="0" w:color="0079C1"/>
            </w:tcBorders>
            <w:shd w:val="clear" w:color="auto" w:fill="FFFFFF" w:themeFill="background1"/>
            <w:vAlign w:val="center"/>
          </w:tcPr>
          <w:p w14:paraId="27C6E3E7"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4</w:t>
            </w:r>
          </w:p>
        </w:tc>
        <w:tc>
          <w:tcPr>
            <w:tcW w:w="766" w:type="dxa"/>
            <w:tcBorders>
              <w:right w:val="single" w:sz="4" w:space="0" w:color="0079C1"/>
            </w:tcBorders>
            <w:shd w:val="clear" w:color="auto" w:fill="FFFFFF" w:themeFill="background1"/>
            <w:vAlign w:val="center"/>
          </w:tcPr>
          <w:p w14:paraId="1421EFE2" w14:textId="757E2D9B"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5.5%</w:t>
            </w:r>
          </w:p>
        </w:tc>
        <w:tc>
          <w:tcPr>
            <w:tcW w:w="765" w:type="dxa"/>
            <w:tcBorders>
              <w:left w:val="single" w:sz="4" w:space="0" w:color="0079C1"/>
            </w:tcBorders>
            <w:shd w:val="clear" w:color="auto" w:fill="FFFFFF" w:themeFill="background1"/>
            <w:vAlign w:val="center"/>
          </w:tcPr>
          <w:p w14:paraId="74FC7835"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FFFFFF" w:themeFill="background1"/>
            <w:vAlign w:val="center"/>
          </w:tcPr>
          <w:p w14:paraId="149C718F" w14:textId="068A238A"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5" w:type="dxa"/>
            <w:tcBorders>
              <w:left w:val="single" w:sz="4" w:space="0" w:color="0079C1"/>
            </w:tcBorders>
            <w:shd w:val="clear" w:color="auto" w:fill="FFFFFF" w:themeFill="background1"/>
            <w:vAlign w:val="center"/>
          </w:tcPr>
          <w:p w14:paraId="50BD286E" w14:textId="5A74111D" w:rsidR="00C61524" w:rsidRPr="00E61AC8" w:rsidRDefault="00C61524" w:rsidP="00C61524">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4</w:t>
            </w:r>
          </w:p>
        </w:tc>
        <w:tc>
          <w:tcPr>
            <w:tcW w:w="767" w:type="dxa"/>
            <w:shd w:val="clear" w:color="auto" w:fill="FFFFFF" w:themeFill="background1"/>
            <w:vAlign w:val="center"/>
          </w:tcPr>
          <w:p w14:paraId="03C4E79F" w14:textId="5F87B425" w:rsidR="00C61524" w:rsidRPr="00C61524" w:rsidRDefault="00C61524" w:rsidP="00C61524">
            <w:pPr>
              <w:tabs>
                <w:tab w:val="left" w:pos="318"/>
              </w:tabs>
              <w:spacing w:before="60" w:after="60"/>
              <w:jc w:val="center"/>
              <w:rPr>
                <w:rStyle w:val="Strong"/>
                <w:rFonts w:asciiTheme="minorHAnsi" w:hAnsiTheme="minorHAnsi"/>
                <w:b w:val="0"/>
                <w:sz w:val="20"/>
                <w:szCs w:val="20"/>
              </w:rPr>
            </w:pPr>
            <w:r w:rsidRPr="00E61AC8">
              <w:rPr>
                <w:rStyle w:val="Strong"/>
                <w:rFonts w:asciiTheme="minorHAnsi" w:hAnsiTheme="minorHAnsi"/>
                <w:sz w:val="20"/>
                <w:szCs w:val="20"/>
              </w:rPr>
              <w:t>1.8</w:t>
            </w:r>
            <w:r>
              <w:rPr>
                <w:rStyle w:val="Strong"/>
                <w:rFonts w:asciiTheme="minorHAnsi" w:hAnsiTheme="minorHAnsi"/>
                <w:sz w:val="20"/>
                <w:szCs w:val="20"/>
              </w:rPr>
              <w:t>%</w:t>
            </w:r>
          </w:p>
        </w:tc>
      </w:tr>
      <w:tr w:rsidR="00C61524" w:rsidRPr="00E61AC8" w14:paraId="77F8ACBB" w14:textId="77777777" w:rsidTr="00E61AC8">
        <w:tc>
          <w:tcPr>
            <w:tcW w:w="1841" w:type="dxa"/>
            <w:tcBorders>
              <w:right w:val="single" w:sz="4" w:space="0" w:color="0079C1"/>
            </w:tcBorders>
          </w:tcPr>
          <w:p w14:paraId="0E223B83" w14:textId="77777777" w:rsidR="00C61524" w:rsidRPr="00E61AC8" w:rsidRDefault="00C61524" w:rsidP="00C61524">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2002</w:t>
            </w:r>
          </w:p>
        </w:tc>
        <w:tc>
          <w:tcPr>
            <w:tcW w:w="765" w:type="dxa"/>
            <w:tcBorders>
              <w:left w:val="single" w:sz="4" w:space="0" w:color="0079C1"/>
            </w:tcBorders>
            <w:shd w:val="clear" w:color="auto" w:fill="FFFFFF" w:themeFill="background1"/>
            <w:vAlign w:val="center"/>
          </w:tcPr>
          <w:p w14:paraId="5251C32A"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FFFFFF" w:themeFill="background1"/>
            <w:vAlign w:val="center"/>
          </w:tcPr>
          <w:p w14:paraId="25B91367" w14:textId="271FD130"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5" w:type="dxa"/>
            <w:tcBorders>
              <w:left w:val="single" w:sz="4" w:space="0" w:color="0079C1"/>
            </w:tcBorders>
            <w:shd w:val="clear" w:color="auto" w:fill="FFFFFF" w:themeFill="background1"/>
            <w:vAlign w:val="center"/>
          </w:tcPr>
          <w:p w14:paraId="482A1489"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auto"/>
            <w:vAlign w:val="center"/>
          </w:tcPr>
          <w:p w14:paraId="11629581" w14:textId="5242F533"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6" w:type="dxa"/>
            <w:tcBorders>
              <w:left w:val="single" w:sz="4" w:space="0" w:color="0079C1"/>
            </w:tcBorders>
            <w:shd w:val="clear" w:color="auto" w:fill="FFFFFF" w:themeFill="background1"/>
            <w:vAlign w:val="center"/>
          </w:tcPr>
          <w:p w14:paraId="0E0E1F27"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w:t>
            </w:r>
          </w:p>
        </w:tc>
        <w:tc>
          <w:tcPr>
            <w:tcW w:w="766" w:type="dxa"/>
            <w:tcBorders>
              <w:right w:val="single" w:sz="4" w:space="0" w:color="0079C1"/>
            </w:tcBorders>
            <w:shd w:val="clear" w:color="auto" w:fill="FFFFFF" w:themeFill="background1"/>
            <w:vAlign w:val="center"/>
          </w:tcPr>
          <w:p w14:paraId="4ECDD1DD" w14:textId="2882CBA0"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2.7%</w:t>
            </w:r>
          </w:p>
        </w:tc>
        <w:tc>
          <w:tcPr>
            <w:tcW w:w="765" w:type="dxa"/>
            <w:tcBorders>
              <w:left w:val="single" w:sz="4" w:space="0" w:color="0079C1"/>
            </w:tcBorders>
            <w:shd w:val="clear" w:color="auto" w:fill="FFFFFF" w:themeFill="background1"/>
            <w:vAlign w:val="center"/>
          </w:tcPr>
          <w:p w14:paraId="48F8FC0D"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FFFFFF" w:themeFill="background1"/>
            <w:vAlign w:val="center"/>
          </w:tcPr>
          <w:p w14:paraId="12EA66BA" w14:textId="5D599821"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5" w:type="dxa"/>
            <w:tcBorders>
              <w:left w:val="single" w:sz="4" w:space="0" w:color="0079C1"/>
            </w:tcBorders>
            <w:shd w:val="clear" w:color="auto" w:fill="FFFFFF" w:themeFill="background1"/>
            <w:vAlign w:val="center"/>
          </w:tcPr>
          <w:p w14:paraId="4573A58B" w14:textId="50456EB3" w:rsidR="00C61524" w:rsidRPr="00E61AC8" w:rsidRDefault="00C61524" w:rsidP="00C61524">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2</w:t>
            </w:r>
          </w:p>
        </w:tc>
        <w:tc>
          <w:tcPr>
            <w:tcW w:w="767" w:type="dxa"/>
            <w:shd w:val="clear" w:color="auto" w:fill="FFFFFF" w:themeFill="background1"/>
            <w:vAlign w:val="center"/>
          </w:tcPr>
          <w:p w14:paraId="00A29347" w14:textId="29657EA2" w:rsidR="00C61524" w:rsidRPr="00C61524" w:rsidRDefault="00C61524" w:rsidP="00C61524">
            <w:pPr>
              <w:tabs>
                <w:tab w:val="left" w:pos="318"/>
              </w:tabs>
              <w:spacing w:before="60" w:after="60"/>
              <w:jc w:val="center"/>
              <w:rPr>
                <w:rStyle w:val="Strong"/>
                <w:rFonts w:asciiTheme="minorHAnsi" w:hAnsiTheme="minorHAnsi"/>
                <w:b w:val="0"/>
                <w:sz w:val="20"/>
                <w:szCs w:val="20"/>
              </w:rPr>
            </w:pPr>
            <w:r w:rsidRPr="00E61AC8">
              <w:rPr>
                <w:rStyle w:val="Strong"/>
                <w:rFonts w:asciiTheme="minorHAnsi" w:hAnsiTheme="minorHAnsi"/>
                <w:sz w:val="20"/>
                <w:szCs w:val="20"/>
              </w:rPr>
              <w:t>0.9</w:t>
            </w:r>
            <w:r>
              <w:rPr>
                <w:rStyle w:val="Strong"/>
                <w:rFonts w:asciiTheme="minorHAnsi" w:hAnsiTheme="minorHAnsi"/>
                <w:sz w:val="20"/>
                <w:szCs w:val="20"/>
              </w:rPr>
              <w:t>%</w:t>
            </w:r>
          </w:p>
        </w:tc>
      </w:tr>
      <w:tr w:rsidR="00C61524" w:rsidRPr="00E61AC8" w14:paraId="75CFE55B" w14:textId="77777777" w:rsidTr="00E61AC8">
        <w:tc>
          <w:tcPr>
            <w:tcW w:w="1841" w:type="dxa"/>
            <w:tcBorders>
              <w:right w:val="single" w:sz="4" w:space="0" w:color="0079C1"/>
            </w:tcBorders>
          </w:tcPr>
          <w:p w14:paraId="1A078D01" w14:textId="77777777" w:rsidR="00C61524" w:rsidRPr="00E61AC8" w:rsidRDefault="00C61524" w:rsidP="00C61524">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2003</w:t>
            </w:r>
          </w:p>
        </w:tc>
        <w:tc>
          <w:tcPr>
            <w:tcW w:w="765" w:type="dxa"/>
            <w:tcBorders>
              <w:left w:val="single" w:sz="4" w:space="0" w:color="0079C1"/>
            </w:tcBorders>
            <w:shd w:val="clear" w:color="auto" w:fill="FFFFFF" w:themeFill="background1"/>
            <w:vAlign w:val="center"/>
          </w:tcPr>
          <w:p w14:paraId="2EB9232D"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FFFFFF" w:themeFill="background1"/>
            <w:vAlign w:val="center"/>
          </w:tcPr>
          <w:p w14:paraId="0F873796" w14:textId="13D81EC8"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5" w:type="dxa"/>
            <w:tcBorders>
              <w:left w:val="single" w:sz="4" w:space="0" w:color="0079C1"/>
            </w:tcBorders>
            <w:shd w:val="clear" w:color="auto" w:fill="FFFFFF" w:themeFill="background1"/>
            <w:vAlign w:val="center"/>
          </w:tcPr>
          <w:p w14:paraId="516C3ED9"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auto"/>
            <w:vAlign w:val="center"/>
          </w:tcPr>
          <w:p w14:paraId="40B3DE01" w14:textId="3E2EB0CD"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6" w:type="dxa"/>
            <w:tcBorders>
              <w:left w:val="single" w:sz="4" w:space="0" w:color="0079C1"/>
            </w:tcBorders>
            <w:shd w:val="clear" w:color="auto" w:fill="FFFFFF" w:themeFill="background1"/>
            <w:vAlign w:val="center"/>
          </w:tcPr>
          <w:p w14:paraId="4F5897AA"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10</w:t>
            </w:r>
          </w:p>
        </w:tc>
        <w:tc>
          <w:tcPr>
            <w:tcW w:w="766" w:type="dxa"/>
            <w:tcBorders>
              <w:right w:val="single" w:sz="4" w:space="0" w:color="0079C1"/>
            </w:tcBorders>
            <w:shd w:val="clear" w:color="auto" w:fill="FFFFFF" w:themeFill="background1"/>
            <w:vAlign w:val="center"/>
          </w:tcPr>
          <w:p w14:paraId="14BF43A8" w14:textId="1333D585"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13.7%</w:t>
            </w:r>
          </w:p>
        </w:tc>
        <w:tc>
          <w:tcPr>
            <w:tcW w:w="765" w:type="dxa"/>
            <w:tcBorders>
              <w:left w:val="single" w:sz="4" w:space="0" w:color="0079C1"/>
            </w:tcBorders>
            <w:shd w:val="clear" w:color="auto" w:fill="FFFFFF" w:themeFill="background1"/>
            <w:vAlign w:val="center"/>
          </w:tcPr>
          <w:p w14:paraId="089330EB"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FFFFFF" w:themeFill="background1"/>
            <w:vAlign w:val="center"/>
          </w:tcPr>
          <w:p w14:paraId="11C85348" w14:textId="4B6CEDCB"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5" w:type="dxa"/>
            <w:tcBorders>
              <w:left w:val="single" w:sz="4" w:space="0" w:color="0079C1"/>
            </w:tcBorders>
            <w:shd w:val="clear" w:color="auto" w:fill="FFFFFF" w:themeFill="background1"/>
            <w:vAlign w:val="center"/>
          </w:tcPr>
          <w:p w14:paraId="4D2FB591" w14:textId="3DD80965" w:rsidR="00C61524" w:rsidRPr="00E61AC8" w:rsidRDefault="00C61524" w:rsidP="00C61524">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w:t>
            </w:r>
          </w:p>
        </w:tc>
        <w:tc>
          <w:tcPr>
            <w:tcW w:w="767" w:type="dxa"/>
            <w:shd w:val="clear" w:color="auto" w:fill="FFFFFF" w:themeFill="background1"/>
            <w:vAlign w:val="center"/>
          </w:tcPr>
          <w:p w14:paraId="3A554F4C" w14:textId="664B9D52" w:rsidR="00C61524" w:rsidRPr="00C61524" w:rsidRDefault="00C61524" w:rsidP="00C61524">
            <w:pPr>
              <w:tabs>
                <w:tab w:val="left" w:pos="318"/>
              </w:tabs>
              <w:spacing w:before="60" w:after="60"/>
              <w:jc w:val="center"/>
              <w:rPr>
                <w:rStyle w:val="Strong"/>
                <w:rFonts w:asciiTheme="minorHAnsi" w:hAnsiTheme="minorHAnsi"/>
                <w:b w:val="0"/>
                <w:sz w:val="20"/>
                <w:szCs w:val="20"/>
              </w:rPr>
            </w:pPr>
            <w:r w:rsidRPr="00E61AC8">
              <w:rPr>
                <w:rStyle w:val="Strong"/>
                <w:rFonts w:asciiTheme="minorHAnsi" w:hAnsiTheme="minorHAnsi"/>
                <w:sz w:val="20"/>
                <w:szCs w:val="20"/>
              </w:rPr>
              <w:t>5.0</w:t>
            </w:r>
            <w:r>
              <w:rPr>
                <w:rStyle w:val="Strong"/>
                <w:rFonts w:asciiTheme="minorHAnsi" w:hAnsiTheme="minorHAnsi"/>
                <w:sz w:val="20"/>
                <w:szCs w:val="20"/>
              </w:rPr>
              <w:t>%</w:t>
            </w:r>
          </w:p>
        </w:tc>
      </w:tr>
      <w:tr w:rsidR="00C61524" w:rsidRPr="00E61AC8" w14:paraId="2765C9B1" w14:textId="77777777" w:rsidTr="00E61AC8">
        <w:tc>
          <w:tcPr>
            <w:tcW w:w="1841" w:type="dxa"/>
            <w:tcBorders>
              <w:right w:val="single" w:sz="4" w:space="0" w:color="0079C1"/>
            </w:tcBorders>
          </w:tcPr>
          <w:p w14:paraId="439ED097" w14:textId="77777777" w:rsidR="00C61524" w:rsidRPr="00E61AC8" w:rsidRDefault="00C61524" w:rsidP="00C61524">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2004</w:t>
            </w:r>
          </w:p>
        </w:tc>
        <w:tc>
          <w:tcPr>
            <w:tcW w:w="765" w:type="dxa"/>
            <w:tcBorders>
              <w:left w:val="single" w:sz="4" w:space="0" w:color="0079C1"/>
            </w:tcBorders>
            <w:shd w:val="clear" w:color="auto" w:fill="FFFFFF" w:themeFill="background1"/>
            <w:vAlign w:val="center"/>
          </w:tcPr>
          <w:p w14:paraId="3EB50659"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w:t>
            </w:r>
          </w:p>
        </w:tc>
        <w:tc>
          <w:tcPr>
            <w:tcW w:w="766" w:type="dxa"/>
            <w:tcBorders>
              <w:right w:val="single" w:sz="4" w:space="0" w:color="0079C1"/>
            </w:tcBorders>
            <w:shd w:val="clear" w:color="auto" w:fill="FFFFFF" w:themeFill="background1"/>
            <w:vAlign w:val="center"/>
          </w:tcPr>
          <w:p w14:paraId="41C167D6" w14:textId="240DB7DF"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1.9%</w:t>
            </w:r>
          </w:p>
        </w:tc>
        <w:tc>
          <w:tcPr>
            <w:tcW w:w="765" w:type="dxa"/>
            <w:tcBorders>
              <w:left w:val="single" w:sz="4" w:space="0" w:color="0079C1"/>
            </w:tcBorders>
            <w:shd w:val="clear" w:color="auto" w:fill="FFFFFF" w:themeFill="background1"/>
            <w:vAlign w:val="center"/>
          </w:tcPr>
          <w:p w14:paraId="33B95EF9"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auto"/>
            <w:vAlign w:val="center"/>
          </w:tcPr>
          <w:p w14:paraId="697D5550" w14:textId="028322EB"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6" w:type="dxa"/>
            <w:tcBorders>
              <w:left w:val="single" w:sz="4" w:space="0" w:color="0079C1"/>
            </w:tcBorders>
            <w:shd w:val="clear" w:color="auto" w:fill="FFFFFF" w:themeFill="background1"/>
            <w:vAlign w:val="center"/>
          </w:tcPr>
          <w:p w14:paraId="083EDC9F"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6</w:t>
            </w:r>
          </w:p>
        </w:tc>
        <w:tc>
          <w:tcPr>
            <w:tcW w:w="766" w:type="dxa"/>
            <w:tcBorders>
              <w:right w:val="single" w:sz="4" w:space="0" w:color="0079C1"/>
            </w:tcBorders>
            <w:shd w:val="clear" w:color="auto" w:fill="FFFFFF" w:themeFill="background1"/>
            <w:vAlign w:val="center"/>
          </w:tcPr>
          <w:p w14:paraId="6EA26B38" w14:textId="41499283"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8.2%</w:t>
            </w:r>
          </w:p>
        </w:tc>
        <w:tc>
          <w:tcPr>
            <w:tcW w:w="765" w:type="dxa"/>
            <w:tcBorders>
              <w:left w:val="single" w:sz="4" w:space="0" w:color="0079C1"/>
            </w:tcBorders>
            <w:shd w:val="clear" w:color="auto" w:fill="FFFFFF" w:themeFill="background1"/>
            <w:vAlign w:val="center"/>
          </w:tcPr>
          <w:p w14:paraId="67F82AAB"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FFFFFF" w:themeFill="background1"/>
            <w:vAlign w:val="center"/>
          </w:tcPr>
          <w:p w14:paraId="3689CE8B" w14:textId="662B47D0"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5" w:type="dxa"/>
            <w:tcBorders>
              <w:left w:val="single" w:sz="4" w:space="0" w:color="0079C1"/>
            </w:tcBorders>
            <w:shd w:val="clear" w:color="auto" w:fill="FFFFFF" w:themeFill="background1"/>
            <w:vAlign w:val="center"/>
          </w:tcPr>
          <w:p w14:paraId="5FC57DF7" w14:textId="434DEB61" w:rsidR="00C61524" w:rsidRPr="00E61AC8" w:rsidRDefault="00C61524" w:rsidP="00C61524">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8</w:t>
            </w:r>
          </w:p>
        </w:tc>
        <w:tc>
          <w:tcPr>
            <w:tcW w:w="767" w:type="dxa"/>
            <w:shd w:val="clear" w:color="auto" w:fill="FFFFFF" w:themeFill="background1"/>
            <w:vAlign w:val="center"/>
          </w:tcPr>
          <w:p w14:paraId="367E53E8" w14:textId="7B4BEE45" w:rsidR="00C61524" w:rsidRPr="00C61524" w:rsidRDefault="00C61524" w:rsidP="00C61524">
            <w:pPr>
              <w:tabs>
                <w:tab w:val="left" w:pos="318"/>
              </w:tabs>
              <w:spacing w:before="60" w:after="60"/>
              <w:jc w:val="center"/>
              <w:rPr>
                <w:rStyle w:val="Strong"/>
                <w:rFonts w:asciiTheme="minorHAnsi" w:hAnsiTheme="minorHAnsi"/>
                <w:b w:val="0"/>
                <w:sz w:val="20"/>
                <w:szCs w:val="20"/>
              </w:rPr>
            </w:pPr>
            <w:r w:rsidRPr="00E61AC8">
              <w:rPr>
                <w:rStyle w:val="Strong"/>
                <w:rFonts w:asciiTheme="minorHAnsi" w:hAnsiTheme="minorHAnsi"/>
                <w:sz w:val="20"/>
                <w:szCs w:val="20"/>
              </w:rPr>
              <w:t>3.6</w:t>
            </w:r>
            <w:r>
              <w:rPr>
                <w:rStyle w:val="Strong"/>
                <w:rFonts w:asciiTheme="minorHAnsi" w:hAnsiTheme="minorHAnsi"/>
                <w:sz w:val="20"/>
                <w:szCs w:val="20"/>
              </w:rPr>
              <w:t>%</w:t>
            </w:r>
          </w:p>
        </w:tc>
      </w:tr>
      <w:tr w:rsidR="00C61524" w:rsidRPr="00E61AC8" w14:paraId="62AE0422" w14:textId="77777777" w:rsidTr="00E61AC8">
        <w:tc>
          <w:tcPr>
            <w:tcW w:w="1841" w:type="dxa"/>
            <w:tcBorders>
              <w:right w:val="single" w:sz="4" w:space="0" w:color="0079C1"/>
            </w:tcBorders>
          </w:tcPr>
          <w:p w14:paraId="06F7600C" w14:textId="77777777" w:rsidR="00C61524" w:rsidRPr="00E61AC8" w:rsidRDefault="00C61524" w:rsidP="00C61524">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2005</w:t>
            </w:r>
          </w:p>
        </w:tc>
        <w:tc>
          <w:tcPr>
            <w:tcW w:w="765" w:type="dxa"/>
            <w:tcBorders>
              <w:left w:val="single" w:sz="4" w:space="0" w:color="0079C1"/>
            </w:tcBorders>
            <w:shd w:val="clear" w:color="auto" w:fill="FFFFFF" w:themeFill="background1"/>
            <w:vAlign w:val="center"/>
          </w:tcPr>
          <w:p w14:paraId="5B2C708B"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w:t>
            </w:r>
          </w:p>
        </w:tc>
        <w:tc>
          <w:tcPr>
            <w:tcW w:w="766" w:type="dxa"/>
            <w:tcBorders>
              <w:right w:val="single" w:sz="4" w:space="0" w:color="0079C1"/>
            </w:tcBorders>
            <w:shd w:val="clear" w:color="auto" w:fill="FFFFFF" w:themeFill="background1"/>
            <w:vAlign w:val="center"/>
          </w:tcPr>
          <w:p w14:paraId="52E66993" w14:textId="3CC71531"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0.9%</w:t>
            </w:r>
          </w:p>
        </w:tc>
        <w:tc>
          <w:tcPr>
            <w:tcW w:w="765" w:type="dxa"/>
            <w:tcBorders>
              <w:left w:val="single" w:sz="4" w:space="0" w:color="0079C1"/>
            </w:tcBorders>
            <w:shd w:val="clear" w:color="auto" w:fill="FFFFFF" w:themeFill="background1"/>
            <w:vAlign w:val="center"/>
          </w:tcPr>
          <w:p w14:paraId="6C6D0783"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w:t>
            </w:r>
          </w:p>
        </w:tc>
        <w:tc>
          <w:tcPr>
            <w:tcW w:w="766" w:type="dxa"/>
            <w:tcBorders>
              <w:right w:val="single" w:sz="4" w:space="0" w:color="0079C1"/>
            </w:tcBorders>
            <w:shd w:val="clear" w:color="auto" w:fill="auto"/>
            <w:vAlign w:val="center"/>
          </w:tcPr>
          <w:p w14:paraId="2DC62800" w14:textId="3D7F6272"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5.0%</w:t>
            </w:r>
          </w:p>
        </w:tc>
        <w:tc>
          <w:tcPr>
            <w:tcW w:w="766" w:type="dxa"/>
            <w:tcBorders>
              <w:left w:val="single" w:sz="4" w:space="0" w:color="0079C1"/>
            </w:tcBorders>
            <w:shd w:val="clear" w:color="auto" w:fill="FFFFFF" w:themeFill="background1"/>
            <w:vAlign w:val="center"/>
          </w:tcPr>
          <w:p w14:paraId="25F941C6"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9</w:t>
            </w:r>
          </w:p>
        </w:tc>
        <w:tc>
          <w:tcPr>
            <w:tcW w:w="766" w:type="dxa"/>
            <w:tcBorders>
              <w:right w:val="single" w:sz="4" w:space="0" w:color="0079C1"/>
            </w:tcBorders>
            <w:shd w:val="clear" w:color="auto" w:fill="FFFFFF" w:themeFill="background1"/>
            <w:vAlign w:val="center"/>
          </w:tcPr>
          <w:p w14:paraId="665CFE20" w14:textId="2F1EA5EA"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12.3%</w:t>
            </w:r>
          </w:p>
        </w:tc>
        <w:tc>
          <w:tcPr>
            <w:tcW w:w="765" w:type="dxa"/>
            <w:tcBorders>
              <w:left w:val="single" w:sz="4" w:space="0" w:color="0079C1"/>
            </w:tcBorders>
            <w:shd w:val="clear" w:color="auto" w:fill="FFFFFF" w:themeFill="background1"/>
            <w:vAlign w:val="center"/>
          </w:tcPr>
          <w:p w14:paraId="188E107B"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FFFFFF" w:themeFill="background1"/>
            <w:vAlign w:val="center"/>
          </w:tcPr>
          <w:p w14:paraId="1D1B0605" w14:textId="5388223D"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5" w:type="dxa"/>
            <w:tcBorders>
              <w:left w:val="single" w:sz="4" w:space="0" w:color="0079C1"/>
            </w:tcBorders>
            <w:shd w:val="clear" w:color="auto" w:fill="FFFFFF" w:themeFill="background1"/>
            <w:vAlign w:val="center"/>
          </w:tcPr>
          <w:p w14:paraId="30C29E4C" w14:textId="666AC1EF" w:rsidR="00C61524" w:rsidRPr="00E61AC8" w:rsidRDefault="00C61524" w:rsidP="00C61524">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11</w:t>
            </w:r>
          </w:p>
        </w:tc>
        <w:tc>
          <w:tcPr>
            <w:tcW w:w="767" w:type="dxa"/>
            <w:shd w:val="clear" w:color="auto" w:fill="FFFFFF" w:themeFill="background1"/>
            <w:vAlign w:val="center"/>
          </w:tcPr>
          <w:p w14:paraId="353F9118" w14:textId="585CA6FC" w:rsidR="00C61524" w:rsidRPr="00C61524" w:rsidRDefault="00C61524" w:rsidP="00C61524">
            <w:pPr>
              <w:tabs>
                <w:tab w:val="left" w:pos="318"/>
              </w:tabs>
              <w:spacing w:before="60" w:after="60"/>
              <w:jc w:val="center"/>
              <w:rPr>
                <w:rStyle w:val="Strong"/>
                <w:rFonts w:asciiTheme="minorHAnsi" w:hAnsiTheme="minorHAnsi"/>
                <w:b w:val="0"/>
                <w:sz w:val="20"/>
                <w:szCs w:val="20"/>
              </w:rPr>
            </w:pPr>
            <w:r w:rsidRPr="00E61AC8">
              <w:rPr>
                <w:rStyle w:val="Strong"/>
                <w:rFonts w:asciiTheme="minorHAnsi" w:hAnsiTheme="minorHAnsi"/>
                <w:sz w:val="20"/>
                <w:szCs w:val="20"/>
              </w:rPr>
              <w:t>5.0</w:t>
            </w:r>
            <w:r>
              <w:rPr>
                <w:rStyle w:val="Strong"/>
                <w:rFonts w:asciiTheme="minorHAnsi" w:hAnsiTheme="minorHAnsi"/>
                <w:sz w:val="20"/>
                <w:szCs w:val="20"/>
              </w:rPr>
              <w:t>%</w:t>
            </w:r>
          </w:p>
        </w:tc>
      </w:tr>
      <w:tr w:rsidR="00C61524" w:rsidRPr="00E61AC8" w14:paraId="34354A3F" w14:textId="77777777" w:rsidTr="00E61AC8">
        <w:tc>
          <w:tcPr>
            <w:tcW w:w="1841" w:type="dxa"/>
            <w:tcBorders>
              <w:right w:val="single" w:sz="4" w:space="0" w:color="0079C1"/>
            </w:tcBorders>
          </w:tcPr>
          <w:p w14:paraId="48E171F4" w14:textId="77777777" w:rsidR="00C61524" w:rsidRPr="00E61AC8" w:rsidRDefault="00C61524" w:rsidP="00C61524">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2006</w:t>
            </w:r>
          </w:p>
        </w:tc>
        <w:tc>
          <w:tcPr>
            <w:tcW w:w="765" w:type="dxa"/>
            <w:tcBorders>
              <w:left w:val="single" w:sz="4" w:space="0" w:color="0079C1"/>
            </w:tcBorders>
            <w:shd w:val="clear" w:color="auto" w:fill="FFFFFF" w:themeFill="background1"/>
            <w:vAlign w:val="center"/>
          </w:tcPr>
          <w:p w14:paraId="0BDD832C"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4</w:t>
            </w:r>
          </w:p>
        </w:tc>
        <w:tc>
          <w:tcPr>
            <w:tcW w:w="766" w:type="dxa"/>
            <w:tcBorders>
              <w:right w:val="single" w:sz="4" w:space="0" w:color="0079C1"/>
            </w:tcBorders>
            <w:shd w:val="clear" w:color="auto" w:fill="FFFFFF" w:themeFill="background1"/>
            <w:vAlign w:val="center"/>
          </w:tcPr>
          <w:p w14:paraId="4BFDE72E" w14:textId="61C87BAD"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3.7%</w:t>
            </w:r>
          </w:p>
        </w:tc>
        <w:tc>
          <w:tcPr>
            <w:tcW w:w="765" w:type="dxa"/>
            <w:tcBorders>
              <w:left w:val="single" w:sz="4" w:space="0" w:color="0079C1"/>
            </w:tcBorders>
            <w:shd w:val="clear" w:color="auto" w:fill="FFFFFF" w:themeFill="background1"/>
            <w:vAlign w:val="center"/>
          </w:tcPr>
          <w:p w14:paraId="669AB264"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auto"/>
            <w:vAlign w:val="center"/>
          </w:tcPr>
          <w:p w14:paraId="57BA88A2" w14:textId="3C4860AA"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6" w:type="dxa"/>
            <w:tcBorders>
              <w:left w:val="single" w:sz="4" w:space="0" w:color="0079C1"/>
            </w:tcBorders>
            <w:shd w:val="clear" w:color="auto" w:fill="FFFFFF" w:themeFill="background1"/>
            <w:vAlign w:val="center"/>
          </w:tcPr>
          <w:p w14:paraId="2A1894AE"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5</w:t>
            </w:r>
          </w:p>
        </w:tc>
        <w:tc>
          <w:tcPr>
            <w:tcW w:w="766" w:type="dxa"/>
            <w:tcBorders>
              <w:right w:val="single" w:sz="4" w:space="0" w:color="0079C1"/>
            </w:tcBorders>
            <w:shd w:val="clear" w:color="auto" w:fill="FFFFFF" w:themeFill="background1"/>
            <w:vAlign w:val="center"/>
          </w:tcPr>
          <w:p w14:paraId="0C0CAB49" w14:textId="48B72928"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6.8%</w:t>
            </w:r>
          </w:p>
        </w:tc>
        <w:tc>
          <w:tcPr>
            <w:tcW w:w="765" w:type="dxa"/>
            <w:tcBorders>
              <w:left w:val="single" w:sz="4" w:space="0" w:color="0079C1"/>
            </w:tcBorders>
            <w:shd w:val="clear" w:color="auto" w:fill="FFFFFF" w:themeFill="background1"/>
            <w:vAlign w:val="center"/>
          </w:tcPr>
          <w:p w14:paraId="5D13BB5A"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FFFFFF" w:themeFill="background1"/>
            <w:vAlign w:val="center"/>
          </w:tcPr>
          <w:p w14:paraId="59074F80" w14:textId="1AA69B13"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5" w:type="dxa"/>
            <w:tcBorders>
              <w:left w:val="single" w:sz="4" w:space="0" w:color="0079C1"/>
            </w:tcBorders>
            <w:shd w:val="clear" w:color="auto" w:fill="FFFFFF" w:themeFill="background1"/>
            <w:vAlign w:val="center"/>
          </w:tcPr>
          <w:p w14:paraId="0881B93F" w14:textId="44ECC2E7" w:rsidR="00C61524" w:rsidRPr="00E61AC8" w:rsidRDefault="00C61524" w:rsidP="00C61524">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9</w:t>
            </w:r>
          </w:p>
        </w:tc>
        <w:tc>
          <w:tcPr>
            <w:tcW w:w="767" w:type="dxa"/>
            <w:shd w:val="clear" w:color="auto" w:fill="FFFFFF" w:themeFill="background1"/>
            <w:vAlign w:val="center"/>
          </w:tcPr>
          <w:p w14:paraId="73AC4DE5" w14:textId="23C807BB" w:rsidR="00C61524" w:rsidRPr="00C61524" w:rsidRDefault="00C61524" w:rsidP="00C61524">
            <w:pPr>
              <w:tabs>
                <w:tab w:val="left" w:pos="318"/>
              </w:tabs>
              <w:spacing w:before="60" w:after="60"/>
              <w:jc w:val="center"/>
              <w:rPr>
                <w:rStyle w:val="Strong"/>
                <w:rFonts w:asciiTheme="minorHAnsi" w:hAnsiTheme="minorHAnsi"/>
                <w:b w:val="0"/>
                <w:sz w:val="20"/>
                <w:szCs w:val="20"/>
              </w:rPr>
            </w:pPr>
            <w:r w:rsidRPr="00E61AC8">
              <w:rPr>
                <w:rStyle w:val="Strong"/>
                <w:rFonts w:asciiTheme="minorHAnsi" w:hAnsiTheme="minorHAnsi"/>
                <w:sz w:val="20"/>
                <w:szCs w:val="20"/>
              </w:rPr>
              <w:t>4.1</w:t>
            </w:r>
            <w:r>
              <w:rPr>
                <w:rStyle w:val="Strong"/>
                <w:rFonts w:asciiTheme="minorHAnsi" w:hAnsiTheme="minorHAnsi"/>
                <w:sz w:val="20"/>
                <w:szCs w:val="20"/>
              </w:rPr>
              <w:t>%</w:t>
            </w:r>
          </w:p>
        </w:tc>
      </w:tr>
      <w:tr w:rsidR="00C61524" w:rsidRPr="00E61AC8" w14:paraId="592A4A17" w14:textId="77777777" w:rsidTr="00E61AC8">
        <w:tc>
          <w:tcPr>
            <w:tcW w:w="1841" w:type="dxa"/>
            <w:tcBorders>
              <w:right w:val="single" w:sz="4" w:space="0" w:color="0079C1"/>
            </w:tcBorders>
          </w:tcPr>
          <w:p w14:paraId="7B6E16B2" w14:textId="77777777" w:rsidR="00C61524" w:rsidRPr="00E61AC8" w:rsidRDefault="00C61524" w:rsidP="00C61524">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2007</w:t>
            </w:r>
          </w:p>
        </w:tc>
        <w:tc>
          <w:tcPr>
            <w:tcW w:w="765" w:type="dxa"/>
            <w:tcBorders>
              <w:left w:val="single" w:sz="4" w:space="0" w:color="0079C1"/>
            </w:tcBorders>
            <w:shd w:val="clear" w:color="auto" w:fill="FFFFFF" w:themeFill="background1"/>
            <w:vAlign w:val="center"/>
          </w:tcPr>
          <w:p w14:paraId="49699344"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w:t>
            </w:r>
          </w:p>
        </w:tc>
        <w:tc>
          <w:tcPr>
            <w:tcW w:w="766" w:type="dxa"/>
            <w:tcBorders>
              <w:right w:val="single" w:sz="4" w:space="0" w:color="0079C1"/>
            </w:tcBorders>
            <w:shd w:val="clear" w:color="auto" w:fill="FFFFFF" w:themeFill="background1"/>
            <w:vAlign w:val="center"/>
          </w:tcPr>
          <w:p w14:paraId="7243610E" w14:textId="4E2BA1F9"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0.9%</w:t>
            </w:r>
          </w:p>
        </w:tc>
        <w:tc>
          <w:tcPr>
            <w:tcW w:w="765" w:type="dxa"/>
            <w:tcBorders>
              <w:left w:val="single" w:sz="4" w:space="0" w:color="0079C1"/>
            </w:tcBorders>
            <w:shd w:val="clear" w:color="auto" w:fill="FFFFFF" w:themeFill="background1"/>
            <w:vAlign w:val="center"/>
          </w:tcPr>
          <w:p w14:paraId="1DEF4F9F"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auto"/>
            <w:vAlign w:val="center"/>
          </w:tcPr>
          <w:p w14:paraId="00CE5212" w14:textId="6D0B6B6F"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6" w:type="dxa"/>
            <w:tcBorders>
              <w:left w:val="single" w:sz="4" w:space="0" w:color="0079C1"/>
            </w:tcBorders>
            <w:shd w:val="clear" w:color="auto" w:fill="FFFFFF" w:themeFill="background1"/>
            <w:vAlign w:val="center"/>
          </w:tcPr>
          <w:p w14:paraId="062F1EB6"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5</w:t>
            </w:r>
          </w:p>
        </w:tc>
        <w:tc>
          <w:tcPr>
            <w:tcW w:w="766" w:type="dxa"/>
            <w:tcBorders>
              <w:right w:val="single" w:sz="4" w:space="0" w:color="0079C1"/>
            </w:tcBorders>
            <w:shd w:val="clear" w:color="auto" w:fill="FFFFFF" w:themeFill="background1"/>
            <w:vAlign w:val="center"/>
          </w:tcPr>
          <w:p w14:paraId="58B9D900" w14:textId="5C044E93"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6.8%</w:t>
            </w:r>
          </w:p>
        </w:tc>
        <w:tc>
          <w:tcPr>
            <w:tcW w:w="765" w:type="dxa"/>
            <w:tcBorders>
              <w:left w:val="single" w:sz="4" w:space="0" w:color="0079C1"/>
            </w:tcBorders>
            <w:shd w:val="clear" w:color="auto" w:fill="FFFFFF" w:themeFill="background1"/>
            <w:vAlign w:val="center"/>
          </w:tcPr>
          <w:p w14:paraId="6CC6B2C5"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w:t>
            </w:r>
          </w:p>
        </w:tc>
        <w:tc>
          <w:tcPr>
            <w:tcW w:w="766" w:type="dxa"/>
            <w:tcBorders>
              <w:right w:val="single" w:sz="4" w:space="0" w:color="0079C1"/>
            </w:tcBorders>
            <w:shd w:val="clear" w:color="auto" w:fill="FFFFFF" w:themeFill="background1"/>
            <w:vAlign w:val="center"/>
          </w:tcPr>
          <w:p w14:paraId="1DC52907" w14:textId="2EDDD88C"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5.3%</w:t>
            </w:r>
          </w:p>
        </w:tc>
        <w:tc>
          <w:tcPr>
            <w:tcW w:w="765" w:type="dxa"/>
            <w:tcBorders>
              <w:left w:val="single" w:sz="4" w:space="0" w:color="0079C1"/>
            </w:tcBorders>
            <w:shd w:val="clear" w:color="auto" w:fill="FFFFFF" w:themeFill="background1"/>
            <w:vAlign w:val="center"/>
          </w:tcPr>
          <w:p w14:paraId="2FC3B5F4" w14:textId="35809CD9" w:rsidR="00C61524" w:rsidRPr="00E61AC8" w:rsidRDefault="00C61524" w:rsidP="00C61524">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7</w:t>
            </w:r>
          </w:p>
        </w:tc>
        <w:tc>
          <w:tcPr>
            <w:tcW w:w="767" w:type="dxa"/>
            <w:shd w:val="clear" w:color="auto" w:fill="FFFFFF" w:themeFill="background1"/>
            <w:vAlign w:val="center"/>
          </w:tcPr>
          <w:p w14:paraId="02282544" w14:textId="0467ECDF" w:rsidR="00C61524" w:rsidRPr="00C61524" w:rsidRDefault="00C61524" w:rsidP="00C61524">
            <w:pPr>
              <w:tabs>
                <w:tab w:val="left" w:pos="318"/>
              </w:tabs>
              <w:spacing w:before="60" w:after="60"/>
              <w:jc w:val="center"/>
              <w:rPr>
                <w:rStyle w:val="Strong"/>
                <w:rFonts w:asciiTheme="minorHAnsi" w:hAnsiTheme="minorHAnsi"/>
                <w:b w:val="0"/>
                <w:sz w:val="20"/>
                <w:szCs w:val="20"/>
              </w:rPr>
            </w:pPr>
            <w:r w:rsidRPr="00E61AC8">
              <w:rPr>
                <w:rStyle w:val="Strong"/>
                <w:rFonts w:asciiTheme="minorHAnsi" w:hAnsiTheme="minorHAnsi"/>
                <w:sz w:val="20"/>
                <w:szCs w:val="20"/>
              </w:rPr>
              <w:t>3.1</w:t>
            </w:r>
            <w:r>
              <w:rPr>
                <w:rStyle w:val="Strong"/>
                <w:rFonts w:asciiTheme="minorHAnsi" w:hAnsiTheme="minorHAnsi"/>
                <w:sz w:val="20"/>
                <w:szCs w:val="20"/>
              </w:rPr>
              <w:t>%</w:t>
            </w:r>
          </w:p>
        </w:tc>
      </w:tr>
      <w:tr w:rsidR="00C61524" w:rsidRPr="00E61AC8" w14:paraId="35CBBA28" w14:textId="77777777" w:rsidTr="00E61AC8">
        <w:tc>
          <w:tcPr>
            <w:tcW w:w="1841" w:type="dxa"/>
            <w:tcBorders>
              <w:right w:val="single" w:sz="4" w:space="0" w:color="0079C1"/>
            </w:tcBorders>
          </w:tcPr>
          <w:p w14:paraId="46692A86" w14:textId="77777777" w:rsidR="00C61524" w:rsidRPr="00E61AC8" w:rsidRDefault="00C61524" w:rsidP="00C61524">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2008</w:t>
            </w:r>
          </w:p>
        </w:tc>
        <w:tc>
          <w:tcPr>
            <w:tcW w:w="765" w:type="dxa"/>
            <w:tcBorders>
              <w:left w:val="single" w:sz="4" w:space="0" w:color="0079C1"/>
            </w:tcBorders>
            <w:shd w:val="clear" w:color="auto" w:fill="FFFFFF" w:themeFill="background1"/>
            <w:vAlign w:val="center"/>
          </w:tcPr>
          <w:p w14:paraId="4B91432D"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w:t>
            </w:r>
          </w:p>
        </w:tc>
        <w:tc>
          <w:tcPr>
            <w:tcW w:w="766" w:type="dxa"/>
            <w:tcBorders>
              <w:right w:val="single" w:sz="4" w:space="0" w:color="0079C1"/>
            </w:tcBorders>
            <w:shd w:val="clear" w:color="auto" w:fill="FFFFFF" w:themeFill="background1"/>
            <w:vAlign w:val="center"/>
          </w:tcPr>
          <w:p w14:paraId="1ECAEFCA" w14:textId="0986C51E"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0.9%</w:t>
            </w:r>
          </w:p>
        </w:tc>
        <w:tc>
          <w:tcPr>
            <w:tcW w:w="765" w:type="dxa"/>
            <w:tcBorders>
              <w:left w:val="single" w:sz="4" w:space="0" w:color="0079C1"/>
            </w:tcBorders>
            <w:shd w:val="clear" w:color="auto" w:fill="FFFFFF" w:themeFill="background1"/>
            <w:vAlign w:val="center"/>
          </w:tcPr>
          <w:p w14:paraId="6A5DD513"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w:t>
            </w:r>
          </w:p>
        </w:tc>
        <w:tc>
          <w:tcPr>
            <w:tcW w:w="766" w:type="dxa"/>
            <w:tcBorders>
              <w:right w:val="single" w:sz="4" w:space="0" w:color="0079C1"/>
            </w:tcBorders>
            <w:shd w:val="clear" w:color="auto" w:fill="auto"/>
            <w:vAlign w:val="center"/>
          </w:tcPr>
          <w:p w14:paraId="2CC418B0" w14:textId="136AE7C2"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5.0%</w:t>
            </w:r>
          </w:p>
        </w:tc>
        <w:tc>
          <w:tcPr>
            <w:tcW w:w="766" w:type="dxa"/>
            <w:tcBorders>
              <w:left w:val="single" w:sz="4" w:space="0" w:color="0079C1"/>
            </w:tcBorders>
            <w:shd w:val="clear" w:color="auto" w:fill="FFFFFF" w:themeFill="background1"/>
            <w:vAlign w:val="center"/>
          </w:tcPr>
          <w:p w14:paraId="79F3E928"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w:t>
            </w:r>
          </w:p>
        </w:tc>
        <w:tc>
          <w:tcPr>
            <w:tcW w:w="766" w:type="dxa"/>
            <w:tcBorders>
              <w:right w:val="single" w:sz="4" w:space="0" w:color="0079C1"/>
            </w:tcBorders>
            <w:shd w:val="clear" w:color="auto" w:fill="FFFFFF" w:themeFill="background1"/>
            <w:vAlign w:val="center"/>
          </w:tcPr>
          <w:p w14:paraId="1D449FD7" w14:textId="594E52C2"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2.7%</w:t>
            </w:r>
          </w:p>
        </w:tc>
        <w:tc>
          <w:tcPr>
            <w:tcW w:w="765" w:type="dxa"/>
            <w:tcBorders>
              <w:left w:val="single" w:sz="4" w:space="0" w:color="0079C1"/>
            </w:tcBorders>
            <w:shd w:val="clear" w:color="auto" w:fill="FFFFFF" w:themeFill="background1"/>
            <w:vAlign w:val="center"/>
          </w:tcPr>
          <w:p w14:paraId="6CB4BBC4"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FFFFFF" w:themeFill="background1"/>
            <w:vAlign w:val="center"/>
          </w:tcPr>
          <w:p w14:paraId="6C944509" w14:textId="45CAF6D6"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5" w:type="dxa"/>
            <w:tcBorders>
              <w:left w:val="single" w:sz="4" w:space="0" w:color="0079C1"/>
            </w:tcBorders>
            <w:shd w:val="clear" w:color="auto" w:fill="FFFFFF" w:themeFill="background1"/>
            <w:vAlign w:val="center"/>
          </w:tcPr>
          <w:p w14:paraId="0F296D9F" w14:textId="3FE541B6" w:rsidR="00C61524" w:rsidRPr="00E61AC8" w:rsidRDefault="00C61524" w:rsidP="00C61524">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4</w:t>
            </w:r>
          </w:p>
        </w:tc>
        <w:tc>
          <w:tcPr>
            <w:tcW w:w="767" w:type="dxa"/>
            <w:shd w:val="clear" w:color="auto" w:fill="FFFFFF" w:themeFill="background1"/>
            <w:vAlign w:val="center"/>
          </w:tcPr>
          <w:p w14:paraId="435F3046" w14:textId="13C75A81" w:rsidR="00C61524" w:rsidRPr="00C61524" w:rsidRDefault="00C61524" w:rsidP="00C61524">
            <w:pPr>
              <w:tabs>
                <w:tab w:val="left" w:pos="318"/>
              </w:tabs>
              <w:spacing w:before="60" w:after="60"/>
              <w:jc w:val="center"/>
              <w:rPr>
                <w:rStyle w:val="Strong"/>
                <w:rFonts w:asciiTheme="minorHAnsi" w:hAnsiTheme="minorHAnsi"/>
                <w:b w:val="0"/>
                <w:sz w:val="20"/>
                <w:szCs w:val="20"/>
              </w:rPr>
            </w:pPr>
            <w:r w:rsidRPr="00E61AC8">
              <w:rPr>
                <w:rStyle w:val="Strong"/>
                <w:rFonts w:asciiTheme="minorHAnsi" w:hAnsiTheme="minorHAnsi"/>
                <w:sz w:val="20"/>
                <w:szCs w:val="20"/>
              </w:rPr>
              <w:t>1.8</w:t>
            </w:r>
            <w:r>
              <w:rPr>
                <w:rStyle w:val="Strong"/>
                <w:rFonts w:asciiTheme="minorHAnsi" w:hAnsiTheme="minorHAnsi"/>
                <w:sz w:val="20"/>
                <w:szCs w:val="20"/>
              </w:rPr>
              <w:t>%</w:t>
            </w:r>
          </w:p>
        </w:tc>
      </w:tr>
      <w:tr w:rsidR="00C61524" w:rsidRPr="00E61AC8" w14:paraId="4C6C5015" w14:textId="77777777" w:rsidTr="00E61AC8">
        <w:tc>
          <w:tcPr>
            <w:tcW w:w="1841" w:type="dxa"/>
            <w:tcBorders>
              <w:right w:val="single" w:sz="4" w:space="0" w:color="0079C1"/>
            </w:tcBorders>
          </w:tcPr>
          <w:p w14:paraId="63B16A5E" w14:textId="77777777" w:rsidR="00C61524" w:rsidRPr="00E61AC8" w:rsidRDefault="00C61524" w:rsidP="00C61524">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2009</w:t>
            </w:r>
          </w:p>
        </w:tc>
        <w:tc>
          <w:tcPr>
            <w:tcW w:w="765" w:type="dxa"/>
            <w:tcBorders>
              <w:left w:val="single" w:sz="4" w:space="0" w:color="0079C1"/>
            </w:tcBorders>
            <w:shd w:val="clear" w:color="auto" w:fill="FFFFFF" w:themeFill="background1"/>
            <w:vAlign w:val="center"/>
          </w:tcPr>
          <w:p w14:paraId="284A902F"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w:t>
            </w:r>
          </w:p>
        </w:tc>
        <w:tc>
          <w:tcPr>
            <w:tcW w:w="766" w:type="dxa"/>
            <w:tcBorders>
              <w:right w:val="single" w:sz="4" w:space="0" w:color="0079C1"/>
            </w:tcBorders>
            <w:shd w:val="clear" w:color="auto" w:fill="FFFFFF" w:themeFill="background1"/>
            <w:vAlign w:val="center"/>
          </w:tcPr>
          <w:p w14:paraId="4F8A3477" w14:textId="57E22492"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0.9%</w:t>
            </w:r>
          </w:p>
        </w:tc>
        <w:tc>
          <w:tcPr>
            <w:tcW w:w="765" w:type="dxa"/>
            <w:tcBorders>
              <w:left w:val="single" w:sz="4" w:space="0" w:color="0079C1"/>
            </w:tcBorders>
            <w:shd w:val="clear" w:color="auto" w:fill="FFFFFF" w:themeFill="background1"/>
            <w:vAlign w:val="center"/>
          </w:tcPr>
          <w:p w14:paraId="040B8776"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auto"/>
            <w:vAlign w:val="center"/>
          </w:tcPr>
          <w:p w14:paraId="49585F42" w14:textId="2BCD2C7F"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6" w:type="dxa"/>
            <w:tcBorders>
              <w:left w:val="single" w:sz="4" w:space="0" w:color="0079C1"/>
            </w:tcBorders>
            <w:shd w:val="clear" w:color="auto" w:fill="FFFFFF" w:themeFill="background1"/>
            <w:vAlign w:val="center"/>
          </w:tcPr>
          <w:p w14:paraId="5E4B32F4"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4</w:t>
            </w:r>
          </w:p>
        </w:tc>
        <w:tc>
          <w:tcPr>
            <w:tcW w:w="766" w:type="dxa"/>
            <w:tcBorders>
              <w:right w:val="single" w:sz="4" w:space="0" w:color="0079C1"/>
            </w:tcBorders>
            <w:shd w:val="clear" w:color="auto" w:fill="FFFFFF" w:themeFill="background1"/>
            <w:vAlign w:val="center"/>
          </w:tcPr>
          <w:p w14:paraId="05EE9B87" w14:textId="738E5E68"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5.5%</w:t>
            </w:r>
          </w:p>
        </w:tc>
        <w:tc>
          <w:tcPr>
            <w:tcW w:w="765" w:type="dxa"/>
            <w:tcBorders>
              <w:left w:val="single" w:sz="4" w:space="0" w:color="0079C1"/>
            </w:tcBorders>
            <w:shd w:val="clear" w:color="auto" w:fill="FFFFFF" w:themeFill="background1"/>
            <w:vAlign w:val="center"/>
          </w:tcPr>
          <w:p w14:paraId="2DD13833"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4</w:t>
            </w:r>
          </w:p>
        </w:tc>
        <w:tc>
          <w:tcPr>
            <w:tcW w:w="766" w:type="dxa"/>
            <w:tcBorders>
              <w:right w:val="single" w:sz="4" w:space="0" w:color="0079C1"/>
            </w:tcBorders>
            <w:shd w:val="clear" w:color="auto" w:fill="FFFFFF" w:themeFill="background1"/>
            <w:vAlign w:val="center"/>
          </w:tcPr>
          <w:p w14:paraId="4E65D22B" w14:textId="4EB26C32"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21.0%</w:t>
            </w:r>
          </w:p>
        </w:tc>
        <w:tc>
          <w:tcPr>
            <w:tcW w:w="765" w:type="dxa"/>
            <w:tcBorders>
              <w:left w:val="single" w:sz="4" w:space="0" w:color="0079C1"/>
            </w:tcBorders>
            <w:shd w:val="clear" w:color="auto" w:fill="FFFFFF" w:themeFill="background1"/>
            <w:vAlign w:val="center"/>
          </w:tcPr>
          <w:p w14:paraId="333CAD10" w14:textId="3B7C6CFB" w:rsidR="00C61524" w:rsidRPr="00E61AC8" w:rsidRDefault="00C61524" w:rsidP="00C61524">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9</w:t>
            </w:r>
          </w:p>
        </w:tc>
        <w:tc>
          <w:tcPr>
            <w:tcW w:w="767" w:type="dxa"/>
            <w:shd w:val="clear" w:color="auto" w:fill="FFFFFF" w:themeFill="background1"/>
            <w:vAlign w:val="center"/>
          </w:tcPr>
          <w:p w14:paraId="39C818CD" w14:textId="1085BD0F" w:rsidR="00C61524" w:rsidRPr="00C61524" w:rsidRDefault="00C61524" w:rsidP="00C61524">
            <w:pPr>
              <w:tabs>
                <w:tab w:val="left" w:pos="318"/>
              </w:tabs>
              <w:spacing w:before="60" w:after="60"/>
              <w:jc w:val="center"/>
              <w:rPr>
                <w:rStyle w:val="Strong"/>
                <w:rFonts w:asciiTheme="minorHAnsi" w:hAnsiTheme="minorHAnsi"/>
                <w:b w:val="0"/>
                <w:sz w:val="20"/>
                <w:szCs w:val="20"/>
              </w:rPr>
            </w:pPr>
            <w:r w:rsidRPr="00E61AC8">
              <w:rPr>
                <w:rStyle w:val="Strong"/>
                <w:rFonts w:asciiTheme="minorHAnsi" w:hAnsiTheme="minorHAnsi"/>
                <w:sz w:val="20"/>
                <w:szCs w:val="20"/>
              </w:rPr>
              <w:t>4.1</w:t>
            </w:r>
            <w:r>
              <w:rPr>
                <w:rStyle w:val="Strong"/>
                <w:rFonts w:asciiTheme="minorHAnsi" w:hAnsiTheme="minorHAnsi"/>
                <w:sz w:val="20"/>
                <w:szCs w:val="20"/>
              </w:rPr>
              <w:t>%</w:t>
            </w:r>
          </w:p>
        </w:tc>
      </w:tr>
      <w:tr w:rsidR="00C61524" w:rsidRPr="00E61AC8" w14:paraId="465008FB" w14:textId="77777777" w:rsidTr="00E61AC8">
        <w:tc>
          <w:tcPr>
            <w:tcW w:w="1841" w:type="dxa"/>
            <w:tcBorders>
              <w:right w:val="single" w:sz="4" w:space="0" w:color="0079C1"/>
            </w:tcBorders>
          </w:tcPr>
          <w:p w14:paraId="724906C6" w14:textId="77777777" w:rsidR="00C61524" w:rsidRPr="00E61AC8" w:rsidRDefault="00C61524" w:rsidP="00C61524">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2010</w:t>
            </w:r>
          </w:p>
        </w:tc>
        <w:tc>
          <w:tcPr>
            <w:tcW w:w="765" w:type="dxa"/>
            <w:tcBorders>
              <w:left w:val="single" w:sz="4" w:space="0" w:color="0079C1"/>
            </w:tcBorders>
            <w:shd w:val="clear" w:color="auto" w:fill="FFFFFF" w:themeFill="background1"/>
            <w:vAlign w:val="center"/>
          </w:tcPr>
          <w:p w14:paraId="7695CF44"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w:t>
            </w:r>
          </w:p>
        </w:tc>
        <w:tc>
          <w:tcPr>
            <w:tcW w:w="766" w:type="dxa"/>
            <w:tcBorders>
              <w:right w:val="single" w:sz="4" w:space="0" w:color="0079C1"/>
            </w:tcBorders>
            <w:shd w:val="clear" w:color="auto" w:fill="FFFFFF" w:themeFill="background1"/>
            <w:vAlign w:val="center"/>
          </w:tcPr>
          <w:p w14:paraId="6C3D4EC6" w14:textId="42070C6E"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1.9%</w:t>
            </w:r>
          </w:p>
        </w:tc>
        <w:tc>
          <w:tcPr>
            <w:tcW w:w="765" w:type="dxa"/>
            <w:tcBorders>
              <w:left w:val="single" w:sz="4" w:space="0" w:color="0079C1"/>
            </w:tcBorders>
            <w:shd w:val="clear" w:color="auto" w:fill="FFFFFF" w:themeFill="background1"/>
            <w:vAlign w:val="center"/>
          </w:tcPr>
          <w:p w14:paraId="0703F180"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w:t>
            </w:r>
          </w:p>
        </w:tc>
        <w:tc>
          <w:tcPr>
            <w:tcW w:w="766" w:type="dxa"/>
            <w:tcBorders>
              <w:right w:val="single" w:sz="4" w:space="0" w:color="0079C1"/>
            </w:tcBorders>
            <w:shd w:val="clear" w:color="auto" w:fill="auto"/>
            <w:vAlign w:val="center"/>
          </w:tcPr>
          <w:p w14:paraId="3D5480CF" w14:textId="24879360"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5.0%</w:t>
            </w:r>
          </w:p>
        </w:tc>
        <w:tc>
          <w:tcPr>
            <w:tcW w:w="766" w:type="dxa"/>
            <w:tcBorders>
              <w:left w:val="single" w:sz="4" w:space="0" w:color="0079C1"/>
            </w:tcBorders>
            <w:shd w:val="clear" w:color="auto" w:fill="FFFFFF" w:themeFill="background1"/>
            <w:vAlign w:val="center"/>
          </w:tcPr>
          <w:p w14:paraId="6DDE5FB6"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w:t>
            </w:r>
          </w:p>
        </w:tc>
        <w:tc>
          <w:tcPr>
            <w:tcW w:w="766" w:type="dxa"/>
            <w:tcBorders>
              <w:right w:val="single" w:sz="4" w:space="0" w:color="0079C1"/>
            </w:tcBorders>
            <w:shd w:val="clear" w:color="auto" w:fill="FFFFFF" w:themeFill="background1"/>
            <w:vAlign w:val="center"/>
          </w:tcPr>
          <w:p w14:paraId="070AB325" w14:textId="2D80C0CB"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2.7%</w:t>
            </w:r>
          </w:p>
        </w:tc>
        <w:tc>
          <w:tcPr>
            <w:tcW w:w="765" w:type="dxa"/>
            <w:tcBorders>
              <w:left w:val="single" w:sz="4" w:space="0" w:color="0079C1"/>
            </w:tcBorders>
            <w:shd w:val="clear" w:color="auto" w:fill="FFFFFF" w:themeFill="background1"/>
            <w:vAlign w:val="center"/>
          </w:tcPr>
          <w:p w14:paraId="408746D1"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FFFFFF" w:themeFill="background1"/>
            <w:vAlign w:val="center"/>
          </w:tcPr>
          <w:p w14:paraId="20B4987E" w14:textId="1B8A0689"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5" w:type="dxa"/>
            <w:tcBorders>
              <w:left w:val="single" w:sz="4" w:space="0" w:color="0079C1"/>
            </w:tcBorders>
            <w:shd w:val="clear" w:color="auto" w:fill="FFFFFF" w:themeFill="background1"/>
            <w:vAlign w:val="center"/>
          </w:tcPr>
          <w:p w14:paraId="4B4AE813" w14:textId="70433FF1" w:rsidR="00C61524" w:rsidRPr="00E61AC8" w:rsidRDefault="00C61524" w:rsidP="00C61524">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5</w:t>
            </w:r>
          </w:p>
        </w:tc>
        <w:tc>
          <w:tcPr>
            <w:tcW w:w="767" w:type="dxa"/>
            <w:shd w:val="clear" w:color="auto" w:fill="FFFFFF" w:themeFill="background1"/>
            <w:vAlign w:val="center"/>
          </w:tcPr>
          <w:p w14:paraId="13B5F3A0" w14:textId="609E9E8F" w:rsidR="00C61524" w:rsidRPr="00C61524" w:rsidRDefault="00C61524" w:rsidP="00C61524">
            <w:pPr>
              <w:tabs>
                <w:tab w:val="left" w:pos="318"/>
              </w:tabs>
              <w:spacing w:before="60" w:after="60"/>
              <w:jc w:val="center"/>
              <w:rPr>
                <w:rStyle w:val="Strong"/>
                <w:rFonts w:asciiTheme="minorHAnsi" w:hAnsiTheme="minorHAnsi"/>
                <w:b w:val="0"/>
                <w:sz w:val="20"/>
                <w:szCs w:val="20"/>
              </w:rPr>
            </w:pPr>
            <w:r w:rsidRPr="00E61AC8">
              <w:rPr>
                <w:rStyle w:val="Strong"/>
                <w:rFonts w:asciiTheme="minorHAnsi" w:hAnsiTheme="minorHAnsi"/>
                <w:sz w:val="20"/>
                <w:szCs w:val="20"/>
              </w:rPr>
              <w:t>2.2</w:t>
            </w:r>
            <w:r>
              <w:rPr>
                <w:rStyle w:val="Strong"/>
                <w:rFonts w:asciiTheme="minorHAnsi" w:hAnsiTheme="minorHAnsi"/>
                <w:sz w:val="20"/>
                <w:szCs w:val="20"/>
              </w:rPr>
              <w:t>%</w:t>
            </w:r>
          </w:p>
        </w:tc>
      </w:tr>
      <w:tr w:rsidR="00C61524" w:rsidRPr="00E61AC8" w14:paraId="7C27E9E1" w14:textId="77777777" w:rsidTr="00E61AC8">
        <w:tc>
          <w:tcPr>
            <w:tcW w:w="1841" w:type="dxa"/>
            <w:tcBorders>
              <w:right w:val="single" w:sz="4" w:space="0" w:color="0079C1"/>
            </w:tcBorders>
          </w:tcPr>
          <w:p w14:paraId="07756672" w14:textId="77777777" w:rsidR="00C61524" w:rsidRPr="00E61AC8" w:rsidRDefault="00C61524" w:rsidP="00C61524">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2011</w:t>
            </w:r>
          </w:p>
        </w:tc>
        <w:tc>
          <w:tcPr>
            <w:tcW w:w="765" w:type="dxa"/>
            <w:tcBorders>
              <w:left w:val="single" w:sz="4" w:space="0" w:color="0079C1"/>
            </w:tcBorders>
            <w:shd w:val="clear" w:color="auto" w:fill="FFFFFF" w:themeFill="background1"/>
            <w:vAlign w:val="center"/>
          </w:tcPr>
          <w:p w14:paraId="3DE7CE0C"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w:t>
            </w:r>
          </w:p>
        </w:tc>
        <w:tc>
          <w:tcPr>
            <w:tcW w:w="766" w:type="dxa"/>
            <w:tcBorders>
              <w:right w:val="single" w:sz="4" w:space="0" w:color="0079C1"/>
            </w:tcBorders>
            <w:shd w:val="clear" w:color="auto" w:fill="FFFFFF" w:themeFill="background1"/>
            <w:vAlign w:val="center"/>
          </w:tcPr>
          <w:p w14:paraId="00D889C4" w14:textId="284A5C0C"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1.9%</w:t>
            </w:r>
          </w:p>
        </w:tc>
        <w:tc>
          <w:tcPr>
            <w:tcW w:w="765" w:type="dxa"/>
            <w:tcBorders>
              <w:left w:val="single" w:sz="4" w:space="0" w:color="0079C1"/>
            </w:tcBorders>
            <w:shd w:val="clear" w:color="auto" w:fill="FFFFFF" w:themeFill="background1"/>
            <w:vAlign w:val="center"/>
          </w:tcPr>
          <w:p w14:paraId="0E29CACB"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auto"/>
            <w:vAlign w:val="center"/>
          </w:tcPr>
          <w:p w14:paraId="74559620" w14:textId="21DD0F26"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6" w:type="dxa"/>
            <w:tcBorders>
              <w:left w:val="single" w:sz="4" w:space="0" w:color="0079C1"/>
            </w:tcBorders>
            <w:shd w:val="clear" w:color="auto" w:fill="FFFFFF" w:themeFill="background1"/>
            <w:vAlign w:val="center"/>
          </w:tcPr>
          <w:p w14:paraId="126D40CD"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w:t>
            </w:r>
          </w:p>
        </w:tc>
        <w:tc>
          <w:tcPr>
            <w:tcW w:w="766" w:type="dxa"/>
            <w:tcBorders>
              <w:right w:val="single" w:sz="4" w:space="0" w:color="0079C1"/>
            </w:tcBorders>
            <w:shd w:val="clear" w:color="auto" w:fill="FFFFFF" w:themeFill="background1"/>
            <w:vAlign w:val="center"/>
          </w:tcPr>
          <w:p w14:paraId="045BBB3D" w14:textId="4FCD9129"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1.4%</w:t>
            </w:r>
          </w:p>
        </w:tc>
        <w:tc>
          <w:tcPr>
            <w:tcW w:w="765" w:type="dxa"/>
            <w:tcBorders>
              <w:left w:val="single" w:sz="4" w:space="0" w:color="0079C1"/>
            </w:tcBorders>
            <w:shd w:val="clear" w:color="auto" w:fill="FFFFFF" w:themeFill="background1"/>
            <w:vAlign w:val="center"/>
          </w:tcPr>
          <w:p w14:paraId="4E2AC091"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FFFFFF" w:themeFill="background1"/>
            <w:vAlign w:val="center"/>
          </w:tcPr>
          <w:p w14:paraId="592A575C" w14:textId="15CDEFA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5" w:type="dxa"/>
            <w:tcBorders>
              <w:left w:val="single" w:sz="4" w:space="0" w:color="0079C1"/>
            </w:tcBorders>
            <w:shd w:val="clear" w:color="auto" w:fill="FFFFFF" w:themeFill="background1"/>
            <w:vAlign w:val="center"/>
          </w:tcPr>
          <w:p w14:paraId="486658B6" w14:textId="6882E927" w:rsidR="00C61524" w:rsidRPr="00E61AC8" w:rsidRDefault="00C61524" w:rsidP="00C61524">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3</w:t>
            </w:r>
          </w:p>
        </w:tc>
        <w:tc>
          <w:tcPr>
            <w:tcW w:w="767" w:type="dxa"/>
            <w:shd w:val="clear" w:color="auto" w:fill="FFFFFF" w:themeFill="background1"/>
            <w:vAlign w:val="center"/>
          </w:tcPr>
          <w:p w14:paraId="1966145D" w14:textId="6B2738B3" w:rsidR="00C61524" w:rsidRPr="00C61524" w:rsidRDefault="00C61524" w:rsidP="00C61524">
            <w:pPr>
              <w:tabs>
                <w:tab w:val="left" w:pos="318"/>
              </w:tabs>
              <w:spacing w:before="60" w:after="60"/>
              <w:jc w:val="center"/>
              <w:rPr>
                <w:rStyle w:val="Strong"/>
                <w:rFonts w:asciiTheme="minorHAnsi" w:hAnsiTheme="minorHAnsi"/>
                <w:b w:val="0"/>
                <w:sz w:val="20"/>
                <w:szCs w:val="20"/>
              </w:rPr>
            </w:pPr>
            <w:r w:rsidRPr="00E61AC8">
              <w:rPr>
                <w:rStyle w:val="Strong"/>
                <w:rFonts w:asciiTheme="minorHAnsi" w:hAnsiTheme="minorHAnsi"/>
                <w:sz w:val="20"/>
                <w:szCs w:val="20"/>
              </w:rPr>
              <w:t>1.3</w:t>
            </w:r>
            <w:r>
              <w:rPr>
                <w:rStyle w:val="Strong"/>
                <w:rFonts w:asciiTheme="minorHAnsi" w:hAnsiTheme="minorHAnsi"/>
                <w:sz w:val="20"/>
                <w:szCs w:val="20"/>
              </w:rPr>
              <w:t>%</w:t>
            </w:r>
          </w:p>
        </w:tc>
      </w:tr>
      <w:tr w:rsidR="00C61524" w:rsidRPr="00E61AC8" w14:paraId="66FC3BE1" w14:textId="77777777" w:rsidTr="00E61AC8">
        <w:tc>
          <w:tcPr>
            <w:tcW w:w="1841" w:type="dxa"/>
            <w:tcBorders>
              <w:right w:val="single" w:sz="4" w:space="0" w:color="0079C1"/>
            </w:tcBorders>
          </w:tcPr>
          <w:p w14:paraId="2244627D" w14:textId="77777777" w:rsidR="00C61524" w:rsidRPr="00E61AC8" w:rsidRDefault="00C61524" w:rsidP="00C61524">
            <w:pPr>
              <w:rPr>
                <w:rFonts w:asciiTheme="minorHAnsi" w:hAnsiTheme="minorHAnsi" w:cs="Arial"/>
                <w:color w:val="333333"/>
                <w:sz w:val="20"/>
                <w:szCs w:val="20"/>
              </w:rPr>
            </w:pPr>
            <w:r w:rsidRPr="00E61AC8">
              <w:rPr>
                <w:rFonts w:asciiTheme="minorHAnsi" w:hAnsiTheme="minorHAnsi" w:cs="Arial"/>
                <w:color w:val="333333"/>
                <w:sz w:val="20"/>
                <w:szCs w:val="20"/>
              </w:rPr>
              <w:t>2012</w:t>
            </w:r>
          </w:p>
        </w:tc>
        <w:tc>
          <w:tcPr>
            <w:tcW w:w="765" w:type="dxa"/>
            <w:tcBorders>
              <w:left w:val="single" w:sz="4" w:space="0" w:color="0079C1"/>
            </w:tcBorders>
            <w:shd w:val="clear" w:color="auto" w:fill="FFFFFF" w:themeFill="background1"/>
            <w:vAlign w:val="center"/>
          </w:tcPr>
          <w:p w14:paraId="348311BA"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6</w:t>
            </w:r>
          </w:p>
        </w:tc>
        <w:tc>
          <w:tcPr>
            <w:tcW w:w="766" w:type="dxa"/>
            <w:tcBorders>
              <w:right w:val="single" w:sz="4" w:space="0" w:color="0079C1"/>
            </w:tcBorders>
            <w:shd w:val="clear" w:color="auto" w:fill="FFFFFF" w:themeFill="background1"/>
            <w:vAlign w:val="center"/>
          </w:tcPr>
          <w:p w14:paraId="234BEEE1" w14:textId="0A0E8742"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5.6%</w:t>
            </w:r>
          </w:p>
        </w:tc>
        <w:tc>
          <w:tcPr>
            <w:tcW w:w="765" w:type="dxa"/>
            <w:tcBorders>
              <w:left w:val="single" w:sz="4" w:space="0" w:color="0079C1"/>
            </w:tcBorders>
            <w:shd w:val="clear" w:color="auto" w:fill="FFFFFF" w:themeFill="background1"/>
            <w:vAlign w:val="center"/>
          </w:tcPr>
          <w:p w14:paraId="3317ED34"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auto"/>
            <w:vAlign w:val="center"/>
          </w:tcPr>
          <w:p w14:paraId="37F3B7F6" w14:textId="2EF6DA3B"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6" w:type="dxa"/>
            <w:tcBorders>
              <w:left w:val="single" w:sz="4" w:space="0" w:color="0079C1"/>
            </w:tcBorders>
            <w:shd w:val="clear" w:color="auto" w:fill="FFFFFF" w:themeFill="background1"/>
            <w:vAlign w:val="center"/>
          </w:tcPr>
          <w:p w14:paraId="1BE52A91"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3</w:t>
            </w:r>
          </w:p>
        </w:tc>
        <w:tc>
          <w:tcPr>
            <w:tcW w:w="766" w:type="dxa"/>
            <w:tcBorders>
              <w:right w:val="single" w:sz="4" w:space="0" w:color="0079C1"/>
            </w:tcBorders>
            <w:shd w:val="clear" w:color="auto" w:fill="FFFFFF" w:themeFill="background1"/>
            <w:vAlign w:val="center"/>
          </w:tcPr>
          <w:p w14:paraId="419EBA1E" w14:textId="02A8E2CC"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4.1%</w:t>
            </w:r>
          </w:p>
        </w:tc>
        <w:tc>
          <w:tcPr>
            <w:tcW w:w="765" w:type="dxa"/>
            <w:tcBorders>
              <w:left w:val="single" w:sz="4" w:space="0" w:color="0079C1"/>
            </w:tcBorders>
            <w:shd w:val="clear" w:color="auto" w:fill="FFFFFF" w:themeFill="background1"/>
            <w:vAlign w:val="center"/>
          </w:tcPr>
          <w:p w14:paraId="0156E8A5"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w:t>
            </w:r>
          </w:p>
        </w:tc>
        <w:tc>
          <w:tcPr>
            <w:tcW w:w="766" w:type="dxa"/>
            <w:tcBorders>
              <w:right w:val="single" w:sz="4" w:space="0" w:color="0079C1"/>
            </w:tcBorders>
            <w:shd w:val="clear" w:color="auto" w:fill="FFFFFF" w:themeFill="background1"/>
            <w:vAlign w:val="center"/>
          </w:tcPr>
          <w:p w14:paraId="7E27A9F3" w14:textId="3F595B4A"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5.3%</w:t>
            </w:r>
          </w:p>
        </w:tc>
        <w:tc>
          <w:tcPr>
            <w:tcW w:w="765" w:type="dxa"/>
            <w:tcBorders>
              <w:left w:val="single" w:sz="4" w:space="0" w:color="0079C1"/>
            </w:tcBorders>
            <w:shd w:val="clear" w:color="auto" w:fill="FFFFFF" w:themeFill="background1"/>
            <w:vAlign w:val="center"/>
          </w:tcPr>
          <w:p w14:paraId="52AFCF55" w14:textId="7A1F0562" w:rsidR="00C61524" w:rsidRPr="00E61AC8" w:rsidRDefault="00C61524" w:rsidP="00C61524">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w:t>
            </w:r>
          </w:p>
        </w:tc>
        <w:tc>
          <w:tcPr>
            <w:tcW w:w="767" w:type="dxa"/>
            <w:shd w:val="clear" w:color="auto" w:fill="FFFFFF" w:themeFill="background1"/>
            <w:vAlign w:val="center"/>
          </w:tcPr>
          <w:p w14:paraId="3DB1BF14" w14:textId="40138768" w:rsidR="00C61524" w:rsidRPr="00C61524" w:rsidRDefault="00C61524" w:rsidP="00C61524">
            <w:pPr>
              <w:tabs>
                <w:tab w:val="left" w:pos="318"/>
              </w:tabs>
              <w:spacing w:before="60" w:after="60"/>
              <w:jc w:val="center"/>
              <w:rPr>
                <w:rStyle w:val="Strong"/>
                <w:rFonts w:asciiTheme="minorHAnsi" w:hAnsiTheme="minorHAnsi"/>
                <w:b w:val="0"/>
                <w:sz w:val="20"/>
                <w:szCs w:val="20"/>
              </w:rPr>
            </w:pPr>
            <w:r w:rsidRPr="00E61AC8">
              <w:rPr>
                <w:rStyle w:val="Strong"/>
                <w:rFonts w:asciiTheme="minorHAnsi" w:hAnsiTheme="minorHAnsi"/>
                <w:sz w:val="20"/>
                <w:szCs w:val="20"/>
              </w:rPr>
              <w:t>4.5</w:t>
            </w:r>
            <w:r>
              <w:rPr>
                <w:rStyle w:val="Strong"/>
                <w:rFonts w:asciiTheme="minorHAnsi" w:hAnsiTheme="minorHAnsi"/>
                <w:sz w:val="20"/>
                <w:szCs w:val="20"/>
              </w:rPr>
              <w:t>%</w:t>
            </w:r>
          </w:p>
        </w:tc>
      </w:tr>
      <w:tr w:rsidR="00C61524" w:rsidRPr="00E61AC8" w14:paraId="262DEDE2" w14:textId="77777777" w:rsidTr="00E61AC8">
        <w:tc>
          <w:tcPr>
            <w:tcW w:w="1841" w:type="dxa"/>
            <w:tcBorders>
              <w:right w:val="single" w:sz="4" w:space="0" w:color="0079C1"/>
            </w:tcBorders>
          </w:tcPr>
          <w:p w14:paraId="759209DE" w14:textId="77777777" w:rsidR="00C61524" w:rsidRPr="00E61AC8" w:rsidRDefault="00C61524" w:rsidP="00C61524">
            <w:pPr>
              <w:rPr>
                <w:rFonts w:asciiTheme="minorHAnsi" w:hAnsiTheme="minorHAnsi" w:cs="Arial"/>
                <w:color w:val="333333"/>
                <w:sz w:val="20"/>
                <w:szCs w:val="20"/>
              </w:rPr>
            </w:pPr>
            <w:r w:rsidRPr="00E61AC8">
              <w:rPr>
                <w:rFonts w:asciiTheme="minorHAnsi" w:hAnsiTheme="minorHAnsi" w:cs="Arial"/>
                <w:color w:val="333333"/>
                <w:sz w:val="20"/>
                <w:szCs w:val="20"/>
              </w:rPr>
              <w:t>2013</w:t>
            </w:r>
          </w:p>
        </w:tc>
        <w:tc>
          <w:tcPr>
            <w:tcW w:w="765" w:type="dxa"/>
            <w:tcBorders>
              <w:left w:val="single" w:sz="4" w:space="0" w:color="0079C1"/>
            </w:tcBorders>
            <w:shd w:val="clear" w:color="auto" w:fill="FFFFFF" w:themeFill="background1"/>
            <w:vAlign w:val="center"/>
          </w:tcPr>
          <w:p w14:paraId="7E916F66"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3</w:t>
            </w:r>
          </w:p>
        </w:tc>
        <w:tc>
          <w:tcPr>
            <w:tcW w:w="766" w:type="dxa"/>
            <w:tcBorders>
              <w:right w:val="single" w:sz="4" w:space="0" w:color="0079C1"/>
            </w:tcBorders>
            <w:shd w:val="clear" w:color="auto" w:fill="FFFFFF" w:themeFill="background1"/>
            <w:vAlign w:val="center"/>
          </w:tcPr>
          <w:p w14:paraId="2C6B8F85" w14:textId="2AA94B38"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2.8%</w:t>
            </w:r>
          </w:p>
        </w:tc>
        <w:tc>
          <w:tcPr>
            <w:tcW w:w="765" w:type="dxa"/>
            <w:tcBorders>
              <w:left w:val="single" w:sz="4" w:space="0" w:color="0079C1"/>
            </w:tcBorders>
            <w:shd w:val="clear" w:color="auto" w:fill="FFFFFF" w:themeFill="background1"/>
            <w:vAlign w:val="center"/>
          </w:tcPr>
          <w:p w14:paraId="356DB7B6"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auto"/>
            <w:vAlign w:val="center"/>
          </w:tcPr>
          <w:p w14:paraId="4D2D8527" w14:textId="68585494"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6" w:type="dxa"/>
            <w:tcBorders>
              <w:left w:val="single" w:sz="4" w:space="0" w:color="0079C1"/>
            </w:tcBorders>
            <w:shd w:val="clear" w:color="auto" w:fill="FFFFFF" w:themeFill="background1"/>
            <w:vAlign w:val="center"/>
          </w:tcPr>
          <w:p w14:paraId="665A004F"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5</w:t>
            </w:r>
          </w:p>
        </w:tc>
        <w:tc>
          <w:tcPr>
            <w:tcW w:w="766" w:type="dxa"/>
            <w:tcBorders>
              <w:right w:val="single" w:sz="4" w:space="0" w:color="0079C1"/>
            </w:tcBorders>
            <w:shd w:val="clear" w:color="auto" w:fill="FFFFFF" w:themeFill="background1"/>
            <w:vAlign w:val="center"/>
          </w:tcPr>
          <w:p w14:paraId="25CABA0E" w14:textId="0044C26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6.8%</w:t>
            </w:r>
          </w:p>
        </w:tc>
        <w:tc>
          <w:tcPr>
            <w:tcW w:w="765" w:type="dxa"/>
            <w:tcBorders>
              <w:left w:val="single" w:sz="4" w:space="0" w:color="0079C1"/>
            </w:tcBorders>
            <w:shd w:val="clear" w:color="auto" w:fill="FFFFFF" w:themeFill="background1"/>
            <w:vAlign w:val="center"/>
          </w:tcPr>
          <w:p w14:paraId="6D507F61"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w:t>
            </w:r>
          </w:p>
        </w:tc>
        <w:tc>
          <w:tcPr>
            <w:tcW w:w="766" w:type="dxa"/>
            <w:tcBorders>
              <w:right w:val="single" w:sz="4" w:space="0" w:color="0079C1"/>
            </w:tcBorders>
            <w:shd w:val="clear" w:color="auto" w:fill="FFFFFF" w:themeFill="background1"/>
            <w:vAlign w:val="center"/>
          </w:tcPr>
          <w:p w14:paraId="44339357" w14:textId="2E6AA123"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5.3%</w:t>
            </w:r>
          </w:p>
        </w:tc>
        <w:tc>
          <w:tcPr>
            <w:tcW w:w="765" w:type="dxa"/>
            <w:tcBorders>
              <w:left w:val="single" w:sz="4" w:space="0" w:color="0079C1"/>
            </w:tcBorders>
            <w:shd w:val="clear" w:color="auto" w:fill="FFFFFF" w:themeFill="background1"/>
            <w:vAlign w:val="center"/>
          </w:tcPr>
          <w:p w14:paraId="09A8480D" w14:textId="4AC4B171" w:rsidR="00C61524" w:rsidRPr="00E61AC8" w:rsidRDefault="00C61524" w:rsidP="00C61524">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9</w:t>
            </w:r>
          </w:p>
        </w:tc>
        <w:tc>
          <w:tcPr>
            <w:tcW w:w="767" w:type="dxa"/>
            <w:shd w:val="clear" w:color="auto" w:fill="FFFFFF" w:themeFill="background1"/>
            <w:vAlign w:val="center"/>
          </w:tcPr>
          <w:p w14:paraId="17E0CD3A" w14:textId="1D3876DD" w:rsidR="00C61524" w:rsidRPr="00C61524" w:rsidRDefault="00C61524" w:rsidP="00C61524">
            <w:pPr>
              <w:tabs>
                <w:tab w:val="left" w:pos="318"/>
              </w:tabs>
              <w:spacing w:before="60" w:after="60"/>
              <w:jc w:val="center"/>
              <w:rPr>
                <w:rStyle w:val="Strong"/>
                <w:rFonts w:asciiTheme="minorHAnsi" w:hAnsiTheme="minorHAnsi"/>
                <w:b w:val="0"/>
                <w:sz w:val="20"/>
                <w:szCs w:val="20"/>
              </w:rPr>
            </w:pPr>
            <w:r w:rsidRPr="00E61AC8">
              <w:rPr>
                <w:rStyle w:val="Strong"/>
                <w:rFonts w:asciiTheme="minorHAnsi" w:hAnsiTheme="minorHAnsi"/>
                <w:sz w:val="20"/>
                <w:szCs w:val="20"/>
              </w:rPr>
              <w:t>4.1</w:t>
            </w:r>
            <w:r>
              <w:rPr>
                <w:rStyle w:val="Strong"/>
                <w:rFonts w:asciiTheme="minorHAnsi" w:hAnsiTheme="minorHAnsi"/>
                <w:sz w:val="20"/>
                <w:szCs w:val="20"/>
              </w:rPr>
              <w:t>%</w:t>
            </w:r>
          </w:p>
        </w:tc>
      </w:tr>
      <w:tr w:rsidR="00C61524" w:rsidRPr="00E61AC8" w14:paraId="0495EA1E" w14:textId="77777777" w:rsidTr="00E61AC8">
        <w:tc>
          <w:tcPr>
            <w:tcW w:w="1841" w:type="dxa"/>
            <w:tcBorders>
              <w:right w:val="single" w:sz="4" w:space="0" w:color="0079C1"/>
            </w:tcBorders>
          </w:tcPr>
          <w:p w14:paraId="4B0BB956" w14:textId="77777777" w:rsidR="00C61524" w:rsidRPr="00E61AC8" w:rsidRDefault="00C61524" w:rsidP="00C61524">
            <w:pPr>
              <w:rPr>
                <w:rFonts w:asciiTheme="minorHAnsi" w:hAnsiTheme="minorHAnsi" w:cs="Arial"/>
                <w:color w:val="333333"/>
                <w:sz w:val="20"/>
                <w:szCs w:val="20"/>
              </w:rPr>
            </w:pPr>
            <w:r w:rsidRPr="00E61AC8">
              <w:rPr>
                <w:rFonts w:asciiTheme="minorHAnsi" w:hAnsiTheme="minorHAnsi" w:cs="Arial"/>
                <w:color w:val="333333"/>
                <w:sz w:val="20"/>
                <w:szCs w:val="20"/>
              </w:rPr>
              <w:t>2014</w:t>
            </w:r>
          </w:p>
        </w:tc>
        <w:tc>
          <w:tcPr>
            <w:tcW w:w="765" w:type="dxa"/>
            <w:tcBorders>
              <w:left w:val="single" w:sz="4" w:space="0" w:color="0079C1"/>
            </w:tcBorders>
            <w:shd w:val="clear" w:color="auto" w:fill="FFFFFF" w:themeFill="background1"/>
            <w:vAlign w:val="center"/>
          </w:tcPr>
          <w:p w14:paraId="1BD207F6"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10</w:t>
            </w:r>
          </w:p>
        </w:tc>
        <w:tc>
          <w:tcPr>
            <w:tcW w:w="766" w:type="dxa"/>
            <w:tcBorders>
              <w:right w:val="single" w:sz="4" w:space="0" w:color="0079C1"/>
            </w:tcBorders>
            <w:shd w:val="clear" w:color="auto" w:fill="FFFFFF" w:themeFill="background1"/>
            <w:vAlign w:val="center"/>
          </w:tcPr>
          <w:p w14:paraId="63883B89" w14:textId="13C10E55"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9.3%</w:t>
            </w:r>
          </w:p>
        </w:tc>
        <w:tc>
          <w:tcPr>
            <w:tcW w:w="765" w:type="dxa"/>
            <w:tcBorders>
              <w:left w:val="single" w:sz="4" w:space="0" w:color="0079C1"/>
            </w:tcBorders>
            <w:shd w:val="clear" w:color="auto" w:fill="FFFFFF" w:themeFill="background1"/>
            <w:vAlign w:val="center"/>
          </w:tcPr>
          <w:p w14:paraId="7C60E86F"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3</w:t>
            </w:r>
          </w:p>
        </w:tc>
        <w:tc>
          <w:tcPr>
            <w:tcW w:w="766" w:type="dxa"/>
            <w:tcBorders>
              <w:right w:val="single" w:sz="4" w:space="0" w:color="0079C1"/>
            </w:tcBorders>
            <w:shd w:val="clear" w:color="auto" w:fill="auto"/>
            <w:vAlign w:val="center"/>
          </w:tcPr>
          <w:p w14:paraId="2CC1D938" w14:textId="3425CE56"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15.0%</w:t>
            </w:r>
          </w:p>
        </w:tc>
        <w:tc>
          <w:tcPr>
            <w:tcW w:w="766" w:type="dxa"/>
            <w:tcBorders>
              <w:left w:val="single" w:sz="4" w:space="0" w:color="0079C1"/>
            </w:tcBorders>
            <w:shd w:val="clear" w:color="auto" w:fill="FFFFFF" w:themeFill="background1"/>
            <w:vAlign w:val="center"/>
          </w:tcPr>
          <w:p w14:paraId="23B70C97"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w:t>
            </w:r>
          </w:p>
        </w:tc>
        <w:tc>
          <w:tcPr>
            <w:tcW w:w="766" w:type="dxa"/>
            <w:tcBorders>
              <w:right w:val="single" w:sz="4" w:space="0" w:color="0079C1"/>
            </w:tcBorders>
            <w:shd w:val="clear" w:color="auto" w:fill="FFFFFF" w:themeFill="background1"/>
            <w:vAlign w:val="center"/>
          </w:tcPr>
          <w:p w14:paraId="406ACF21" w14:textId="547FB24B"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2.7%</w:t>
            </w:r>
          </w:p>
        </w:tc>
        <w:tc>
          <w:tcPr>
            <w:tcW w:w="765" w:type="dxa"/>
            <w:tcBorders>
              <w:left w:val="single" w:sz="4" w:space="0" w:color="0079C1"/>
            </w:tcBorders>
            <w:shd w:val="clear" w:color="auto" w:fill="FFFFFF" w:themeFill="background1"/>
            <w:vAlign w:val="center"/>
          </w:tcPr>
          <w:p w14:paraId="5C98E965"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w:t>
            </w:r>
          </w:p>
        </w:tc>
        <w:tc>
          <w:tcPr>
            <w:tcW w:w="766" w:type="dxa"/>
            <w:tcBorders>
              <w:right w:val="single" w:sz="4" w:space="0" w:color="0079C1"/>
            </w:tcBorders>
            <w:shd w:val="clear" w:color="auto" w:fill="FFFFFF" w:themeFill="background1"/>
            <w:vAlign w:val="center"/>
          </w:tcPr>
          <w:p w14:paraId="713EC1AC" w14:textId="73C5B6AE"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5.3%</w:t>
            </w:r>
          </w:p>
        </w:tc>
        <w:tc>
          <w:tcPr>
            <w:tcW w:w="765" w:type="dxa"/>
            <w:tcBorders>
              <w:left w:val="single" w:sz="4" w:space="0" w:color="0079C1"/>
            </w:tcBorders>
            <w:shd w:val="clear" w:color="auto" w:fill="FFFFFF" w:themeFill="background1"/>
            <w:vAlign w:val="center"/>
          </w:tcPr>
          <w:p w14:paraId="0F98D89A" w14:textId="3DD1D384" w:rsidR="00C61524" w:rsidRPr="00E61AC8" w:rsidRDefault="00C61524" w:rsidP="00C61524">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16</w:t>
            </w:r>
          </w:p>
        </w:tc>
        <w:tc>
          <w:tcPr>
            <w:tcW w:w="767" w:type="dxa"/>
            <w:shd w:val="clear" w:color="auto" w:fill="FFFFFF" w:themeFill="background1"/>
            <w:vAlign w:val="center"/>
          </w:tcPr>
          <w:p w14:paraId="75BA3BD2" w14:textId="72CEB76E" w:rsidR="00C61524" w:rsidRPr="00C61524" w:rsidRDefault="00C61524" w:rsidP="00C61524">
            <w:pPr>
              <w:tabs>
                <w:tab w:val="left" w:pos="318"/>
              </w:tabs>
              <w:spacing w:before="60" w:after="60"/>
              <w:jc w:val="center"/>
              <w:rPr>
                <w:rStyle w:val="Strong"/>
                <w:rFonts w:asciiTheme="minorHAnsi" w:hAnsiTheme="minorHAnsi"/>
                <w:b w:val="0"/>
                <w:sz w:val="20"/>
                <w:szCs w:val="20"/>
              </w:rPr>
            </w:pPr>
            <w:r w:rsidRPr="00E61AC8">
              <w:rPr>
                <w:rStyle w:val="Strong"/>
                <w:rFonts w:asciiTheme="minorHAnsi" w:hAnsiTheme="minorHAnsi"/>
                <w:sz w:val="20"/>
                <w:szCs w:val="20"/>
              </w:rPr>
              <w:t>7.2</w:t>
            </w:r>
            <w:r>
              <w:rPr>
                <w:rStyle w:val="Strong"/>
                <w:rFonts w:asciiTheme="minorHAnsi" w:hAnsiTheme="minorHAnsi"/>
                <w:sz w:val="20"/>
                <w:szCs w:val="20"/>
              </w:rPr>
              <w:t>%</w:t>
            </w:r>
          </w:p>
        </w:tc>
      </w:tr>
      <w:tr w:rsidR="00C61524" w:rsidRPr="00E61AC8" w14:paraId="3A3E3DF2" w14:textId="77777777" w:rsidTr="00E61AC8">
        <w:tc>
          <w:tcPr>
            <w:tcW w:w="1841" w:type="dxa"/>
            <w:tcBorders>
              <w:right w:val="single" w:sz="4" w:space="0" w:color="0079C1"/>
            </w:tcBorders>
            <w:shd w:val="clear" w:color="auto" w:fill="E2F4FF" w:themeFill="accent1" w:themeFillTint="33"/>
          </w:tcPr>
          <w:p w14:paraId="064339EC" w14:textId="77777777" w:rsidR="00C61524" w:rsidRPr="00E61AC8" w:rsidRDefault="00C61524" w:rsidP="00C61524">
            <w:pPr>
              <w:rPr>
                <w:rFonts w:asciiTheme="minorHAnsi" w:hAnsiTheme="minorHAnsi" w:cs="Arial"/>
                <w:b/>
                <w:color w:val="333333"/>
                <w:sz w:val="20"/>
                <w:szCs w:val="20"/>
              </w:rPr>
            </w:pPr>
            <w:r w:rsidRPr="00E61AC8">
              <w:rPr>
                <w:rFonts w:asciiTheme="minorHAnsi" w:hAnsiTheme="minorHAnsi" w:cs="Arial"/>
                <w:b/>
                <w:color w:val="333333"/>
                <w:sz w:val="20"/>
                <w:szCs w:val="20"/>
              </w:rPr>
              <w:t>Sub-total pre-IAA</w:t>
            </w:r>
          </w:p>
        </w:tc>
        <w:tc>
          <w:tcPr>
            <w:tcW w:w="765" w:type="dxa"/>
            <w:tcBorders>
              <w:left w:val="single" w:sz="4" w:space="0" w:color="0079C1"/>
            </w:tcBorders>
            <w:shd w:val="clear" w:color="auto" w:fill="E2F4FF" w:themeFill="accent1" w:themeFillTint="33"/>
            <w:vAlign w:val="center"/>
          </w:tcPr>
          <w:p w14:paraId="5C11CEFA" w14:textId="77777777" w:rsidR="00C61524" w:rsidRPr="00E61AC8" w:rsidRDefault="00C61524" w:rsidP="00C61524">
            <w:pPr>
              <w:tabs>
                <w:tab w:val="left" w:pos="318"/>
              </w:tabs>
              <w:spacing w:before="60" w:after="60"/>
              <w:jc w:val="center"/>
              <w:rPr>
                <w:rFonts w:asciiTheme="minorHAnsi" w:hAnsiTheme="minorHAnsi" w:cstheme="minorHAnsi"/>
                <w:b/>
                <w:color w:val="000000" w:themeColor="text1"/>
                <w:sz w:val="20"/>
                <w:szCs w:val="20"/>
              </w:rPr>
            </w:pPr>
            <w:r w:rsidRPr="00E61AC8">
              <w:rPr>
                <w:rFonts w:asciiTheme="minorHAnsi" w:hAnsiTheme="minorHAnsi" w:cstheme="minorHAnsi"/>
                <w:b/>
                <w:color w:val="000000" w:themeColor="text1"/>
                <w:sz w:val="20"/>
                <w:szCs w:val="20"/>
              </w:rPr>
              <w:t>33</w:t>
            </w:r>
          </w:p>
        </w:tc>
        <w:tc>
          <w:tcPr>
            <w:tcW w:w="766" w:type="dxa"/>
            <w:tcBorders>
              <w:right w:val="single" w:sz="4" w:space="0" w:color="0079C1"/>
            </w:tcBorders>
            <w:shd w:val="clear" w:color="auto" w:fill="E2F4FF" w:themeFill="accent1" w:themeFillTint="33"/>
            <w:vAlign w:val="center"/>
          </w:tcPr>
          <w:p w14:paraId="323E2829" w14:textId="7A89BDED" w:rsidR="00C61524" w:rsidRPr="00E61AC8" w:rsidRDefault="00C61524" w:rsidP="00C61524">
            <w:pPr>
              <w:tabs>
                <w:tab w:val="left" w:pos="318"/>
              </w:tabs>
              <w:spacing w:before="60" w:after="60"/>
              <w:jc w:val="center"/>
              <w:rPr>
                <w:rFonts w:asciiTheme="minorHAnsi" w:hAnsiTheme="minorHAnsi" w:cstheme="minorHAnsi"/>
                <w:b/>
                <w:color w:val="000000" w:themeColor="text1"/>
                <w:sz w:val="20"/>
                <w:szCs w:val="20"/>
              </w:rPr>
            </w:pPr>
            <w:r w:rsidRPr="00E61AC8">
              <w:rPr>
                <w:rFonts w:asciiTheme="minorHAnsi" w:hAnsiTheme="minorHAnsi" w:cstheme="minorHAnsi"/>
                <w:b/>
                <w:color w:val="000000" w:themeColor="text1"/>
                <w:sz w:val="20"/>
                <w:szCs w:val="20"/>
              </w:rPr>
              <w:t>30.7%</w:t>
            </w:r>
          </w:p>
        </w:tc>
        <w:tc>
          <w:tcPr>
            <w:tcW w:w="765" w:type="dxa"/>
            <w:tcBorders>
              <w:left w:val="single" w:sz="4" w:space="0" w:color="0079C1"/>
            </w:tcBorders>
            <w:shd w:val="clear" w:color="auto" w:fill="E2F4FF" w:themeFill="accent1" w:themeFillTint="33"/>
            <w:vAlign w:val="center"/>
          </w:tcPr>
          <w:p w14:paraId="1597707C" w14:textId="77777777" w:rsidR="00C61524" w:rsidRPr="00E61AC8" w:rsidRDefault="00C61524" w:rsidP="00C61524">
            <w:pPr>
              <w:tabs>
                <w:tab w:val="left" w:pos="318"/>
              </w:tabs>
              <w:spacing w:before="60" w:after="60"/>
              <w:jc w:val="center"/>
              <w:rPr>
                <w:rFonts w:asciiTheme="minorHAnsi" w:hAnsiTheme="minorHAnsi" w:cstheme="minorHAnsi"/>
                <w:b/>
                <w:color w:val="000000" w:themeColor="text1"/>
                <w:sz w:val="20"/>
                <w:szCs w:val="20"/>
              </w:rPr>
            </w:pPr>
            <w:r w:rsidRPr="00E61AC8">
              <w:rPr>
                <w:rFonts w:asciiTheme="minorHAnsi" w:hAnsiTheme="minorHAnsi" w:cstheme="minorHAnsi"/>
                <w:b/>
                <w:color w:val="000000" w:themeColor="text1"/>
                <w:sz w:val="20"/>
                <w:szCs w:val="20"/>
              </w:rPr>
              <w:t>6</w:t>
            </w:r>
          </w:p>
        </w:tc>
        <w:tc>
          <w:tcPr>
            <w:tcW w:w="766" w:type="dxa"/>
            <w:tcBorders>
              <w:right w:val="single" w:sz="4" w:space="0" w:color="0079C1"/>
            </w:tcBorders>
            <w:shd w:val="clear" w:color="auto" w:fill="E2F4FF" w:themeFill="accent1" w:themeFillTint="33"/>
            <w:vAlign w:val="center"/>
          </w:tcPr>
          <w:p w14:paraId="6DC2F260" w14:textId="0EA27FBC" w:rsidR="00C61524" w:rsidRPr="00E61AC8" w:rsidRDefault="00C61524" w:rsidP="00C61524">
            <w:pPr>
              <w:tabs>
                <w:tab w:val="left" w:pos="318"/>
              </w:tabs>
              <w:spacing w:before="60" w:after="60"/>
              <w:jc w:val="center"/>
              <w:rPr>
                <w:rFonts w:asciiTheme="minorHAnsi" w:hAnsiTheme="minorHAnsi" w:cstheme="minorHAnsi"/>
                <w:b/>
                <w:color w:val="000000" w:themeColor="text1"/>
                <w:sz w:val="20"/>
                <w:szCs w:val="20"/>
              </w:rPr>
            </w:pPr>
            <w:r w:rsidRPr="00E61AC8">
              <w:rPr>
                <w:rFonts w:asciiTheme="minorHAnsi" w:hAnsiTheme="minorHAnsi" w:cstheme="minorHAnsi"/>
                <w:b/>
                <w:color w:val="000000" w:themeColor="text1"/>
                <w:sz w:val="20"/>
                <w:szCs w:val="20"/>
              </w:rPr>
              <w:t>30.0%</w:t>
            </w:r>
          </w:p>
        </w:tc>
        <w:tc>
          <w:tcPr>
            <w:tcW w:w="766" w:type="dxa"/>
            <w:tcBorders>
              <w:left w:val="single" w:sz="4" w:space="0" w:color="0079C1"/>
            </w:tcBorders>
            <w:shd w:val="clear" w:color="auto" w:fill="E2F4FF" w:themeFill="accent1" w:themeFillTint="33"/>
            <w:vAlign w:val="center"/>
          </w:tcPr>
          <w:p w14:paraId="6AD948F4" w14:textId="77777777" w:rsidR="00C61524" w:rsidRPr="00E61AC8" w:rsidRDefault="00C61524" w:rsidP="00C61524">
            <w:pPr>
              <w:tabs>
                <w:tab w:val="left" w:pos="318"/>
              </w:tabs>
              <w:spacing w:before="60" w:after="60"/>
              <w:jc w:val="center"/>
              <w:rPr>
                <w:rFonts w:asciiTheme="minorHAnsi" w:hAnsiTheme="minorHAnsi" w:cstheme="minorHAnsi"/>
                <w:b/>
                <w:color w:val="000000" w:themeColor="text1"/>
                <w:sz w:val="20"/>
                <w:szCs w:val="20"/>
              </w:rPr>
            </w:pPr>
            <w:r w:rsidRPr="00E61AC8">
              <w:rPr>
                <w:rFonts w:asciiTheme="minorHAnsi" w:hAnsiTheme="minorHAnsi" w:cstheme="minorHAnsi"/>
                <w:b/>
                <w:color w:val="000000" w:themeColor="text1"/>
                <w:sz w:val="20"/>
                <w:szCs w:val="20"/>
              </w:rPr>
              <w:t>66</w:t>
            </w:r>
          </w:p>
        </w:tc>
        <w:tc>
          <w:tcPr>
            <w:tcW w:w="766" w:type="dxa"/>
            <w:tcBorders>
              <w:right w:val="single" w:sz="4" w:space="0" w:color="0079C1"/>
            </w:tcBorders>
            <w:shd w:val="clear" w:color="auto" w:fill="E2F4FF" w:themeFill="accent1" w:themeFillTint="33"/>
            <w:vAlign w:val="center"/>
          </w:tcPr>
          <w:p w14:paraId="2CD0B10D" w14:textId="621029EA" w:rsidR="00C61524" w:rsidRPr="00E61AC8" w:rsidRDefault="00C61524" w:rsidP="00C61524">
            <w:pPr>
              <w:tabs>
                <w:tab w:val="left" w:pos="318"/>
              </w:tabs>
              <w:spacing w:before="60" w:after="60"/>
              <w:jc w:val="center"/>
              <w:rPr>
                <w:rFonts w:asciiTheme="minorHAnsi" w:hAnsiTheme="minorHAnsi" w:cstheme="minorHAnsi"/>
                <w:b/>
                <w:color w:val="000000" w:themeColor="text1"/>
                <w:sz w:val="20"/>
                <w:szCs w:val="20"/>
              </w:rPr>
            </w:pPr>
            <w:r w:rsidRPr="00E61AC8">
              <w:rPr>
                <w:rFonts w:asciiTheme="minorHAnsi" w:hAnsiTheme="minorHAnsi" w:cstheme="minorHAnsi"/>
                <w:b/>
                <w:color w:val="000000" w:themeColor="text1"/>
                <w:sz w:val="20"/>
                <w:szCs w:val="20"/>
              </w:rPr>
              <w:t>90.3%</w:t>
            </w:r>
          </w:p>
        </w:tc>
        <w:tc>
          <w:tcPr>
            <w:tcW w:w="765" w:type="dxa"/>
            <w:tcBorders>
              <w:left w:val="single" w:sz="4" w:space="0" w:color="0079C1"/>
            </w:tcBorders>
            <w:shd w:val="clear" w:color="auto" w:fill="E2F4FF" w:themeFill="accent1" w:themeFillTint="33"/>
            <w:vAlign w:val="center"/>
          </w:tcPr>
          <w:p w14:paraId="5D2515AA" w14:textId="77777777" w:rsidR="00C61524" w:rsidRPr="00E61AC8" w:rsidRDefault="00C61524" w:rsidP="00C61524">
            <w:pPr>
              <w:tabs>
                <w:tab w:val="left" w:pos="318"/>
              </w:tabs>
              <w:spacing w:before="60" w:after="60"/>
              <w:jc w:val="center"/>
              <w:rPr>
                <w:rFonts w:asciiTheme="minorHAnsi" w:hAnsiTheme="minorHAnsi" w:cstheme="minorHAnsi"/>
                <w:b/>
                <w:color w:val="000000" w:themeColor="text1"/>
                <w:sz w:val="20"/>
                <w:szCs w:val="20"/>
              </w:rPr>
            </w:pPr>
            <w:r w:rsidRPr="00E61AC8">
              <w:rPr>
                <w:rFonts w:asciiTheme="minorHAnsi" w:hAnsiTheme="minorHAnsi" w:cstheme="minorHAnsi"/>
                <w:b/>
                <w:color w:val="000000" w:themeColor="text1"/>
                <w:sz w:val="20"/>
                <w:szCs w:val="20"/>
              </w:rPr>
              <w:t>9</w:t>
            </w:r>
          </w:p>
        </w:tc>
        <w:tc>
          <w:tcPr>
            <w:tcW w:w="766" w:type="dxa"/>
            <w:tcBorders>
              <w:right w:val="single" w:sz="4" w:space="0" w:color="0079C1"/>
            </w:tcBorders>
            <w:shd w:val="clear" w:color="auto" w:fill="E2F4FF" w:themeFill="accent1" w:themeFillTint="33"/>
            <w:vAlign w:val="center"/>
          </w:tcPr>
          <w:p w14:paraId="72BD01B5" w14:textId="5A9115B0" w:rsidR="00C61524" w:rsidRPr="00E61AC8" w:rsidRDefault="00C61524" w:rsidP="00C61524">
            <w:pPr>
              <w:tabs>
                <w:tab w:val="left" w:pos="318"/>
              </w:tabs>
              <w:spacing w:before="60" w:after="60"/>
              <w:jc w:val="center"/>
              <w:rPr>
                <w:rFonts w:asciiTheme="minorHAnsi" w:hAnsiTheme="minorHAnsi" w:cstheme="minorHAnsi"/>
                <w:b/>
                <w:color w:val="000000" w:themeColor="text1"/>
                <w:sz w:val="20"/>
                <w:szCs w:val="20"/>
              </w:rPr>
            </w:pPr>
            <w:r w:rsidRPr="00E61AC8">
              <w:rPr>
                <w:rFonts w:asciiTheme="minorHAnsi" w:hAnsiTheme="minorHAnsi" w:cstheme="minorHAnsi"/>
                <w:b/>
                <w:color w:val="000000" w:themeColor="text1"/>
                <w:sz w:val="20"/>
                <w:szCs w:val="20"/>
              </w:rPr>
              <w:t>47.5%</w:t>
            </w:r>
          </w:p>
        </w:tc>
        <w:tc>
          <w:tcPr>
            <w:tcW w:w="765" w:type="dxa"/>
            <w:tcBorders>
              <w:left w:val="single" w:sz="4" w:space="0" w:color="0079C1"/>
            </w:tcBorders>
            <w:shd w:val="clear" w:color="auto" w:fill="E2F4FF" w:themeFill="accent1" w:themeFillTint="33"/>
            <w:vAlign w:val="center"/>
          </w:tcPr>
          <w:p w14:paraId="57F76C9F" w14:textId="77777777" w:rsidR="00C61524" w:rsidRPr="00E61AC8" w:rsidRDefault="00C61524" w:rsidP="00C61524">
            <w:pPr>
              <w:tabs>
                <w:tab w:val="left" w:pos="318"/>
              </w:tabs>
              <w:spacing w:before="60" w:after="60"/>
              <w:jc w:val="center"/>
              <w:rPr>
                <w:rStyle w:val="Strong"/>
                <w:rFonts w:asciiTheme="minorHAnsi" w:hAnsiTheme="minorHAnsi"/>
                <w:sz w:val="20"/>
                <w:szCs w:val="20"/>
              </w:rPr>
            </w:pPr>
          </w:p>
        </w:tc>
        <w:tc>
          <w:tcPr>
            <w:tcW w:w="767" w:type="dxa"/>
            <w:shd w:val="clear" w:color="auto" w:fill="E2F4FF" w:themeFill="accent1" w:themeFillTint="33"/>
            <w:vAlign w:val="center"/>
          </w:tcPr>
          <w:p w14:paraId="4A0EF0F2" w14:textId="1F40BBF1" w:rsidR="00C61524" w:rsidRPr="00C61524" w:rsidRDefault="00C61524" w:rsidP="00C61524">
            <w:pPr>
              <w:tabs>
                <w:tab w:val="left" w:pos="318"/>
              </w:tabs>
              <w:spacing w:before="60" w:after="60"/>
              <w:jc w:val="center"/>
              <w:rPr>
                <w:rStyle w:val="Strong"/>
                <w:rFonts w:asciiTheme="minorHAnsi" w:hAnsiTheme="minorHAnsi"/>
                <w:b w:val="0"/>
                <w:sz w:val="20"/>
                <w:szCs w:val="20"/>
              </w:rPr>
            </w:pPr>
            <w:r w:rsidRPr="00E61AC8">
              <w:rPr>
                <w:rStyle w:val="Strong"/>
                <w:rFonts w:asciiTheme="minorHAnsi" w:hAnsiTheme="minorHAnsi"/>
                <w:sz w:val="20"/>
                <w:szCs w:val="20"/>
              </w:rPr>
              <w:t>51.3</w:t>
            </w:r>
            <w:r>
              <w:rPr>
                <w:rStyle w:val="Strong"/>
                <w:rFonts w:asciiTheme="minorHAnsi" w:hAnsiTheme="minorHAnsi"/>
                <w:sz w:val="20"/>
                <w:szCs w:val="20"/>
              </w:rPr>
              <w:t>%</w:t>
            </w:r>
          </w:p>
        </w:tc>
      </w:tr>
      <w:tr w:rsidR="00C61524" w:rsidRPr="00E61AC8" w14:paraId="39D9DB9E" w14:textId="77777777" w:rsidTr="00E61AC8">
        <w:tc>
          <w:tcPr>
            <w:tcW w:w="1841" w:type="dxa"/>
            <w:tcBorders>
              <w:right w:val="single" w:sz="4" w:space="0" w:color="0079C1"/>
            </w:tcBorders>
          </w:tcPr>
          <w:p w14:paraId="00DB3214" w14:textId="77777777" w:rsidR="00C61524" w:rsidRPr="00E61AC8" w:rsidRDefault="00C61524" w:rsidP="00C61524">
            <w:pPr>
              <w:rPr>
                <w:rFonts w:asciiTheme="minorHAnsi" w:hAnsiTheme="minorHAnsi" w:cs="Arial"/>
                <w:color w:val="333333"/>
                <w:sz w:val="20"/>
                <w:szCs w:val="20"/>
              </w:rPr>
            </w:pPr>
            <w:r w:rsidRPr="00E61AC8">
              <w:rPr>
                <w:rFonts w:asciiTheme="minorHAnsi" w:hAnsiTheme="minorHAnsi" w:cs="Arial"/>
                <w:color w:val="333333"/>
                <w:sz w:val="20"/>
                <w:szCs w:val="20"/>
              </w:rPr>
              <w:t>2015</w:t>
            </w:r>
          </w:p>
        </w:tc>
        <w:tc>
          <w:tcPr>
            <w:tcW w:w="765" w:type="dxa"/>
            <w:tcBorders>
              <w:left w:val="single" w:sz="4" w:space="0" w:color="0079C1"/>
            </w:tcBorders>
            <w:shd w:val="clear" w:color="auto" w:fill="FFFFFF" w:themeFill="background1"/>
            <w:vAlign w:val="center"/>
          </w:tcPr>
          <w:p w14:paraId="741CCF7A"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24</w:t>
            </w:r>
          </w:p>
        </w:tc>
        <w:tc>
          <w:tcPr>
            <w:tcW w:w="766" w:type="dxa"/>
            <w:tcBorders>
              <w:right w:val="single" w:sz="4" w:space="0" w:color="0079C1"/>
            </w:tcBorders>
            <w:shd w:val="clear" w:color="auto" w:fill="FFFFFF" w:themeFill="background1"/>
            <w:vAlign w:val="center"/>
          </w:tcPr>
          <w:p w14:paraId="10506D97" w14:textId="72B88D3B"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22.2%</w:t>
            </w:r>
          </w:p>
        </w:tc>
        <w:tc>
          <w:tcPr>
            <w:tcW w:w="765" w:type="dxa"/>
            <w:tcBorders>
              <w:left w:val="single" w:sz="4" w:space="0" w:color="0079C1"/>
            </w:tcBorders>
            <w:shd w:val="clear" w:color="auto" w:fill="FFFFFF" w:themeFill="background1"/>
            <w:vAlign w:val="center"/>
          </w:tcPr>
          <w:p w14:paraId="7888F8DE"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6</w:t>
            </w:r>
          </w:p>
        </w:tc>
        <w:tc>
          <w:tcPr>
            <w:tcW w:w="766" w:type="dxa"/>
            <w:tcBorders>
              <w:right w:val="single" w:sz="4" w:space="0" w:color="0079C1"/>
            </w:tcBorders>
            <w:shd w:val="clear" w:color="auto" w:fill="auto"/>
            <w:vAlign w:val="center"/>
          </w:tcPr>
          <w:p w14:paraId="39C053A3" w14:textId="56FD13F0"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30.0%</w:t>
            </w:r>
          </w:p>
        </w:tc>
        <w:tc>
          <w:tcPr>
            <w:tcW w:w="766" w:type="dxa"/>
            <w:tcBorders>
              <w:left w:val="single" w:sz="4" w:space="0" w:color="0079C1"/>
            </w:tcBorders>
            <w:shd w:val="clear" w:color="auto" w:fill="FFFFFF" w:themeFill="background1"/>
            <w:vAlign w:val="center"/>
          </w:tcPr>
          <w:p w14:paraId="225558C7"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w:t>
            </w:r>
          </w:p>
        </w:tc>
        <w:tc>
          <w:tcPr>
            <w:tcW w:w="766" w:type="dxa"/>
            <w:tcBorders>
              <w:right w:val="single" w:sz="4" w:space="0" w:color="0079C1"/>
            </w:tcBorders>
            <w:shd w:val="clear" w:color="auto" w:fill="FFFFFF" w:themeFill="background1"/>
            <w:vAlign w:val="center"/>
          </w:tcPr>
          <w:p w14:paraId="3F3B857D" w14:textId="699AFDA6"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1.4%</w:t>
            </w:r>
          </w:p>
        </w:tc>
        <w:tc>
          <w:tcPr>
            <w:tcW w:w="765" w:type="dxa"/>
            <w:tcBorders>
              <w:left w:val="single" w:sz="4" w:space="0" w:color="0079C1"/>
            </w:tcBorders>
            <w:shd w:val="clear" w:color="auto" w:fill="FFFFFF" w:themeFill="background1"/>
            <w:vAlign w:val="center"/>
          </w:tcPr>
          <w:p w14:paraId="697CD2EA"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6</w:t>
            </w:r>
          </w:p>
        </w:tc>
        <w:tc>
          <w:tcPr>
            <w:tcW w:w="766" w:type="dxa"/>
            <w:tcBorders>
              <w:right w:val="single" w:sz="4" w:space="0" w:color="0079C1"/>
            </w:tcBorders>
            <w:shd w:val="clear" w:color="auto" w:fill="FFFFFF" w:themeFill="background1"/>
            <w:vAlign w:val="center"/>
          </w:tcPr>
          <w:p w14:paraId="74B45849" w14:textId="7E624F80"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31.5%</w:t>
            </w:r>
          </w:p>
        </w:tc>
        <w:tc>
          <w:tcPr>
            <w:tcW w:w="765" w:type="dxa"/>
            <w:tcBorders>
              <w:left w:val="single" w:sz="4" w:space="0" w:color="0079C1"/>
            </w:tcBorders>
            <w:shd w:val="clear" w:color="auto" w:fill="FFFFFF" w:themeFill="background1"/>
            <w:vAlign w:val="center"/>
          </w:tcPr>
          <w:p w14:paraId="45ABDD55" w14:textId="7F972C84" w:rsidR="00C61524" w:rsidRPr="00E61AC8" w:rsidRDefault="00C61524" w:rsidP="00C61524">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37</w:t>
            </w:r>
          </w:p>
        </w:tc>
        <w:tc>
          <w:tcPr>
            <w:tcW w:w="767" w:type="dxa"/>
            <w:shd w:val="clear" w:color="auto" w:fill="FFFFFF" w:themeFill="background1"/>
            <w:vAlign w:val="center"/>
          </w:tcPr>
          <w:p w14:paraId="6D56E69C" w14:textId="15890902" w:rsidR="00C61524" w:rsidRPr="00C61524" w:rsidRDefault="00C61524" w:rsidP="00C61524">
            <w:pPr>
              <w:tabs>
                <w:tab w:val="left" w:pos="318"/>
              </w:tabs>
              <w:spacing w:before="60" w:after="60"/>
              <w:jc w:val="center"/>
              <w:rPr>
                <w:rStyle w:val="Strong"/>
                <w:rFonts w:asciiTheme="minorHAnsi" w:hAnsiTheme="minorHAnsi"/>
                <w:b w:val="0"/>
                <w:sz w:val="20"/>
                <w:szCs w:val="20"/>
              </w:rPr>
            </w:pPr>
            <w:r w:rsidRPr="00E61AC8">
              <w:rPr>
                <w:rStyle w:val="Strong"/>
                <w:rFonts w:asciiTheme="minorHAnsi" w:hAnsiTheme="minorHAnsi"/>
                <w:sz w:val="20"/>
                <w:szCs w:val="20"/>
              </w:rPr>
              <w:t>16.8</w:t>
            </w:r>
            <w:r>
              <w:rPr>
                <w:rStyle w:val="Strong"/>
                <w:rFonts w:asciiTheme="minorHAnsi" w:hAnsiTheme="minorHAnsi"/>
                <w:sz w:val="20"/>
                <w:szCs w:val="20"/>
              </w:rPr>
              <w:t>%</w:t>
            </w:r>
          </w:p>
        </w:tc>
      </w:tr>
      <w:tr w:rsidR="00C61524" w:rsidRPr="00E61AC8" w14:paraId="48DF3FAB" w14:textId="77777777" w:rsidTr="00E61AC8">
        <w:tc>
          <w:tcPr>
            <w:tcW w:w="1841" w:type="dxa"/>
            <w:tcBorders>
              <w:right w:val="single" w:sz="4" w:space="0" w:color="0079C1"/>
            </w:tcBorders>
          </w:tcPr>
          <w:p w14:paraId="75CB1A48" w14:textId="77777777" w:rsidR="00C61524" w:rsidRPr="00E61AC8" w:rsidRDefault="00C61524" w:rsidP="00C61524">
            <w:pPr>
              <w:rPr>
                <w:rFonts w:asciiTheme="minorHAnsi" w:hAnsiTheme="minorHAnsi" w:cs="Arial"/>
                <w:color w:val="333333"/>
                <w:sz w:val="20"/>
                <w:szCs w:val="20"/>
              </w:rPr>
            </w:pPr>
            <w:r w:rsidRPr="00E61AC8">
              <w:rPr>
                <w:rFonts w:asciiTheme="minorHAnsi" w:hAnsiTheme="minorHAnsi" w:cs="Arial"/>
                <w:color w:val="333333"/>
                <w:sz w:val="20"/>
                <w:szCs w:val="20"/>
              </w:rPr>
              <w:t>2016</w:t>
            </w:r>
          </w:p>
        </w:tc>
        <w:tc>
          <w:tcPr>
            <w:tcW w:w="765" w:type="dxa"/>
            <w:tcBorders>
              <w:left w:val="single" w:sz="4" w:space="0" w:color="0079C1"/>
            </w:tcBorders>
            <w:shd w:val="clear" w:color="auto" w:fill="FFFFFF" w:themeFill="background1"/>
            <w:vAlign w:val="center"/>
          </w:tcPr>
          <w:p w14:paraId="0BBC2CDA"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19</w:t>
            </w:r>
          </w:p>
        </w:tc>
        <w:tc>
          <w:tcPr>
            <w:tcW w:w="766" w:type="dxa"/>
            <w:tcBorders>
              <w:right w:val="single" w:sz="4" w:space="0" w:color="0079C1"/>
            </w:tcBorders>
            <w:shd w:val="clear" w:color="auto" w:fill="FFFFFF" w:themeFill="background1"/>
            <w:vAlign w:val="center"/>
          </w:tcPr>
          <w:p w14:paraId="4D1161DD" w14:textId="5D171C81"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17.6%</w:t>
            </w:r>
          </w:p>
        </w:tc>
        <w:tc>
          <w:tcPr>
            <w:tcW w:w="765" w:type="dxa"/>
            <w:tcBorders>
              <w:left w:val="single" w:sz="4" w:space="0" w:color="0079C1"/>
            </w:tcBorders>
            <w:shd w:val="clear" w:color="auto" w:fill="FFFFFF" w:themeFill="background1"/>
            <w:vAlign w:val="center"/>
          </w:tcPr>
          <w:p w14:paraId="2EE43DBE"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w:t>
            </w:r>
          </w:p>
        </w:tc>
        <w:tc>
          <w:tcPr>
            <w:tcW w:w="766" w:type="dxa"/>
            <w:tcBorders>
              <w:right w:val="single" w:sz="4" w:space="0" w:color="0079C1"/>
            </w:tcBorders>
            <w:shd w:val="clear" w:color="auto" w:fill="auto"/>
            <w:vAlign w:val="center"/>
          </w:tcPr>
          <w:p w14:paraId="05216F6E" w14:textId="0EC560AA"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10.0%</w:t>
            </w:r>
          </w:p>
        </w:tc>
        <w:tc>
          <w:tcPr>
            <w:tcW w:w="766" w:type="dxa"/>
            <w:tcBorders>
              <w:left w:val="single" w:sz="4" w:space="0" w:color="0079C1"/>
            </w:tcBorders>
            <w:shd w:val="clear" w:color="auto" w:fill="FFFFFF" w:themeFill="background1"/>
            <w:vAlign w:val="center"/>
          </w:tcPr>
          <w:p w14:paraId="6EBC746C"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shd w:val="clear" w:color="auto" w:fill="FFFFFF" w:themeFill="background1"/>
            <w:vAlign w:val="center"/>
          </w:tcPr>
          <w:p w14:paraId="4ECB4C8B" w14:textId="7278D75F"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765" w:type="dxa"/>
            <w:tcBorders>
              <w:left w:val="single" w:sz="4" w:space="0" w:color="0079C1"/>
            </w:tcBorders>
            <w:shd w:val="clear" w:color="auto" w:fill="FFFFFF" w:themeFill="background1"/>
            <w:vAlign w:val="center"/>
          </w:tcPr>
          <w:p w14:paraId="68444D55"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w:t>
            </w:r>
          </w:p>
        </w:tc>
        <w:tc>
          <w:tcPr>
            <w:tcW w:w="766" w:type="dxa"/>
            <w:tcBorders>
              <w:right w:val="single" w:sz="4" w:space="0" w:color="0079C1"/>
            </w:tcBorders>
            <w:shd w:val="clear" w:color="auto" w:fill="FFFFFF" w:themeFill="background1"/>
            <w:vAlign w:val="center"/>
          </w:tcPr>
          <w:p w14:paraId="1F5791BE" w14:textId="575BFB54"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5.3%</w:t>
            </w:r>
          </w:p>
        </w:tc>
        <w:tc>
          <w:tcPr>
            <w:tcW w:w="765" w:type="dxa"/>
            <w:tcBorders>
              <w:left w:val="single" w:sz="4" w:space="0" w:color="0079C1"/>
            </w:tcBorders>
            <w:shd w:val="clear" w:color="auto" w:fill="FFFFFF" w:themeFill="background1"/>
            <w:vAlign w:val="center"/>
          </w:tcPr>
          <w:p w14:paraId="7D7EF405" w14:textId="724341A7" w:rsidR="00C61524" w:rsidRPr="00E61AC8" w:rsidRDefault="00C61524" w:rsidP="00C61524">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22</w:t>
            </w:r>
          </w:p>
        </w:tc>
        <w:tc>
          <w:tcPr>
            <w:tcW w:w="767" w:type="dxa"/>
            <w:shd w:val="clear" w:color="auto" w:fill="FFFFFF" w:themeFill="background1"/>
            <w:vAlign w:val="center"/>
          </w:tcPr>
          <w:p w14:paraId="0A646765" w14:textId="2A2CD4FE" w:rsidR="00C61524" w:rsidRPr="00C61524" w:rsidRDefault="00C61524" w:rsidP="00C61524">
            <w:pPr>
              <w:tabs>
                <w:tab w:val="left" w:pos="318"/>
              </w:tabs>
              <w:spacing w:before="60" w:after="60"/>
              <w:jc w:val="center"/>
              <w:rPr>
                <w:rStyle w:val="Strong"/>
                <w:rFonts w:asciiTheme="minorHAnsi" w:hAnsiTheme="minorHAnsi"/>
                <w:b w:val="0"/>
                <w:sz w:val="20"/>
                <w:szCs w:val="20"/>
              </w:rPr>
            </w:pPr>
            <w:r w:rsidRPr="00E61AC8">
              <w:rPr>
                <w:rStyle w:val="Strong"/>
                <w:rFonts w:asciiTheme="minorHAnsi" w:hAnsiTheme="minorHAnsi"/>
                <w:sz w:val="20"/>
                <w:szCs w:val="20"/>
              </w:rPr>
              <w:t>10.1</w:t>
            </w:r>
            <w:r>
              <w:rPr>
                <w:rStyle w:val="Strong"/>
                <w:rFonts w:asciiTheme="minorHAnsi" w:hAnsiTheme="minorHAnsi"/>
                <w:sz w:val="20"/>
                <w:szCs w:val="20"/>
              </w:rPr>
              <w:t>%</w:t>
            </w:r>
          </w:p>
        </w:tc>
      </w:tr>
      <w:tr w:rsidR="00C61524" w:rsidRPr="00E61AC8" w14:paraId="274CFCF9" w14:textId="77777777" w:rsidTr="00E61AC8">
        <w:tc>
          <w:tcPr>
            <w:tcW w:w="1841" w:type="dxa"/>
            <w:tcBorders>
              <w:right w:val="single" w:sz="4" w:space="0" w:color="0079C1"/>
            </w:tcBorders>
            <w:shd w:val="clear" w:color="auto" w:fill="E2F4FF" w:themeFill="accent1" w:themeFillTint="33"/>
          </w:tcPr>
          <w:p w14:paraId="379A62E1" w14:textId="77777777" w:rsidR="00C61524" w:rsidRPr="00E61AC8" w:rsidRDefault="00C61524" w:rsidP="00C61524">
            <w:pPr>
              <w:rPr>
                <w:rFonts w:asciiTheme="minorHAnsi" w:hAnsiTheme="minorHAnsi" w:cs="Arial"/>
                <w:b/>
                <w:color w:val="333333"/>
                <w:sz w:val="20"/>
                <w:szCs w:val="20"/>
              </w:rPr>
            </w:pPr>
            <w:r w:rsidRPr="00E61AC8">
              <w:rPr>
                <w:rFonts w:asciiTheme="minorHAnsi" w:hAnsiTheme="minorHAnsi" w:cs="Arial"/>
                <w:b/>
                <w:color w:val="333333"/>
                <w:sz w:val="20"/>
                <w:szCs w:val="20"/>
              </w:rPr>
              <w:t>Sub-total post-IAA</w:t>
            </w:r>
          </w:p>
        </w:tc>
        <w:tc>
          <w:tcPr>
            <w:tcW w:w="765" w:type="dxa"/>
            <w:tcBorders>
              <w:left w:val="single" w:sz="4" w:space="0" w:color="0079C1"/>
            </w:tcBorders>
            <w:shd w:val="clear" w:color="auto" w:fill="E2F4FF" w:themeFill="accent1" w:themeFillTint="33"/>
            <w:vAlign w:val="center"/>
          </w:tcPr>
          <w:p w14:paraId="38D030D3" w14:textId="77777777" w:rsidR="00C61524" w:rsidRPr="00E61AC8" w:rsidRDefault="00C61524" w:rsidP="00C61524">
            <w:pPr>
              <w:tabs>
                <w:tab w:val="left" w:pos="318"/>
              </w:tabs>
              <w:spacing w:before="60" w:after="60"/>
              <w:jc w:val="center"/>
              <w:rPr>
                <w:rFonts w:asciiTheme="minorHAnsi" w:hAnsiTheme="minorHAnsi" w:cstheme="minorHAnsi"/>
                <w:b/>
                <w:color w:val="000000" w:themeColor="text1"/>
                <w:sz w:val="20"/>
                <w:szCs w:val="20"/>
              </w:rPr>
            </w:pPr>
            <w:r w:rsidRPr="00E61AC8">
              <w:rPr>
                <w:rFonts w:asciiTheme="minorHAnsi" w:hAnsiTheme="minorHAnsi" w:cstheme="minorHAnsi"/>
                <w:b/>
                <w:color w:val="000000" w:themeColor="text1"/>
                <w:sz w:val="20"/>
                <w:szCs w:val="20"/>
              </w:rPr>
              <w:t>43</w:t>
            </w:r>
          </w:p>
        </w:tc>
        <w:tc>
          <w:tcPr>
            <w:tcW w:w="766" w:type="dxa"/>
            <w:tcBorders>
              <w:right w:val="single" w:sz="4" w:space="0" w:color="0079C1"/>
            </w:tcBorders>
            <w:shd w:val="clear" w:color="auto" w:fill="E2F4FF" w:themeFill="accent1" w:themeFillTint="33"/>
            <w:vAlign w:val="center"/>
          </w:tcPr>
          <w:p w14:paraId="25EDD563" w14:textId="420CCD9A" w:rsidR="00C61524" w:rsidRPr="00E61AC8" w:rsidRDefault="00C61524" w:rsidP="00C61524">
            <w:pPr>
              <w:tabs>
                <w:tab w:val="left" w:pos="318"/>
              </w:tabs>
              <w:spacing w:before="60" w:after="60"/>
              <w:jc w:val="center"/>
              <w:rPr>
                <w:rFonts w:asciiTheme="minorHAnsi" w:hAnsiTheme="minorHAnsi" w:cstheme="minorHAnsi"/>
                <w:b/>
                <w:color w:val="000000" w:themeColor="text1"/>
                <w:sz w:val="20"/>
                <w:szCs w:val="20"/>
              </w:rPr>
            </w:pPr>
            <w:r w:rsidRPr="00E61AC8">
              <w:rPr>
                <w:rFonts w:asciiTheme="minorHAnsi" w:hAnsiTheme="minorHAnsi" w:cstheme="minorHAnsi"/>
                <w:b/>
                <w:color w:val="000000" w:themeColor="text1"/>
                <w:sz w:val="20"/>
                <w:szCs w:val="20"/>
              </w:rPr>
              <w:t>39.8%</w:t>
            </w:r>
          </w:p>
        </w:tc>
        <w:tc>
          <w:tcPr>
            <w:tcW w:w="765" w:type="dxa"/>
            <w:tcBorders>
              <w:left w:val="single" w:sz="4" w:space="0" w:color="0079C1"/>
            </w:tcBorders>
            <w:shd w:val="clear" w:color="auto" w:fill="E2F4FF" w:themeFill="accent1" w:themeFillTint="33"/>
            <w:vAlign w:val="center"/>
          </w:tcPr>
          <w:p w14:paraId="301FFC6D" w14:textId="77777777" w:rsidR="00C61524" w:rsidRPr="00E61AC8" w:rsidRDefault="00C61524" w:rsidP="00C61524">
            <w:pPr>
              <w:tabs>
                <w:tab w:val="left" w:pos="318"/>
              </w:tabs>
              <w:spacing w:before="60" w:after="60"/>
              <w:jc w:val="center"/>
              <w:rPr>
                <w:rFonts w:asciiTheme="minorHAnsi" w:hAnsiTheme="minorHAnsi" w:cstheme="minorHAnsi"/>
                <w:b/>
                <w:color w:val="000000" w:themeColor="text1"/>
                <w:sz w:val="20"/>
                <w:szCs w:val="20"/>
              </w:rPr>
            </w:pPr>
            <w:r w:rsidRPr="00E61AC8">
              <w:rPr>
                <w:rFonts w:asciiTheme="minorHAnsi" w:hAnsiTheme="minorHAnsi" w:cstheme="minorHAnsi"/>
                <w:b/>
                <w:color w:val="000000" w:themeColor="text1"/>
                <w:sz w:val="20"/>
                <w:szCs w:val="20"/>
              </w:rPr>
              <w:t>8</w:t>
            </w:r>
          </w:p>
        </w:tc>
        <w:tc>
          <w:tcPr>
            <w:tcW w:w="766" w:type="dxa"/>
            <w:tcBorders>
              <w:right w:val="single" w:sz="4" w:space="0" w:color="0079C1"/>
            </w:tcBorders>
            <w:shd w:val="clear" w:color="auto" w:fill="auto"/>
            <w:vAlign w:val="center"/>
          </w:tcPr>
          <w:p w14:paraId="5623A3AF" w14:textId="2F669E53" w:rsidR="00C61524" w:rsidRPr="00E61AC8" w:rsidRDefault="00C61524" w:rsidP="00C61524">
            <w:pPr>
              <w:tabs>
                <w:tab w:val="left" w:pos="318"/>
              </w:tabs>
              <w:spacing w:before="60" w:after="60"/>
              <w:jc w:val="center"/>
              <w:rPr>
                <w:rFonts w:asciiTheme="minorHAnsi" w:hAnsiTheme="minorHAnsi" w:cstheme="minorHAnsi"/>
                <w:b/>
                <w:color w:val="000000" w:themeColor="text1"/>
                <w:sz w:val="20"/>
                <w:szCs w:val="20"/>
              </w:rPr>
            </w:pPr>
            <w:r w:rsidRPr="00E61AC8">
              <w:rPr>
                <w:rFonts w:asciiTheme="minorHAnsi" w:hAnsiTheme="minorHAnsi" w:cstheme="minorHAnsi"/>
                <w:b/>
                <w:color w:val="000000" w:themeColor="text1"/>
                <w:sz w:val="20"/>
                <w:szCs w:val="20"/>
              </w:rPr>
              <w:t>40.0%</w:t>
            </w:r>
          </w:p>
        </w:tc>
        <w:tc>
          <w:tcPr>
            <w:tcW w:w="766" w:type="dxa"/>
            <w:tcBorders>
              <w:left w:val="single" w:sz="4" w:space="0" w:color="0079C1"/>
            </w:tcBorders>
            <w:shd w:val="clear" w:color="auto" w:fill="E2F4FF" w:themeFill="accent1" w:themeFillTint="33"/>
            <w:vAlign w:val="center"/>
          </w:tcPr>
          <w:p w14:paraId="304B525B" w14:textId="77777777" w:rsidR="00C61524" w:rsidRPr="00E61AC8" w:rsidRDefault="00C61524" w:rsidP="00C61524">
            <w:pPr>
              <w:tabs>
                <w:tab w:val="left" w:pos="318"/>
              </w:tabs>
              <w:spacing w:before="60" w:after="60"/>
              <w:jc w:val="center"/>
              <w:rPr>
                <w:rFonts w:asciiTheme="minorHAnsi" w:hAnsiTheme="minorHAnsi" w:cstheme="minorHAnsi"/>
                <w:b/>
                <w:color w:val="000000" w:themeColor="text1"/>
                <w:sz w:val="20"/>
                <w:szCs w:val="20"/>
              </w:rPr>
            </w:pPr>
            <w:r w:rsidRPr="00E61AC8">
              <w:rPr>
                <w:rFonts w:asciiTheme="minorHAnsi" w:hAnsiTheme="minorHAnsi" w:cstheme="minorHAnsi"/>
                <w:b/>
                <w:color w:val="000000" w:themeColor="text1"/>
                <w:sz w:val="20"/>
                <w:szCs w:val="20"/>
              </w:rPr>
              <w:t>1</w:t>
            </w:r>
          </w:p>
        </w:tc>
        <w:tc>
          <w:tcPr>
            <w:tcW w:w="766" w:type="dxa"/>
            <w:tcBorders>
              <w:right w:val="single" w:sz="4" w:space="0" w:color="0079C1"/>
            </w:tcBorders>
            <w:shd w:val="clear" w:color="auto" w:fill="E2F4FF" w:themeFill="accent1" w:themeFillTint="33"/>
            <w:vAlign w:val="center"/>
          </w:tcPr>
          <w:p w14:paraId="54A34878" w14:textId="36848BDB" w:rsidR="00C61524" w:rsidRPr="00E61AC8" w:rsidRDefault="00C61524" w:rsidP="00C61524">
            <w:pPr>
              <w:tabs>
                <w:tab w:val="left" w:pos="318"/>
              </w:tabs>
              <w:spacing w:before="60" w:after="60"/>
              <w:jc w:val="center"/>
              <w:rPr>
                <w:rFonts w:asciiTheme="minorHAnsi" w:hAnsiTheme="minorHAnsi" w:cstheme="minorHAnsi"/>
                <w:b/>
                <w:color w:val="000000" w:themeColor="text1"/>
                <w:sz w:val="20"/>
                <w:szCs w:val="20"/>
              </w:rPr>
            </w:pPr>
            <w:r w:rsidRPr="00E61AC8">
              <w:rPr>
                <w:rFonts w:asciiTheme="minorHAnsi" w:hAnsiTheme="minorHAnsi" w:cstheme="minorHAnsi"/>
                <w:b/>
                <w:color w:val="000000" w:themeColor="text1"/>
                <w:sz w:val="20"/>
                <w:szCs w:val="20"/>
              </w:rPr>
              <w:t>1.4%</w:t>
            </w:r>
          </w:p>
        </w:tc>
        <w:tc>
          <w:tcPr>
            <w:tcW w:w="765" w:type="dxa"/>
            <w:tcBorders>
              <w:left w:val="single" w:sz="4" w:space="0" w:color="0079C1"/>
            </w:tcBorders>
            <w:shd w:val="clear" w:color="auto" w:fill="E2F4FF" w:themeFill="accent1" w:themeFillTint="33"/>
            <w:vAlign w:val="center"/>
          </w:tcPr>
          <w:p w14:paraId="17201483" w14:textId="77777777" w:rsidR="00C61524" w:rsidRPr="00E61AC8" w:rsidRDefault="00C61524" w:rsidP="00C61524">
            <w:pPr>
              <w:tabs>
                <w:tab w:val="left" w:pos="318"/>
              </w:tabs>
              <w:spacing w:before="60" w:after="60"/>
              <w:jc w:val="center"/>
              <w:rPr>
                <w:rFonts w:asciiTheme="minorHAnsi" w:hAnsiTheme="minorHAnsi" w:cstheme="minorHAnsi"/>
                <w:b/>
                <w:color w:val="000000" w:themeColor="text1"/>
                <w:sz w:val="20"/>
                <w:szCs w:val="20"/>
              </w:rPr>
            </w:pPr>
            <w:r w:rsidRPr="00E61AC8">
              <w:rPr>
                <w:rFonts w:asciiTheme="minorHAnsi" w:hAnsiTheme="minorHAnsi" w:cstheme="minorHAnsi"/>
                <w:b/>
                <w:color w:val="000000" w:themeColor="text1"/>
                <w:sz w:val="20"/>
                <w:szCs w:val="20"/>
              </w:rPr>
              <w:t>7</w:t>
            </w:r>
          </w:p>
        </w:tc>
        <w:tc>
          <w:tcPr>
            <w:tcW w:w="766" w:type="dxa"/>
            <w:tcBorders>
              <w:right w:val="single" w:sz="4" w:space="0" w:color="0079C1"/>
            </w:tcBorders>
            <w:shd w:val="clear" w:color="auto" w:fill="E2F4FF" w:themeFill="accent1" w:themeFillTint="33"/>
            <w:vAlign w:val="center"/>
          </w:tcPr>
          <w:p w14:paraId="44BFB52A" w14:textId="604FF47C" w:rsidR="00C61524" w:rsidRPr="00E61AC8" w:rsidRDefault="00C61524" w:rsidP="00C61524">
            <w:pPr>
              <w:tabs>
                <w:tab w:val="left" w:pos="318"/>
              </w:tabs>
              <w:spacing w:before="60" w:after="60"/>
              <w:jc w:val="center"/>
              <w:rPr>
                <w:rFonts w:asciiTheme="minorHAnsi" w:hAnsiTheme="minorHAnsi" w:cstheme="minorHAnsi"/>
                <w:b/>
                <w:color w:val="000000" w:themeColor="text1"/>
                <w:sz w:val="20"/>
                <w:szCs w:val="20"/>
              </w:rPr>
            </w:pPr>
            <w:r w:rsidRPr="00E61AC8">
              <w:rPr>
                <w:rFonts w:asciiTheme="minorHAnsi" w:hAnsiTheme="minorHAnsi" w:cstheme="minorHAnsi"/>
                <w:b/>
                <w:color w:val="000000" w:themeColor="text1"/>
                <w:sz w:val="20"/>
                <w:szCs w:val="20"/>
              </w:rPr>
              <w:t>36.8%</w:t>
            </w:r>
          </w:p>
        </w:tc>
        <w:tc>
          <w:tcPr>
            <w:tcW w:w="765" w:type="dxa"/>
            <w:tcBorders>
              <w:left w:val="single" w:sz="4" w:space="0" w:color="0079C1"/>
            </w:tcBorders>
            <w:shd w:val="clear" w:color="auto" w:fill="E2F4FF" w:themeFill="accent1" w:themeFillTint="33"/>
            <w:vAlign w:val="center"/>
          </w:tcPr>
          <w:p w14:paraId="0995E25B" w14:textId="45F51C51" w:rsidR="00C61524" w:rsidRPr="00E61AC8" w:rsidRDefault="00C61524" w:rsidP="00C61524">
            <w:pPr>
              <w:tabs>
                <w:tab w:val="left" w:pos="318"/>
              </w:tabs>
              <w:spacing w:before="60" w:after="60"/>
              <w:jc w:val="center"/>
              <w:rPr>
                <w:rStyle w:val="Strong"/>
                <w:rFonts w:asciiTheme="minorHAnsi" w:hAnsiTheme="minorHAnsi"/>
                <w:sz w:val="20"/>
                <w:szCs w:val="20"/>
              </w:rPr>
            </w:pPr>
          </w:p>
        </w:tc>
        <w:tc>
          <w:tcPr>
            <w:tcW w:w="767" w:type="dxa"/>
            <w:shd w:val="clear" w:color="auto" w:fill="E2F4FF" w:themeFill="accent1" w:themeFillTint="33"/>
            <w:vAlign w:val="center"/>
          </w:tcPr>
          <w:p w14:paraId="56196538" w14:textId="6A95BC24" w:rsidR="00C61524" w:rsidRPr="00C61524" w:rsidRDefault="00C61524" w:rsidP="00C61524">
            <w:pPr>
              <w:tabs>
                <w:tab w:val="left" w:pos="318"/>
              </w:tabs>
              <w:spacing w:before="60" w:after="60"/>
              <w:jc w:val="center"/>
              <w:rPr>
                <w:rStyle w:val="Strong"/>
                <w:rFonts w:asciiTheme="minorHAnsi" w:hAnsiTheme="minorHAnsi"/>
                <w:b w:val="0"/>
                <w:sz w:val="20"/>
                <w:szCs w:val="20"/>
              </w:rPr>
            </w:pPr>
            <w:r w:rsidRPr="00E61AC8">
              <w:rPr>
                <w:rStyle w:val="Strong"/>
                <w:rFonts w:asciiTheme="minorHAnsi" w:hAnsiTheme="minorHAnsi"/>
                <w:sz w:val="20"/>
                <w:szCs w:val="20"/>
              </w:rPr>
              <w:t>26.8</w:t>
            </w:r>
            <w:r>
              <w:rPr>
                <w:rStyle w:val="Strong"/>
                <w:rFonts w:asciiTheme="minorHAnsi" w:hAnsiTheme="minorHAnsi"/>
                <w:sz w:val="20"/>
                <w:szCs w:val="20"/>
              </w:rPr>
              <w:t>%</w:t>
            </w:r>
          </w:p>
        </w:tc>
      </w:tr>
      <w:tr w:rsidR="00C61524" w:rsidRPr="00E61AC8" w14:paraId="0C572187" w14:textId="77777777" w:rsidTr="00E61AC8">
        <w:tc>
          <w:tcPr>
            <w:tcW w:w="1841" w:type="dxa"/>
            <w:tcBorders>
              <w:right w:val="single" w:sz="4" w:space="0" w:color="0079C1"/>
            </w:tcBorders>
            <w:shd w:val="clear" w:color="auto" w:fill="auto"/>
          </w:tcPr>
          <w:p w14:paraId="4F9197F3" w14:textId="38BE3885" w:rsidR="00C61524" w:rsidRPr="00E61AC8" w:rsidRDefault="00C61524" w:rsidP="00C61524">
            <w:pPr>
              <w:rPr>
                <w:rFonts w:asciiTheme="minorHAnsi" w:hAnsiTheme="minorHAnsi" w:cs="Arial"/>
                <w:color w:val="333333"/>
                <w:sz w:val="20"/>
                <w:szCs w:val="20"/>
              </w:rPr>
            </w:pPr>
            <w:r w:rsidRPr="00E61AC8">
              <w:rPr>
                <w:rFonts w:asciiTheme="minorHAnsi" w:hAnsiTheme="minorHAnsi" w:cs="Arial"/>
                <w:color w:val="333333"/>
                <w:sz w:val="20"/>
                <w:szCs w:val="20"/>
              </w:rPr>
              <w:t>Not stated</w:t>
            </w:r>
          </w:p>
        </w:tc>
        <w:tc>
          <w:tcPr>
            <w:tcW w:w="765" w:type="dxa"/>
            <w:tcBorders>
              <w:left w:val="single" w:sz="4" w:space="0" w:color="0079C1"/>
            </w:tcBorders>
            <w:shd w:val="clear" w:color="auto" w:fill="FFFFFF" w:themeFill="background1"/>
            <w:vAlign w:val="center"/>
          </w:tcPr>
          <w:p w14:paraId="1F7F27A9" w14:textId="77777777"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32</w:t>
            </w:r>
          </w:p>
        </w:tc>
        <w:tc>
          <w:tcPr>
            <w:tcW w:w="766" w:type="dxa"/>
            <w:tcBorders>
              <w:right w:val="single" w:sz="4" w:space="0" w:color="0079C1"/>
            </w:tcBorders>
            <w:shd w:val="clear" w:color="auto" w:fill="FFFFFF" w:themeFill="background1"/>
            <w:vAlign w:val="center"/>
          </w:tcPr>
          <w:p w14:paraId="6C2144D3" w14:textId="3A4E7FDB"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29.5%</w:t>
            </w:r>
          </w:p>
        </w:tc>
        <w:tc>
          <w:tcPr>
            <w:tcW w:w="765" w:type="dxa"/>
            <w:tcBorders>
              <w:left w:val="single" w:sz="4" w:space="0" w:color="0079C1"/>
            </w:tcBorders>
            <w:shd w:val="clear" w:color="auto" w:fill="FFFFFF" w:themeFill="background1"/>
            <w:vAlign w:val="center"/>
          </w:tcPr>
          <w:p w14:paraId="535A48F7" w14:textId="77777777" w:rsidR="00C61524" w:rsidRPr="00E61AC8" w:rsidRDefault="00C61524" w:rsidP="00C61524">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6</w:t>
            </w:r>
          </w:p>
        </w:tc>
        <w:tc>
          <w:tcPr>
            <w:tcW w:w="766" w:type="dxa"/>
            <w:tcBorders>
              <w:right w:val="single" w:sz="4" w:space="0" w:color="0079C1"/>
            </w:tcBorders>
            <w:shd w:val="clear" w:color="auto" w:fill="auto"/>
            <w:vAlign w:val="center"/>
          </w:tcPr>
          <w:p w14:paraId="49ADFE60" w14:textId="132C2E49"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30.0%</w:t>
            </w:r>
          </w:p>
        </w:tc>
        <w:tc>
          <w:tcPr>
            <w:tcW w:w="766" w:type="dxa"/>
            <w:tcBorders>
              <w:left w:val="single" w:sz="4" w:space="0" w:color="0079C1"/>
            </w:tcBorders>
            <w:shd w:val="clear" w:color="auto" w:fill="FFFFFF" w:themeFill="background1"/>
            <w:vAlign w:val="center"/>
          </w:tcPr>
          <w:p w14:paraId="33049021" w14:textId="77777777" w:rsidR="00C61524" w:rsidRPr="00E61AC8" w:rsidRDefault="00C61524" w:rsidP="00C61524">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6</w:t>
            </w:r>
          </w:p>
        </w:tc>
        <w:tc>
          <w:tcPr>
            <w:tcW w:w="766" w:type="dxa"/>
            <w:tcBorders>
              <w:right w:val="single" w:sz="4" w:space="0" w:color="0079C1"/>
            </w:tcBorders>
            <w:shd w:val="clear" w:color="auto" w:fill="FFFFFF" w:themeFill="background1"/>
            <w:vAlign w:val="center"/>
          </w:tcPr>
          <w:p w14:paraId="511A0101" w14:textId="641518BC"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8.2%</w:t>
            </w:r>
          </w:p>
        </w:tc>
        <w:tc>
          <w:tcPr>
            <w:tcW w:w="765" w:type="dxa"/>
            <w:tcBorders>
              <w:left w:val="single" w:sz="4" w:space="0" w:color="0079C1"/>
            </w:tcBorders>
            <w:shd w:val="clear" w:color="auto" w:fill="FFFFFF" w:themeFill="background1"/>
            <w:vAlign w:val="center"/>
          </w:tcPr>
          <w:p w14:paraId="6DA553FC" w14:textId="77777777" w:rsidR="00C61524" w:rsidRPr="00E61AC8" w:rsidRDefault="00C61524" w:rsidP="00C61524">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3</w:t>
            </w:r>
          </w:p>
        </w:tc>
        <w:tc>
          <w:tcPr>
            <w:tcW w:w="766" w:type="dxa"/>
            <w:tcBorders>
              <w:right w:val="single" w:sz="4" w:space="0" w:color="0079C1"/>
            </w:tcBorders>
            <w:shd w:val="clear" w:color="auto" w:fill="FFFFFF" w:themeFill="background1"/>
            <w:vAlign w:val="center"/>
          </w:tcPr>
          <w:p w14:paraId="7A93D577" w14:textId="5BF954C9" w:rsidR="00C61524" w:rsidRPr="00E61AC8" w:rsidRDefault="00C61524" w:rsidP="00C61524">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15.7%</w:t>
            </w:r>
          </w:p>
        </w:tc>
        <w:tc>
          <w:tcPr>
            <w:tcW w:w="765" w:type="dxa"/>
            <w:tcBorders>
              <w:left w:val="single" w:sz="4" w:space="0" w:color="0079C1"/>
            </w:tcBorders>
            <w:shd w:val="clear" w:color="auto" w:fill="FFFFFF" w:themeFill="background1"/>
            <w:vAlign w:val="center"/>
          </w:tcPr>
          <w:p w14:paraId="14713E3A" w14:textId="61F3E939" w:rsidR="00C61524" w:rsidRPr="00E61AC8" w:rsidRDefault="00C61524" w:rsidP="00C61524">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47</w:t>
            </w:r>
          </w:p>
        </w:tc>
        <w:tc>
          <w:tcPr>
            <w:tcW w:w="767" w:type="dxa"/>
            <w:shd w:val="clear" w:color="auto" w:fill="FFFFFF" w:themeFill="background1"/>
            <w:vAlign w:val="center"/>
          </w:tcPr>
          <w:p w14:paraId="576D049F" w14:textId="267ADE5F" w:rsidR="00C61524" w:rsidRPr="00C61524" w:rsidRDefault="00C61524" w:rsidP="00C61524">
            <w:pPr>
              <w:tabs>
                <w:tab w:val="left" w:pos="318"/>
              </w:tabs>
              <w:spacing w:before="60" w:after="60"/>
              <w:jc w:val="center"/>
              <w:rPr>
                <w:rStyle w:val="Strong"/>
                <w:rFonts w:asciiTheme="minorHAnsi" w:hAnsiTheme="minorHAnsi"/>
                <w:b w:val="0"/>
                <w:sz w:val="20"/>
                <w:szCs w:val="20"/>
              </w:rPr>
            </w:pPr>
            <w:r w:rsidRPr="00E61AC8">
              <w:rPr>
                <w:rStyle w:val="Strong"/>
                <w:rFonts w:asciiTheme="minorHAnsi" w:hAnsiTheme="minorHAnsi"/>
                <w:sz w:val="20"/>
                <w:szCs w:val="20"/>
              </w:rPr>
              <w:t>21.3</w:t>
            </w:r>
            <w:r>
              <w:rPr>
                <w:rStyle w:val="Strong"/>
                <w:rFonts w:asciiTheme="minorHAnsi" w:hAnsiTheme="minorHAnsi"/>
                <w:sz w:val="20"/>
                <w:szCs w:val="20"/>
              </w:rPr>
              <w:t>%</w:t>
            </w:r>
          </w:p>
        </w:tc>
      </w:tr>
      <w:tr w:rsidR="00E86C12" w:rsidRPr="00E61AC8" w14:paraId="5F34D765" w14:textId="77777777" w:rsidTr="00E61AC8">
        <w:tc>
          <w:tcPr>
            <w:tcW w:w="1841" w:type="dxa"/>
            <w:tcBorders>
              <w:bottom w:val="single" w:sz="4" w:space="0" w:color="0079C1" w:themeColor="text2"/>
              <w:right w:val="single" w:sz="4" w:space="0" w:color="0079C1"/>
            </w:tcBorders>
            <w:shd w:val="clear" w:color="auto" w:fill="E2F4FF" w:themeFill="accent1" w:themeFillTint="33"/>
          </w:tcPr>
          <w:p w14:paraId="05AE02C0" w14:textId="77777777" w:rsidR="00E86C12" w:rsidRPr="00E61AC8" w:rsidRDefault="00E86C12" w:rsidP="00E86C12">
            <w:pPr>
              <w:tabs>
                <w:tab w:val="left" w:pos="318"/>
              </w:tabs>
              <w:spacing w:before="60" w:after="60"/>
              <w:rPr>
                <w:rStyle w:val="Strong"/>
                <w:rFonts w:asciiTheme="minorHAnsi" w:hAnsiTheme="minorHAnsi"/>
                <w:sz w:val="20"/>
                <w:szCs w:val="20"/>
              </w:rPr>
            </w:pPr>
            <w:r w:rsidRPr="00E61AC8">
              <w:rPr>
                <w:rStyle w:val="Strong"/>
                <w:rFonts w:asciiTheme="minorHAnsi" w:hAnsiTheme="minorHAnsi"/>
                <w:sz w:val="20"/>
                <w:szCs w:val="20"/>
              </w:rPr>
              <w:t xml:space="preserve">Total </w:t>
            </w:r>
          </w:p>
        </w:tc>
        <w:tc>
          <w:tcPr>
            <w:tcW w:w="765" w:type="dxa"/>
            <w:tcBorders>
              <w:left w:val="single" w:sz="4" w:space="0" w:color="0079C1"/>
              <w:bottom w:val="single" w:sz="4" w:space="0" w:color="0079C1" w:themeColor="text2"/>
            </w:tcBorders>
            <w:shd w:val="clear" w:color="auto" w:fill="E2F4FF" w:themeFill="accent1" w:themeFillTint="33"/>
            <w:vAlign w:val="center"/>
          </w:tcPr>
          <w:p w14:paraId="7FAC36E5" w14:textId="77777777" w:rsidR="00E86C12" w:rsidRPr="00E61AC8" w:rsidRDefault="00E86C12" w:rsidP="00E86C12">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108</w:t>
            </w:r>
          </w:p>
        </w:tc>
        <w:tc>
          <w:tcPr>
            <w:tcW w:w="766" w:type="dxa"/>
            <w:tcBorders>
              <w:bottom w:val="single" w:sz="4" w:space="0" w:color="0079C1" w:themeColor="text2"/>
              <w:right w:val="single" w:sz="4" w:space="0" w:color="0079C1"/>
            </w:tcBorders>
            <w:shd w:val="clear" w:color="auto" w:fill="E2F4FF" w:themeFill="accent1" w:themeFillTint="33"/>
            <w:vAlign w:val="center"/>
          </w:tcPr>
          <w:p w14:paraId="0CC2E369" w14:textId="4337F65B" w:rsidR="00E86C12" w:rsidRPr="00E61AC8" w:rsidRDefault="00E86C12" w:rsidP="00E86C12">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100%</w:t>
            </w:r>
          </w:p>
        </w:tc>
        <w:tc>
          <w:tcPr>
            <w:tcW w:w="765" w:type="dxa"/>
            <w:tcBorders>
              <w:left w:val="single" w:sz="4" w:space="0" w:color="0079C1"/>
              <w:bottom w:val="single" w:sz="4" w:space="0" w:color="0079C1" w:themeColor="text2"/>
            </w:tcBorders>
            <w:shd w:val="clear" w:color="auto" w:fill="E2F4FF" w:themeFill="accent1" w:themeFillTint="33"/>
            <w:vAlign w:val="center"/>
          </w:tcPr>
          <w:p w14:paraId="2B9ADC22" w14:textId="77777777" w:rsidR="00E86C12" w:rsidRPr="00E61AC8" w:rsidRDefault="00E86C12" w:rsidP="00E86C12">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20</w:t>
            </w:r>
          </w:p>
        </w:tc>
        <w:tc>
          <w:tcPr>
            <w:tcW w:w="766" w:type="dxa"/>
            <w:tcBorders>
              <w:bottom w:val="single" w:sz="4" w:space="0" w:color="0079C1" w:themeColor="text2"/>
              <w:right w:val="single" w:sz="4" w:space="0" w:color="0079C1"/>
            </w:tcBorders>
            <w:shd w:val="clear" w:color="auto" w:fill="E2F4FF" w:themeFill="accent1" w:themeFillTint="33"/>
            <w:vAlign w:val="center"/>
          </w:tcPr>
          <w:p w14:paraId="6EFBC589" w14:textId="32520AC7" w:rsidR="00E86C12" w:rsidRPr="00E61AC8" w:rsidRDefault="00E86C12" w:rsidP="00E86C12">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100%</w:t>
            </w:r>
          </w:p>
        </w:tc>
        <w:tc>
          <w:tcPr>
            <w:tcW w:w="766" w:type="dxa"/>
            <w:tcBorders>
              <w:left w:val="single" w:sz="4" w:space="0" w:color="0079C1"/>
              <w:bottom w:val="single" w:sz="4" w:space="0" w:color="0079C1" w:themeColor="text2"/>
            </w:tcBorders>
            <w:shd w:val="clear" w:color="auto" w:fill="E2F4FF" w:themeFill="accent1" w:themeFillTint="33"/>
            <w:vAlign w:val="center"/>
          </w:tcPr>
          <w:p w14:paraId="4BD61A05" w14:textId="77777777" w:rsidR="00E86C12" w:rsidRPr="00E61AC8" w:rsidRDefault="00E86C12" w:rsidP="00E86C12">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73</w:t>
            </w:r>
          </w:p>
        </w:tc>
        <w:tc>
          <w:tcPr>
            <w:tcW w:w="766" w:type="dxa"/>
            <w:tcBorders>
              <w:bottom w:val="single" w:sz="4" w:space="0" w:color="0079C1" w:themeColor="text2"/>
              <w:right w:val="single" w:sz="4" w:space="0" w:color="0079C1"/>
            </w:tcBorders>
            <w:shd w:val="clear" w:color="auto" w:fill="E2F4FF" w:themeFill="accent1" w:themeFillTint="33"/>
            <w:vAlign w:val="center"/>
          </w:tcPr>
          <w:p w14:paraId="6FB11864" w14:textId="0A59EA8B" w:rsidR="00E86C12" w:rsidRPr="00E61AC8" w:rsidRDefault="00E86C12" w:rsidP="00E86C12">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100%</w:t>
            </w:r>
          </w:p>
        </w:tc>
        <w:tc>
          <w:tcPr>
            <w:tcW w:w="765" w:type="dxa"/>
            <w:tcBorders>
              <w:left w:val="single" w:sz="4" w:space="0" w:color="0079C1"/>
              <w:bottom w:val="single" w:sz="4" w:space="0" w:color="0079C1" w:themeColor="text2"/>
            </w:tcBorders>
            <w:shd w:val="clear" w:color="auto" w:fill="E2F4FF" w:themeFill="accent1" w:themeFillTint="33"/>
            <w:vAlign w:val="center"/>
          </w:tcPr>
          <w:p w14:paraId="7801A7B7" w14:textId="77777777" w:rsidR="00E86C12" w:rsidRPr="00E61AC8" w:rsidRDefault="00E86C12" w:rsidP="00E86C12">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19</w:t>
            </w:r>
          </w:p>
        </w:tc>
        <w:tc>
          <w:tcPr>
            <w:tcW w:w="766" w:type="dxa"/>
            <w:tcBorders>
              <w:bottom w:val="single" w:sz="4" w:space="0" w:color="0079C1" w:themeColor="text2"/>
              <w:right w:val="single" w:sz="4" w:space="0" w:color="0079C1"/>
            </w:tcBorders>
            <w:shd w:val="clear" w:color="auto" w:fill="E2F4FF" w:themeFill="accent1" w:themeFillTint="33"/>
            <w:vAlign w:val="center"/>
          </w:tcPr>
          <w:p w14:paraId="728C0D31" w14:textId="1841DABB" w:rsidR="00E86C12" w:rsidRPr="00E61AC8" w:rsidRDefault="00E86C12" w:rsidP="00E86C12">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100%</w:t>
            </w:r>
          </w:p>
        </w:tc>
        <w:tc>
          <w:tcPr>
            <w:tcW w:w="765" w:type="dxa"/>
            <w:tcBorders>
              <w:left w:val="single" w:sz="4" w:space="0" w:color="0079C1"/>
              <w:bottom w:val="single" w:sz="4" w:space="0" w:color="0079C1" w:themeColor="text2"/>
            </w:tcBorders>
            <w:shd w:val="clear" w:color="auto" w:fill="E2F4FF" w:themeFill="accent1" w:themeFillTint="33"/>
            <w:vAlign w:val="center"/>
          </w:tcPr>
          <w:p w14:paraId="01E2F86E" w14:textId="4AEC69EF" w:rsidR="00E86C12" w:rsidRPr="00E61AC8" w:rsidRDefault="005F2F78" w:rsidP="00E86C12">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220</w:t>
            </w:r>
          </w:p>
        </w:tc>
        <w:tc>
          <w:tcPr>
            <w:tcW w:w="767" w:type="dxa"/>
            <w:tcBorders>
              <w:bottom w:val="single" w:sz="4" w:space="0" w:color="0079C1" w:themeColor="text2"/>
            </w:tcBorders>
            <w:shd w:val="clear" w:color="auto" w:fill="E2F4FF" w:themeFill="accent1" w:themeFillTint="33"/>
            <w:vAlign w:val="center"/>
          </w:tcPr>
          <w:p w14:paraId="7B614F87" w14:textId="78269E6F" w:rsidR="00E86C12" w:rsidRPr="00E61AC8" w:rsidRDefault="00F161E8" w:rsidP="00E86C12">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100%</w:t>
            </w:r>
          </w:p>
        </w:tc>
      </w:tr>
    </w:tbl>
    <w:p w14:paraId="093816EF" w14:textId="02E4A46A" w:rsidR="000421C3" w:rsidRPr="00F161E8" w:rsidRDefault="000421C3" w:rsidP="000421C3">
      <w:pPr>
        <w:rPr>
          <w:sz w:val="18"/>
          <w:szCs w:val="18"/>
        </w:rPr>
      </w:pPr>
      <w:r w:rsidRPr="00F161E8">
        <w:rPr>
          <w:sz w:val="18"/>
          <w:szCs w:val="18"/>
        </w:rPr>
        <w:t>* No data was for the years not listed in this table.</w:t>
      </w:r>
    </w:p>
    <w:p w14:paraId="7A938FC8" w14:textId="77777777" w:rsidR="00655E7B" w:rsidRDefault="00655E7B" w:rsidP="00E26B30">
      <w:pPr>
        <w:pStyle w:val="Heading10"/>
      </w:pPr>
      <w:r>
        <w:lastRenderedPageBreak/>
        <w:t xml:space="preserve">Motivation for considering ICA </w:t>
      </w:r>
    </w:p>
    <w:p w14:paraId="09FFEEB6" w14:textId="04FB6F10" w:rsidR="00655E7B" w:rsidRPr="00DE1FBE" w:rsidRDefault="00655E7B" w:rsidP="00655E7B">
      <w:pPr>
        <w:pStyle w:val="Paragraph"/>
      </w:pPr>
      <w:r>
        <w:t>Overall, t</w:t>
      </w:r>
      <w:r w:rsidRPr="00DE1FBE">
        <w:t xml:space="preserve">he most common motivation </w:t>
      </w:r>
      <w:r>
        <w:t xml:space="preserve">for wanting to adopt a child from overseas </w:t>
      </w:r>
      <w:r w:rsidRPr="00DE1FBE">
        <w:t xml:space="preserve">was </w:t>
      </w:r>
      <w:r>
        <w:t>the inability</w:t>
      </w:r>
      <w:r w:rsidRPr="00DE1FBE">
        <w:t xml:space="preserve"> to have biological children (</w:t>
      </w:r>
      <w:r>
        <w:t>34.5</w:t>
      </w:r>
      <w:r w:rsidRPr="00DE1FBE">
        <w:t>%)</w:t>
      </w:r>
      <w:r>
        <w:t xml:space="preserve"> (</w:t>
      </w:r>
      <w:r w:rsidR="00F673EB" w:rsidRPr="00F673EB">
        <w:rPr>
          <w:rStyle w:val="Emphasis"/>
        </w:rPr>
        <w:t>Table B-4</w:t>
      </w:r>
      <w:r w:rsidR="00F673EB">
        <w:t>)</w:t>
      </w:r>
      <w:r w:rsidRPr="00DE1FBE">
        <w:t xml:space="preserve">.  Other </w:t>
      </w:r>
      <w:r>
        <w:t>key</w:t>
      </w:r>
      <w:r w:rsidRPr="00DE1FBE">
        <w:t xml:space="preserve"> reasons were </w:t>
      </w:r>
      <w:r>
        <w:t xml:space="preserve">a desire </w:t>
      </w:r>
      <w:r w:rsidRPr="00DE1FBE">
        <w:t xml:space="preserve">to help a child overseas </w:t>
      </w:r>
      <w:r>
        <w:t xml:space="preserve">(18.2%) </w:t>
      </w:r>
      <w:r w:rsidRPr="00DE1FBE">
        <w:t>and family</w:t>
      </w:r>
      <w:r>
        <w:t xml:space="preserve"> completion (17.3%)</w:t>
      </w:r>
      <w:r w:rsidRPr="00DE1FBE">
        <w:t>.</w:t>
      </w:r>
      <w:r>
        <w:t xml:space="preserve">  This ranking was largely consistent across the different groups with the exception of repeat ICA parents for whom family completion was their main motivation.</w:t>
      </w:r>
    </w:p>
    <w:p w14:paraId="47009C31" w14:textId="05EE15D7" w:rsidR="009C3CC8" w:rsidRPr="009C3CC8" w:rsidRDefault="007F0F4F" w:rsidP="009C3CC8">
      <w:pPr>
        <w:pStyle w:val="Caption"/>
      </w:pPr>
      <w:r>
        <w:t>Table </w:t>
      </w:r>
      <w:r>
        <w:fldChar w:fldCharType="begin"/>
      </w:r>
      <w:r>
        <w:instrText xml:space="preserve"> STYLEREF 7 \s </w:instrText>
      </w:r>
      <w:r>
        <w:fldChar w:fldCharType="separate"/>
      </w:r>
      <w:r w:rsidR="00487073">
        <w:rPr>
          <w:noProof/>
        </w:rPr>
        <w:t>C</w:t>
      </w:r>
      <w:r>
        <w:fldChar w:fldCharType="end"/>
      </w:r>
      <w:r>
        <w:noBreakHyphen/>
      </w:r>
      <w:r>
        <w:fldChar w:fldCharType="begin"/>
      </w:r>
      <w:r>
        <w:instrText xml:space="preserve"> SEQ Table_Apx \* ARABIC \s 7 </w:instrText>
      </w:r>
      <w:r>
        <w:fldChar w:fldCharType="separate"/>
      </w:r>
      <w:r w:rsidR="00487073">
        <w:rPr>
          <w:noProof/>
        </w:rPr>
        <w:t>4</w:t>
      </w:r>
      <w:r>
        <w:fldChar w:fldCharType="end"/>
      </w:r>
      <w:r>
        <w:t>:</w:t>
      </w:r>
      <w:r>
        <w:tab/>
      </w:r>
      <w:r w:rsidR="009C3CC8" w:rsidRPr="00E94BE9">
        <w:t>Main reason for considering adopting a child</w:t>
      </w:r>
      <w:r w:rsidR="009C3CC8">
        <w:t xml:space="preserve"> from overseas</w:t>
      </w:r>
    </w:p>
    <w:tbl>
      <w:tblPr>
        <w:tblStyle w:val="TableGrid"/>
        <w:tblW w:w="9498" w:type="dxa"/>
        <w:tblInd w:w="108"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Description w:val="Table C 4: Main reason for considering adopting a child from overseas"/>
      </w:tblPr>
      <w:tblGrid>
        <w:gridCol w:w="2552"/>
        <w:gridCol w:w="567"/>
        <w:gridCol w:w="850"/>
        <w:gridCol w:w="426"/>
        <w:gridCol w:w="850"/>
        <w:gridCol w:w="709"/>
        <w:gridCol w:w="850"/>
        <w:gridCol w:w="426"/>
        <w:gridCol w:w="850"/>
        <w:gridCol w:w="567"/>
        <w:gridCol w:w="851"/>
      </w:tblGrid>
      <w:tr w:rsidR="00655E7B" w:rsidRPr="00E61AC8" w14:paraId="6F1FD5AF" w14:textId="77777777" w:rsidTr="008E7495">
        <w:trPr>
          <w:trHeight w:val="507"/>
          <w:tblHeader/>
        </w:trPr>
        <w:tc>
          <w:tcPr>
            <w:tcW w:w="2552" w:type="dxa"/>
            <w:vMerge w:val="restart"/>
            <w:shd w:val="clear" w:color="auto" w:fill="0079C1" w:themeFill="text2"/>
            <w:vAlign w:val="center"/>
          </w:tcPr>
          <w:p w14:paraId="4480C053" w14:textId="77777777" w:rsidR="00655E7B" w:rsidRPr="00E61AC8" w:rsidRDefault="00655E7B" w:rsidP="004B28FE">
            <w:pPr>
              <w:keepLines/>
              <w:tabs>
                <w:tab w:val="left" w:pos="318"/>
              </w:tabs>
              <w:spacing w:before="120" w:after="120"/>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Reason for considering adopting a child from overseas</w:t>
            </w:r>
          </w:p>
        </w:tc>
        <w:tc>
          <w:tcPr>
            <w:tcW w:w="2693" w:type="dxa"/>
            <w:gridSpan w:val="4"/>
            <w:shd w:val="clear" w:color="auto" w:fill="0079C1" w:themeFill="text2"/>
          </w:tcPr>
          <w:p w14:paraId="1A5F087F"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Wanting to adopt</w:t>
            </w:r>
          </w:p>
        </w:tc>
        <w:tc>
          <w:tcPr>
            <w:tcW w:w="1559" w:type="dxa"/>
            <w:gridSpan w:val="2"/>
            <w:vMerge w:val="restart"/>
            <w:shd w:val="clear" w:color="auto" w:fill="0079C1" w:themeFill="text2"/>
            <w:vAlign w:val="center"/>
          </w:tcPr>
          <w:p w14:paraId="4AD5A988"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Post adoption</w:t>
            </w:r>
          </w:p>
        </w:tc>
        <w:tc>
          <w:tcPr>
            <w:tcW w:w="1276" w:type="dxa"/>
            <w:gridSpan w:val="2"/>
            <w:vMerge w:val="restart"/>
            <w:shd w:val="clear" w:color="auto" w:fill="0079C1" w:themeFill="text2"/>
            <w:vAlign w:val="center"/>
          </w:tcPr>
          <w:p w14:paraId="01D5A57F"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Did not continue</w:t>
            </w:r>
          </w:p>
        </w:tc>
        <w:tc>
          <w:tcPr>
            <w:tcW w:w="1418" w:type="dxa"/>
            <w:gridSpan w:val="2"/>
            <w:vMerge w:val="restart"/>
            <w:shd w:val="clear" w:color="auto" w:fill="0079C1" w:themeFill="text2"/>
            <w:vAlign w:val="center"/>
          </w:tcPr>
          <w:p w14:paraId="7C3A9981"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Total</w:t>
            </w:r>
          </w:p>
        </w:tc>
      </w:tr>
      <w:tr w:rsidR="00655E7B" w:rsidRPr="00E61AC8" w14:paraId="33F056C9" w14:textId="77777777" w:rsidTr="008E7495">
        <w:trPr>
          <w:trHeight w:val="507"/>
          <w:tblHeader/>
        </w:trPr>
        <w:tc>
          <w:tcPr>
            <w:tcW w:w="2552" w:type="dxa"/>
            <w:vMerge/>
            <w:shd w:val="clear" w:color="auto" w:fill="0079C1" w:themeFill="text2"/>
            <w:vAlign w:val="center"/>
          </w:tcPr>
          <w:p w14:paraId="33559A07" w14:textId="77777777" w:rsidR="00655E7B" w:rsidRPr="00E61AC8" w:rsidRDefault="00655E7B" w:rsidP="004B28FE">
            <w:pPr>
              <w:keepLines/>
              <w:tabs>
                <w:tab w:val="left" w:pos="318"/>
              </w:tabs>
              <w:spacing w:before="120" w:after="120"/>
              <w:rPr>
                <w:rFonts w:asciiTheme="minorHAnsi" w:eastAsiaTheme="minorHAnsi" w:hAnsiTheme="minorHAnsi" w:cs="Calibri"/>
                <w:b/>
                <w:color w:val="FFFFFF" w:themeColor="background1"/>
                <w:sz w:val="20"/>
                <w:szCs w:val="20"/>
                <w:lang w:eastAsia="en-AU"/>
              </w:rPr>
            </w:pPr>
          </w:p>
        </w:tc>
        <w:tc>
          <w:tcPr>
            <w:tcW w:w="1417" w:type="dxa"/>
            <w:gridSpan w:val="2"/>
            <w:shd w:val="clear" w:color="auto" w:fill="0079C1" w:themeFill="text2"/>
          </w:tcPr>
          <w:p w14:paraId="7602D754"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First time</w:t>
            </w:r>
          </w:p>
        </w:tc>
        <w:tc>
          <w:tcPr>
            <w:tcW w:w="1276" w:type="dxa"/>
            <w:gridSpan w:val="2"/>
            <w:shd w:val="clear" w:color="auto" w:fill="0079C1" w:themeFill="text2"/>
          </w:tcPr>
          <w:p w14:paraId="660BBB15"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Repeat</w:t>
            </w:r>
          </w:p>
        </w:tc>
        <w:tc>
          <w:tcPr>
            <w:tcW w:w="1559" w:type="dxa"/>
            <w:gridSpan w:val="2"/>
            <w:vMerge/>
            <w:shd w:val="clear" w:color="auto" w:fill="0079C1" w:themeFill="text2"/>
            <w:vAlign w:val="center"/>
          </w:tcPr>
          <w:p w14:paraId="6B150159"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p>
        </w:tc>
        <w:tc>
          <w:tcPr>
            <w:tcW w:w="1276" w:type="dxa"/>
            <w:gridSpan w:val="2"/>
            <w:vMerge/>
            <w:shd w:val="clear" w:color="auto" w:fill="0079C1" w:themeFill="text2"/>
            <w:vAlign w:val="center"/>
          </w:tcPr>
          <w:p w14:paraId="1FE1A2AE"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p>
        </w:tc>
        <w:tc>
          <w:tcPr>
            <w:tcW w:w="1418" w:type="dxa"/>
            <w:gridSpan w:val="2"/>
            <w:vMerge/>
            <w:shd w:val="clear" w:color="auto" w:fill="0079C1" w:themeFill="text2"/>
            <w:vAlign w:val="center"/>
          </w:tcPr>
          <w:p w14:paraId="2E2A9DB1"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p>
        </w:tc>
      </w:tr>
      <w:tr w:rsidR="00F31AAB" w:rsidRPr="00E61AC8" w14:paraId="0E6D8FB7" w14:textId="77777777" w:rsidTr="008E7495">
        <w:trPr>
          <w:tblHeader/>
        </w:trPr>
        <w:tc>
          <w:tcPr>
            <w:tcW w:w="2552" w:type="dxa"/>
            <w:vMerge/>
          </w:tcPr>
          <w:p w14:paraId="263E1B70" w14:textId="77777777" w:rsidR="00655E7B" w:rsidRPr="00E61AC8" w:rsidRDefault="00655E7B" w:rsidP="004B28FE">
            <w:pPr>
              <w:tabs>
                <w:tab w:val="left" w:pos="318"/>
              </w:tabs>
              <w:spacing w:before="60" w:after="60"/>
              <w:rPr>
                <w:rFonts w:asciiTheme="minorHAnsi" w:hAnsiTheme="minorHAnsi" w:cs="Arial"/>
                <w:color w:val="333333"/>
                <w:sz w:val="20"/>
                <w:szCs w:val="20"/>
              </w:rPr>
            </w:pPr>
          </w:p>
        </w:tc>
        <w:tc>
          <w:tcPr>
            <w:tcW w:w="567" w:type="dxa"/>
            <w:shd w:val="clear" w:color="auto" w:fill="0079C1" w:themeFill="text2"/>
          </w:tcPr>
          <w:p w14:paraId="37AF56EE"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n</w:t>
            </w:r>
          </w:p>
        </w:tc>
        <w:tc>
          <w:tcPr>
            <w:tcW w:w="850" w:type="dxa"/>
            <w:shd w:val="clear" w:color="auto" w:fill="0079C1" w:themeFill="text2"/>
          </w:tcPr>
          <w:p w14:paraId="5CA6A7A0"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w:t>
            </w:r>
          </w:p>
        </w:tc>
        <w:tc>
          <w:tcPr>
            <w:tcW w:w="426" w:type="dxa"/>
            <w:shd w:val="clear" w:color="auto" w:fill="0079C1" w:themeFill="text2"/>
          </w:tcPr>
          <w:p w14:paraId="007983B0"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n</w:t>
            </w:r>
          </w:p>
        </w:tc>
        <w:tc>
          <w:tcPr>
            <w:tcW w:w="850" w:type="dxa"/>
            <w:shd w:val="clear" w:color="auto" w:fill="0079C1" w:themeFill="text2"/>
          </w:tcPr>
          <w:p w14:paraId="50BDB341"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w:t>
            </w:r>
          </w:p>
        </w:tc>
        <w:tc>
          <w:tcPr>
            <w:tcW w:w="709" w:type="dxa"/>
            <w:shd w:val="clear" w:color="auto" w:fill="0079C1" w:themeFill="text2"/>
          </w:tcPr>
          <w:p w14:paraId="1892A6EC"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n</w:t>
            </w:r>
          </w:p>
        </w:tc>
        <w:tc>
          <w:tcPr>
            <w:tcW w:w="850" w:type="dxa"/>
            <w:shd w:val="clear" w:color="auto" w:fill="0079C1" w:themeFill="text2"/>
          </w:tcPr>
          <w:p w14:paraId="4D1A76AA"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w:t>
            </w:r>
          </w:p>
        </w:tc>
        <w:tc>
          <w:tcPr>
            <w:tcW w:w="426" w:type="dxa"/>
            <w:shd w:val="clear" w:color="auto" w:fill="0079C1" w:themeFill="text2"/>
          </w:tcPr>
          <w:p w14:paraId="0B4723D0"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n</w:t>
            </w:r>
          </w:p>
        </w:tc>
        <w:tc>
          <w:tcPr>
            <w:tcW w:w="850" w:type="dxa"/>
            <w:shd w:val="clear" w:color="auto" w:fill="0079C1" w:themeFill="text2"/>
          </w:tcPr>
          <w:p w14:paraId="4335A40D"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w:t>
            </w:r>
          </w:p>
        </w:tc>
        <w:tc>
          <w:tcPr>
            <w:tcW w:w="567" w:type="dxa"/>
            <w:shd w:val="clear" w:color="auto" w:fill="0079C1" w:themeFill="text2"/>
          </w:tcPr>
          <w:p w14:paraId="7BE3571E"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n</w:t>
            </w:r>
          </w:p>
        </w:tc>
        <w:tc>
          <w:tcPr>
            <w:tcW w:w="851" w:type="dxa"/>
            <w:shd w:val="clear" w:color="auto" w:fill="0079C1" w:themeFill="text2"/>
          </w:tcPr>
          <w:p w14:paraId="5B921647"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w:t>
            </w:r>
          </w:p>
        </w:tc>
      </w:tr>
      <w:tr w:rsidR="00F31AAB" w:rsidRPr="00E61AC8" w14:paraId="7B42EE84" w14:textId="77777777" w:rsidTr="00E61AC8">
        <w:tc>
          <w:tcPr>
            <w:tcW w:w="2552" w:type="dxa"/>
            <w:tcBorders>
              <w:right w:val="single" w:sz="4" w:space="0" w:color="0079C1"/>
            </w:tcBorders>
            <w:vAlign w:val="center"/>
          </w:tcPr>
          <w:p w14:paraId="1C2F24DE" w14:textId="77777777" w:rsidR="00655E7B" w:rsidRPr="00E61AC8" w:rsidRDefault="00655E7B" w:rsidP="004B28FE">
            <w:pPr>
              <w:tabs>
                <w:tab w:val="left" w:pos="318"/>
              </w:tabs>
              <w:spacing w:before="60" w:after="60"/>
              <w:rPr>
                <w:rFonts w:asciiTheme="minorHAnsi" w:hAnsiTheme="minorHAnsi" w:cs="Arial"/>
                <w:color w:val="333333"/>
                <w:sz w:val="20"/>
                <w:szCs w:val="20"/>
              </w:rPr>
            </w:pPr>
            <w:r w:rsidRPr="00E61AC8">
              <w:rPr>
                <w:rFonts w:asciiTheme="minorHAnsi" w:hAnsiTheme="minorHAnsi" w:cs="Arial"/>
                <w:color w:val="333333"/>
                <w:sz w:val="20"/>
                <w:szCs w:val="20"/>
              </w:rPr>
              <w:t>Not able to have biological children</w:t>
            </w:r>
          </w:p>
        </w:tc>
        <w:tc>
          <w:tcPr>
            <w:tcW w:w="567" w:type="dxa"/>
            <w:tcBorders>
              <w:left w:val="single" w:sz="4" w:space="0" w:color="0079C1"/>
            </w:tcBorders>
            <w:vAlign w:val="center"/>
          </w:tcPr>
          <w:p w14:paraId="57A613C4"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30</w:t>
            </w:r>
          </w:p>
        </w:tc>
        <w:tc>
          <w:tcPr>
            <w:tcW w:w="850" w:type="dxa"/>
            <w:tcBorders>
              <w:right w:val="single" w:sz="4" w:space="0" w:color="0079C1"/>
            </w:tcBorders>
            <w:vAlign w:val="center"/>
          </w:tcPr>
          <w:p w14:paraId="19512C1C"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27.8%</w:t>
            </w:r>
          </w:p>
        </w:tc>
        <w:tc>
          <w:tcPr>
            <w:tcW w:w="426" w:type="dxa"/>
            <w:tcBorders>
              <w:left w:val="single" w:sz="4" w:space="0" w:color="0079C1"/>
            </w:tcBorders>
            <w:vAlign w:val="center"/>
          </w:tcPr>
          <w:p w14:paraId="5A15E2D8"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4</w:t>
            </w:r>
          </w:p>
        </w:tc>
        <w:tc>
          <w:tcPr>
            <w:tcW w:w="850" w:type="dxa"/>
            <w:tcBorders>
              <w:right w:val="single" w:sz="4" w:space="0" w:color="0079C1"/>
            </w:tcBorders>
            <w:vAlign w:val="center"/>
          </w:tcPr>
          <w:p w14:paraId="14AC6CE9"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21.1%</w:t>
            </w:r>
          </w:p>
        </w:tc>
        <w:tc>
          <w:tcPr>
            <w:tcW w:w="709" w:type="dxa"/>
            <w:tcBorders>
              <w:left w:val="single" w:sz="4" w:space="0" w:color="0079C1"/>
            </w:tcBorders>
            <w:vAlign w:val="center"/>
          </w:tcPr>
          <w:p w14:paraId="35DAE476"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33</w:t>
            </w:r>
          </w:p>
        </w:tc>
        <w:tc>
          <w:tcPr>
            <w:tcW w:w="850" w:type="dxa"/>
            <w:tcBorders>
              <w:right w:val="single" w:sz="4" w:space="0" w:color="0079C1"/>
            </w:tcBorders>
            <w:vAlign w:val="center"/>
          </w:tcPr>
          <w:p w14:paraId="297B5717"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45.2%</w:t>
            </w:r>
          </w:p>
        </w:tc>
        <w:tc>
          <w:tcPr>
            <w:tcW w:w="426" w:type="dxa"/>
            <w:tcBorders>
              <w:left w:val="single" w:sz="4" w:space="0" w:color="0079C1"/>
            </w:tcBorders>
            <w:vAlign w:val="center"/>
          </w:tcPr>
          <w:p w14:paraId="7BC8C71F"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9</w:t>
            </w:r>
          </w:p>
        </w:tc>
        <w:tc>
          <w:tcPr>
            <w:tcW w:w="850" w:type="dxa"/>
            <w:tcBorders>
              <w:right w:val="single" w:sz="4" w:space="0" w:color="0079C1"/>
            </w:tcBorders>
            <w:vAlign w:val="center"/>
          </w:tcPr>
          <w:p w14:paraId="608BF230"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45.0%</w:t>
            </w:r>
          </w:p>
        </w:tc>
        <w:tc>
          <w:tcPr>
            <w:tcW w:w="567" w:type="dxa"/>
            <w:tcBorders>
              <w:left w:val="single" w:sz="4" w:space="0" w:color="0079C1"/>
            </w:tcBorders>
            <w:vAlign w:val="center"/>
          </w:tcPr>
          <w:p w14:paraId="73D6F413"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76</w:t>
            </w:r>
          </w:p>
        </w:tc>
        <w:tc>
          <w:tcPr>
            <w:tcW w:w="851" w:type="dxa"/>
            <w:vAlign w:val="center"/>
          </w:tcPr>
          <w:p w14:paraId="185E7889"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34.5%</w:t>
            </w:r>
          </w:p>
        </w:tc>
      </w:tr>
      <w:tr w:rsidR="00F31AAB" w:rsidRPr="00E61AC8" w14:paraId="523E64B5" w14:textId="77777777" w:rsidTr="00E61AC8">
        <w:tc>
          <w:tcPr>
            <w:tcW w:w="2552" w:type="dxa"/>
            <w:tcBorders>
              <w:right w:val="single" w:sz="4" w:space="0" w:color="0079C1"/>
            </w:tcBorders>
            <w:vAlign w:val="center"/>
          </w:tcPr>
          <w:p w14:paraId="51C53A7C" w14:textId="77777777" w:rsidR="00655E7B" w:rsidRPr="00E61AC8" w:rsidRDefault="00655E7B" w:rsidP="004B28FE">
            <w:pPr>
              <w:tabs>
                <w:tab w:val="left" w:pos="318"/>
              </w:tabs>
              <w:spacing w:before="60" w:after="60"/>
              <w:rPr>
                <w:rFonts w:asciiTheme="minorHAnsi" w:hAnsiTheme="minorHAnsi" w:cs="Arial"/>
                <w:color w:val="333333"/>
                <w:sz w:val="20"/>
                <w:szCs w:val="20"/>
              </w:rPr>
            </w:pPr>
            <w:r w:rsidRPr="00E61AC8">
              <w:rPr>
                <w:rFonts w:asciiTheme="minorHAnsi" w:hAnsiTheme="minorHAnsi" w:cs="Arial"/>
                <w:color w:val="333333"/>
                <w:sz w:val="20"/>
                <w:szCs w:val="20"/>
              </w:rPr>
              <w:t xml:space="preserve">For health reasons* </w:t>
            </w:r>
          </w:p>
        </w:tc>
        <w:tc>
          <w:tcPr>
            <w:tcW w:w="567" w:type="dxa"/>
            <w:tcBorders>
              <w:left w:val="single" w:sz="4" w:space="0" w:color="0079C1"/>
            </w:tcBorders>
            <w:vAlign w:val="center"/>
          </w:tcPr>
          <w:p w14:paraId="16617CB1"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6</w:t>
            </w:r>
          </w:p>
        </w:tc>
        <w:tc>
          <w:tcPr>
            <w:tcW w:w="850" w:type="dxa"/>
            <w:tcBorders>
              <w:right w:val="single" w:sz="4" w:space="0" w:color="0079C1"/>
            </w:tcBorders>
            <w:vAlign w:val="center"/>
          </w:tcPr>
          <w:p w14:paraId="34F95D61"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5.6%</w:t>
            </w:r>
          </w:p>
        </w:tc>
        <w:tc>
          <w:tcPr>
            <w:tcW w:w="426" w:type="dxa"/>
            <w:tcBorders>
              <w:left w:val="single" w:sz="4" w:space="0" w:color="0079C1"/>
            </w:tcBorders>
            <w:vAlign w:val="center"/>
          </w:tcPr>
          <w:p w14:paraId="5D802C3A"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w:t>
            </w:r>
          </w:p>
        </w:tc>
        <w:tc>
          <w:tcPr>
            <w:tcW w:w="850" w:type="dxa"/>
            <w:tcBorders>
              <w:right w:val="single" w:sz="4" w:space="0" w:color="0079C1"/>
            </w:tcBorders>
            <w:vAlign w:val="center"/>
          </w:tcPr>
          <w:p w14:paraId="192D8CAE"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w:t>
            </w:r>
          </w:p>
        </w:tc>
        <w:tc>
          <w:tcPr>
            <w:tcW w:w="709" w:type="dxa"/>
            <w:tcBorders>
              <w:left w:val="single" w:sz="4" w:space="0" w:color="0079C1"/>
            </w:tcBorders>
            <w:vAlign w:val="center"/>
          </w:tcPr>
          <w:p w14:paraId="037AC05D"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5</w:t>
            </w:r>
          </w:p>
        </w:tc>
        <w:tc>
          <w:tcPr>
            <w:tcW w:w="850" w:type="dxa"/>
            <w:tcBorders>
              <w:right w:val="single" w:sz="4" w:space="0" w:color="0079C1"/>
            </w:tcBorders>
            <w:vAlign w:val="center"/>
          </w:tcPr>
          <w:p w14:paraId="17325866"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6.8%</w:t>
            </w:r>
          </w:p>
        </w:tc>
        <w:tc>
          <w:tcPr>
            <w:tcW w:w="426" w:type="dxa"/>
            <w:tcBorders>
              <w:left w:val="single" w:sz="4" w:space="0" w:color="0079C1"/>
            </w:tcBorders>
            <w:vAlign w:val="center"/>
          </w:tcPr>
          <w:p w14:paraId="017605C5"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w:t>
            </w:r>
          </w:p>
        </w:tc>
        <w:tc>
          <w:tcPr>
            <w:tcW w:w="850" w:type="dxa"/>
            <w:tcBorders>
              <w:right w:val="single" w:sz="4" w:space="0" w:color="0079C1"/>
            </w:tcBorders>
            <w:vAlign w:val="center"/>
          </w:tcPr>
          <w:p w14:paraId="27C7F956"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w:t>
            </w:r>
          </w:p>
        </w:tc>
        <w:tc>
          <w:tcPr>
            <w:tcW w:w="567" w:type="dxa"/>
            <w:tcBorders>
              <w:left w:val="single" w:sz="4" w:space="0" w:color="0079C1"/>
            </w:tcBorders>
            <w:vAlign w:val="center"/>
          </w:tcPr>
          <w:p w14:paraId="3DB51682"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11</w:t>
            </w:r>
          </w:p>
        </w:tc>
        <w:tc>
          <w:tcPr>
            <w:tcW w:w="851" w:type="dxa"/>
            <w:vAlign w:val="center"/>
          </w:tcPr>
          <w:p w14:paraId="672D5C64"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5.0%</w:t>
            </w:r>
          </w:p>
        </w:tc>
      </w:tr>
      <w:tr w:rsidR="00F31AAB" w:rsidRPr="00E61AC8" w14:paraId="600A1990" w14:textId="77777777" w:rsidTr="00E61AC8">
        <w:tc>
          <w:tcPr>
            <w:tcW w:w="2552" w:type="dxa"/>
            <w:tcBorders>
              <w:right w:val="single" w:sz="4" w:space="0" w:color="0079C1"/>
            </w:tcBorders>
            <w:vAlign w:val="center"/>
          </w:tcPr>
          <w:p w14:paraId="3EAA61AD" w14:textId="77777777" w:rsidR="00655E7B" w:rsidRPr="00E61AC8" w:rsidRDefault="00655E7B" w:rsidP="004B28FE">
            <w:pPr>
              <w:tabs>
                <w:tab w:val="left" w:pos="318"/>
              </w:tabs>
              <w:spacing w:before="60" w:after="60"/>
              <w:rPr>
                <w:rFonts w:asciiTheme="minorHAnsi" w:hAnsiTheme="minorHAnsi" w:cs="Arial"/>
                <w:color w:val="333333"/>
                <w:sz w:val="20"/>
                <w:szCs w:val="20"/>
              </w:rPr>
            </w:pPr>
            <w:r w:rsidRPr="00E61AC8">
              <w:rPr>
                <w:rFonts w:asciiTheme="minorHAnsi" w:hAnsiTheme="minorHAnsi" w:cs="Arial"/>
                <w:color w:val="333333"/>
                <w:sz w:val="20"/>
                <w:szCs w:val="20"/>
              </w:rPr>
              <w:t>To help children overseas</w:t>
            </w:r>
          </w:p>
        </w:tc>
        <w:tc>
          <w:tcPr>
            <w:tcW w:w="567" w:type="dxa"/>
            <w:tcBorders>
              <w:left w:val="single" w:sz="4" w:space="0" w:color="0079C1"/>
            </w:tcBorders>
            <w:vAlign w:val="center"/>
          </w:tcPr>
          <w:p w14:paraId="2971EF3C"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26</w:t>
            </w:r>
          </w:p>
        </w:tc>
        <w:tc>
          <w:tcPr>
            <w:tcW w:w="850" w:type="dxa"/>
            <w:tcBorders>
              <w:right w:val="single" w:sz="4" w:space="0" w:color="0079C1"/>
            </w:tcBorders>
            <w:vAlign w:val="center"/>
          </w:tcPr>
          <w:p w14:paraId="12F38BEB"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24.1%</w:t>
            </w:r>
          </w:p>
        </w:tc>
        <w:tc>
          <w:tcPr>
            <w:tcW w:w="426" w:type="dxa"/>
            <w:tcBorders>
              <w:left w:val="single" w:sz="4" w:space="0" w:color="0079C1"/>
            </w:tcBorders>
            <w:vAlign w:val="center"/>
          </w:tcPr>
          <w:p w14:paraId="244B75EA"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3</w:t>
            </w:r>
          </w:p>
        </w:tc>
        <w:tc>
          <w:tcPr>
            <w:tcW w:w="850" w:type="dxa"/>
            <w:tcBorders>
              <w:right w:val="single" w:sz="4" w:space="0" w:color="0079C1"/>
            </w:tcBorders>
            <w:vAlign w:val="center"/>
          </w:tcPr>
          <w:p w14:paraId="7DF746AE"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15.8%</w:t>
            </w:r>
          </w:p>
        </w:tc>
        <w:tc>
          <w:tcPr>
            <w:tcW w:w="709" w:type="dxa"/>
            <w:tcBorders>
              <w:left w:val="single" w:sz="4" w:space="0" w:color="0079C1"/>
            </w:tcBorders>
            <w:vAlign w:val="center"/>
          </w:tcPr>
          <w:p w14:paraId="125F75A7"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9</w:t>
            </w:r>
          </w:p>
        </w:tc>
        <w:tc>
          <w:tcPr>
            <w:tcW w:w="850" w:type="dxa"/>
            <w:tcBorders>
              <w:right w:val="single" w:sz="4" w:space="0" w:color="0079C1"/>
            </w:tcBorders>
            <w:vAlign w:val="center"/>
          </w:tcPr>
          <w:p w14:paraId="733145A2"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12.3%</w:t>
            </w:r>
          </w:p>
        </w:tc>
        <w:tc>
          <w:tcPr>
            <w:tcW w:w="426" w:type="dxa"/>
            <w:tcBorders>
              <w:left w:val="single" w:sz="4" w:space="0" w:color="0079C1"/>
            </w:tcBorders>
            <w:vAlign w:val="center"/>
          </w:tcPr>
          <w:p w14:paraId="44493A02"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2</w:t>
            </w:r>
          </w:p>
        </w:tc>
        <w:tc>
          <w:tcPr>
            <w:tcW w:w="850" w:type="dxa"/>
            <w:tcBorders>
              <w:right w:val="single" w:sz="4" w:space="0" w:color="0079C1"/>
            </w:tcBorders>
            <w:vAlign w:val="center"/>
          </w:tcPr>
          <w:p w14:paraId="484336C4"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10.0%</w:t>
            </w:r>
          </w:p>
        </w:tc>
        <w:tc>
          <w:tcPr>
            <w:tcW w:w="567" w:type="dxa"/>
            <w:tcBorders>
              <w:left w:val="single" w:sz="4" w:space="0" w:color="0079C1"/>
            </w:tcBorders>
            <w:vAlign w:val="center"/>
          </w:tcPr>
          <w:p w14:paraId="5598E773"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40</w:t>
            </w:r>
          </w:p>
        </w:tc>
        <w:tc>
          <w:tcPr>
            <w:tcW w:w="851" w:type="dxa"/>
            <w:vAlign w:val="center"/>
          </w:tcPr>
          <w:p w14:paraId="65F41658"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18.2%</w:t>
            </w:r>
          </w:p>
        </w:tc>
      </w:tr>
      <w:tr w:rsidR="00F31AAB" w:rsidRPr="00E61AC8" w14:paraId="16B199D5" w14:textId="77777777" w:rsidTr="00E61AC8">
        <w:tc>
          <w:tcPr>
            <w:tcW w:w="2552" w:type="dxa"/>
            <w:tcBorders>
              <w:right w:val="single" w:sz="4" w:space="0" w:color="0079C1"/>
            </w:tcBorders>
            <w:vAlign w:val="center"/>
          </w:tcPr>
          <w:p w14:paraId="7E83A338" w14:textId="77777777" w:rsidR="00655E7B" w:rsidRPr="00E61AC8" w:rsidRDefault="00655E7B" w:rsidP="004B28FE">
            <w:pPr>
              <w:tabs>
                <w:tab w:val="left" w:pos="318"/>
              </w:tabs>
              <w:spacing w:before="60" w:after="60"/>
              <w:rPr>
                <w:rFonts w:asciiTheme="minorHAnsi" w:hAnsiTheme="minorHAnsi" w:cs="Arial"/>
                <w:color w:val="333333"/>
                <w:sz w:val="20"/>
                <w:szCs w:val="20"/>
              </w:rPr>
            </w:pPr>
            <w:r w:rsidRPr="00E61AC8">
              <w:rPr>
                <w:rFonts w:asciiTheme="minorHAnsi" w:hAnsiTheme="minorHAnsi" w:cs="Arial"/>
                <w:color w:val="333333"/>
                <w:sz w:val="20"/>
                <w:szCs w:val="20"/>
              </w:rPr>
              <w:t>To help a family member</w:t>
            </w:r>
          </w:p>
        </w:tc>
        <w:tc>
          <w:tcPr>
            <w:tcW w:w="567" w:type="dxa"/>
            <w:tcBorders>
              <w:left w:val="single" w:sz="4" w:space="0" w:color="0079C1"/>
            </w:tcBorders>
            <w:vAlign w:val="center"/>
          </w:tcPr>
          <w:p w14:paraId="1B19897E"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4</w:t>
            </w:r>
          </w:p>
        </w:tc>
        <w:tc>
          <w:tcPr>
            <w:tcW w:w="850" w:type="dxa"/>
            <w:tcBorders>
              <w:right w:val="single" w:sz="4" w:space="0" w:color="0079C1"/>
            </w:tcBorders>
            <w:vAlign w:val="center"/>
          </w:tcPr>
          <w:p w14:paraId="3DBC5AD9"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3.7%</w:t>
            </w:r>
          </w:p>
        </w:tc>
        <w:tc>
          <w:tcPr>
            <w:tcW w:w="426" w:type="dxa"/>
            <w:tcBorders>
              <w:left w:val="single" w:sz="4" w:space="0" w:color="0079C1"/>
            </w:tcBorders>
            <w:vAlign w:val="center"/>
          </w:tcPr>
          <w:p w14:paraId="7DF619E2"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w:t>
            </w:r>
          </w:p>
        </w:tc>
        <w:tc>
          <w:tcPr>
            <w:tcW w:w="850" w:type="dxa"/>
            <w:tcBorders>
              <w:right w:val="single" w:sz="4" w:space="0" w:color="0079C1"/>
            </w:tcBorders>
            <w:vAlign w:val="center"/>
          </w:tcPr>
          <w:p w14:paraId="654BF83F"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w:t>
            </w:r>
          </w:p>
        </w:tc>
        <w:tc>
          <w:tcPr>
            <w:tcW w:w="709" w:type="dxa"/>
            <w:tcBorders>
              <w:left w:val="single" w:sz="4" w:space="0" w:color="0079C1"/>
            </w:tcBorders>
            <w:vAlign w:val="center"/>
          </w:tcPr>
          <w:p w14:paraId="2E7F808C"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1</w:t>
            </w:r>
          </w:p>
        </w:tc>
        <w:tc>
          <w:tcPr>
            <w:tcW w:w="850" w:type="dxa"/>
            <w:tcBorders>
              <w:right w:val="single" w:sz="4" w:space="0" w:color="0079C1"/>
            </w:tcBorders>
            <w:vAlign w:val="center"/>
          </w:tcPr>
          <w:p w14:paraId="6C7357C5"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1.4%</w:t>
            </w:r>
          </w:p>
        </w:tc>
        <w:tc>
          <w:tcPr>
            <w:tcW w:w="426" w:type="dxa"/>
            <w:tcBorders>
              <w:left w:val="single" w:sz="4" w:space="0" w:color="0079C1"/>
            </w:tcBorders>
            <w:vAlign w:val="center"/>
          </w:tcPr>
          <w:p w14:paraId="1FFB0366"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3</w:t>
            </w:r>
          </w:p>
        </w:tc>
        <w:tc>
          <w:tcPr>
            <w:tcW w:w="850" w:type="dxa"/>
            <w:tcBorders>
              <w:right w:val="single" w:sz="4" w:space="0" w:color="0079C1"/>
            </w:tcBorders>
            <w:vAlign w:val="center"/>
          </w:tcPr>
          <w:p w14:paraId="7BBE2A01"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15.0%</w:t>
            </w:r>
          </w:p>
        </w:tc>
        <w:tc>
          <w:tcPr>
            <w:tcW w:w="567" w:type="dxa"/>
            <w:tcBorders>
              <w:left w:val="single" w:sz="4" w:space="0" w:color="0079C1"/>
            </w:tcBorders>
            <w:vAlign w:val="center"/>
          </w:tcPr>
          <w:p w14:paraId="495E7348"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8</w:t>
            </w:r>
          </w:p>
        </w:tc>
        <w:tc>
          <w:tcPr>
            <w:tcW w:w="851" w:type="dxa"/>
            <w:vAlign w:val="center"/>
          </w:tcPr>
          <w:p w14:paraId="47796201"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3.6%</w:t>
            </w:r>
          </w:p>
        </w:tc>
      </w:tr>
      <w:tr w:rsidR="00F31AAB" w:rsidRPr="00E61AC8" w14:paraId="7750D92A" w14:textId="77777777" w:rsidTr="00E61AC8">
        <w:tc>
          <w:tcPr>
            <w:tcW w:w="2552" w:type="dxa"/>
            <w:tcBorders>
              <w:right w:val="single" w:sz="4" w:space="0" w:color="0079C1"/>
            </w:tcBorders>
            <w:vAlign w:val="center"/>
          </w:tcPr>
          <w:p w14:paraId="36672F36" w14:textId="77777777" w:rsidR="00655E7B" w:rsidRPr="00E61AC8" w:rsidRDefault="00655E7B" w:rsidP="004B28FE">
            <w:pPr>
              <w:tabs>
                <w:tab w:val="left" w:pos="318"/>
              </w:tabs>
              <w:spacing w:before="60" w:after="60"/>
              <w:rPr>
                <w:rFonts w:asciiTheme="minorHAnsi" w:hAnsiTheme="minorHAnsi" w:cs="Arial"/>
                <w:color w:val="333333"/>
                <w:sz w:val="20"/>
                <w:szCs w:val="20"/>
              </w:rPr>
            </w:pPr>
            <w:r w:rsidRPr="00E61AC8">
              <w:rPr>
                <w:rFonts w:asciiTheme="minorHAnsi" w:hAnsiTheme="minorHAnsi" w:cs="Arial"/>
                <w:color w:val="333333"/>
                <w:sz w:val="20"/>
                <w:szCs w:val="20"/>
              </w:rPr>
              <w:t>To complete my family</w:t>
            </w:r>
          </w:p>
        </w:tc>
        <w:tc>
          <w:tcPr>
            <w:tcW w:w="567" w:type="dxa"/>
            <w:tcBorders>
              <w:left w:val="single" w:sz="4" w:space="0" w:color="0079C1"/>
            </w:tcBorders>
            <w:vAlign w:val="center"/>
          </w:tcPr>
          <w:p w14:paraId="2F8AF240"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19</w:t>
            </w:r>
          </w:p>
        </w:tc>
        <w:tc>
          <w:tcPr>
            <w:tcW w:w="850" w:type="dxa"/>
            <w:tcBorders>
              <w:right w:val="single" w:sz="4" w:space="0" w:color="0079C1"/>
            </w:tcBorders>
            <w:vAlign w:val="center"/>
          </w:tcPr>
          <w:p w14:paraId="007C4D9B"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17.6%</w:t>
            </w:r>
          </w:p>
        </w:tc>
        <w:tc>
          <w:tcPr>
            <w:tcW w:w="426" w:type="dxa"/>
            <w:tcBorders>
              <w:left w:val="single" w:sz="4" w:space="0" w:color="0079C1"/>
            </w:tcBorders>
            <w:vAlign w:val="center"/>
          </w:tcPr>
          <w:p w14:paraId="3BB9EA4E"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7</w:t>
            </w:r>
          </w:p>
        </w:tc>
        <w:tc>
          <w:tcPr>
            <w:tcW w:w="850" w:type="dxa"/>
            <w:tcBorders>
              <w:right w:val="single" w:sz="4" w:space="0" w:color="0079C1"/>
            </w:tcBorders>
            <w:vAlign w:val="center"/>
          </w:tcPr>
          <w:p w14:paraId="665E989D"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36.8%</w:t>
            </w:r>
          </w:p>
        </w:tc>
        <w:tc>
          <w:tcPr>
            <w:tcW w:w="709" w:type="dxa"/>
            <w:tcBorders>
              <w:left w:val="single" w:sz="4" w:space="0" w:color="0079C1"/>
            </w:tcBorders>
            <w:vAlign w:val="center"/>
          </w:tcPr>
          <w:p w14:paraId="5611A204"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12</w:t>
            </w:r>
          </w:p>
        </w:tc>
        <w:tc>
          <w:tcPr>
            <w:tcW w:w="850" w:type="dxa"/>
            <w:tcBorders>
              <w:right w:val="single" w:sz="4" w:space="0" w:color="0079C1"/>
            </w:tcBorders>
            <w:vAlign w:val="center"/>
          </w:tcPr>
          <w:p w14:paraId="7D814B44"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16.4%</w:t>
            </w:r>
          </w:p>
        </w:tc>
        <w:tc>
          <w:tcPr>
            <w:tcW w:w="426" w:type="dxa"/>
            <w:tcBorders>
              <w:left w:val="single" w:sz="4" w:space="0" w:color="0079C1"/>
            </w:tcBorders>
            <w:vAlign w:val="center"/>
          </w:tcPr>
          <w:p w14:paraId="64316B68"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w:t>
            </w:r>
          </w:p>
        </w:tc>
        <w:tc>
          <w:tcPr>
            <w:tcW w:w="850" w:type="dxa"/>
            <w:tcBorders>
              <w:right w:val="single" w:sz="4" w:space="0" w:color="0079C1"/>
            </w:tcBorders>
            <w:vAlign w:val="center"/>
          </w:tcPr>
          <w:p w14:paraId="56F270C9"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w:t>
            </w:r>
          </w:p>
        </w:tc>
        <w:tc>
          <w:tcPr>
            <w:tcW w:w="567" w:type="dxa"/>
            <w:tcBorders>
              <w:left w:val="single" w:sz="4" w:space="0" w:color="0079C1"/>
            </w:tcBorders>
            <w:vAlign w:val="center"/>
          </w:tcPr>
          <w:p w14:paraId="2DDDC076"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38</w:t>
            </w:r>
          </w:p>
        </w:tc>
        <w:tc>
          <w:tcPr>
            <w:tcW w:w="851" w:type="dxa"/>
            <w:vAlign w:val="center"/>
          </w:tcPr>
          <w:p w14:paraId="2F2D48DB"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17.3%</w:t>
            </w:r>
          </w:p>
        </w:tc>
      </w:tr>
      <w:tr w:rsidR="00F31AAB" w:rsidRPr="00E61AC8" w14:paraId="1B15415E" w14:textId="77777777" w:rsidTr="00E61AC8">
        <w:tc>
          <w:tcPr>
            <w:tcW w:w="2552" w:type="dxa"/>
            <w:tcBorders>
              <w:right w:val="single" w:sz="4" w:space="0" w:color="0079C1"/>
            </w:tcBorders>
            <w:vAlign w:val="center"/>
          </w:tcPr>
          <w:p w14:paraId="73A817C4" w14:textId="77777777" w:rsidR="00655E7B" w:rsidRPr="00E61AC8" w:rsidRDefault="00655E7B" w:rsidP="004B28FE">
            <w:pPr>
              <w:tabs>
                <w:tab w:val="left" w:pos="318"/>
              </w:tabs>
              <w:spacing w:before="60" w:after="60"/>
              <w:rPr>
                <w:rFonts w:asciiTheme="minorHAnsi" w:hAnsiTheme="minorHAnsi" w:cs="Arial"/>
                <w:color w:val="333333"/>
                <w:sz w:val="20"/>
                <w:szCs w:val="20"/>
              </w:rPr>
            </w:pPr>
            <w:r w:rsidRPr="00E61AC8">
              <w:rPr>
                <w:rFonts w:asciiTheme="minorHAnsi" w:hAnsiTheme="minorHAnsi" w:cs="Arial"/>
                <w:color w:val="333333"/>
                <w:sz w:val="20"/>
                <w:szCs w:val="20"/>
              </w:rPr>
              <w:t>Because of my religious beliefs</w:t>
            </w:r>
          </w:p>
        </w:tc>
        <w:tc>
          <w:tcPr>
            <w:tcW w:w="567" w:type="dxa"/>
            <w:tcBorders>
              <w:left w:val="single" w:sz="4" w:space="0" w:color="0079C1"/>
            </w:tcBorders>
            <w:vAlign w:val="center"/>
          </w:tcPr>
          <w:p w14:paraId="12A4AF9E"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2</w:t>
            </w:r>
          </w:p>
        </w:tc>
        <w:tc>
          <w:tcPr>
            <w:tcW w:w="850" w:type="dxa"/>
            <w:tcBorders>
              <w:right w:val="single" w:sz="4" w:space="0" w:color="0079C1"/>
            </w:tcBorders>
            <w:vAlign w:val="center"/>
          </w:tcPr>
          <w:p w14:paraId="52F20C26"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1.9%</w:t>
            </w:r>
          </w:p>
        </w:tc>
        <w:tc>
          <w:tcPr>
            <w:tcW w:w="426" w:type="dxa"/>
            <w:tcBorders>
              <w:left w:val="single" w:sz="4" w:space="0" w:color="0079C1"/>
            </w:tcBorders>
            <w:vAlign w:val="center"/>
          </w:tcPr>
          <w:p w14:paraId="2AC90026"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p>
        </w:tc>
        <w:tc>
          <w:tcPr>
            <w:tcW w:w="850" w:type="dxa"/>
            <w:tcBorders>
              <w:right w:val="single" w:sz="4" w:space="0" w:color="0079C1"/>
            </w:tcBorders>
            <w:vAlign w:val="center"/>
          </w:tcPr>
          <w:p w14:paraId="7C176C52"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w:t>
            </w:r>
          </w:p>
        </w:tc>
        <w:tc>
          <w:tcPr>
            <w:tcW w:w="709" w:type="dxa"/>
            <w:tcBorders>
              <w:left w:val="single" w:sz="4" w:space="0" w:color="0079C1"/>
            </w:tcBorders>
            <w:vAlign w:val="center"/>
          </w:tcPr>
          <w:p w14:paraId="29A380AC"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w:t>
            </w:r>
          </w:p>
        </w:tc>
        <w:tc>
          <w:tcPr>
            <w:tcW w:w="850" w:type="dxa"/>
            <w:tcBorders>
              <w:right w:val="single" w:sz="4" w:space="0" w:color="0079C1"/>
            </w:tcBorders>
            <w:vAlign w:val="center"/>
          </w:tcPr>
          <w:p w14:paraId="008C1C22"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w:t>
            </w:r>
          </w:p>
        </w:tc>
        <w:tc>
          <w:tcPr>
            <w:tcW w:w="426" w:type="dxa"/>
            <w:tcBorders>
              <w:left w:val="single" w:sz="4" w:space="0" w:color="0079C1"/>
            </w:tcBorders>
            <w:vAlign w:val="center"/>
          </w:tcPr>
          <w:p w14:paraId="1A1FE912"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w:t>
            </w:r>
          </w:p>
        </w:tc>
        <w:tc>
          <w:tcPr>
            <w:tcW w:w="850" w:type="dxa"/>
            <w:tcBorders>
              <w:right w:val="single" w:sz="4" w:space="0" w:color="0079C1"/>
            </w:tcBorders>
            <w:vAlign w:val="center"/>
          </w:tcPr>
          <w:p w14:paraId="553D0B2A"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w:t>
            </w:r>
          </w:p>
        </w:tc>
        <w:tc>
          <w:tcPr>
            <w:tcW w:w="567" w:type="dxa"/>
            <w:tcBorders>
              <w:left w:val="single" w:sz="4" w:space="0" w:color="0079C1"/>
            </w:tcBorders>
            <w:vAlign w:val="center"/>
          </w:tcPr>
          <w:p w14:paraId="21E2355F"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2</w:t>
            </w:r>
          </w:p>
        </w:tc>
        <w:tc>
          <w:tcPr>
            <w:tcW w:w="851" w:type="dxa"/>
            <w:vAlign w:val="center"/>
          </w:tcPr>
          <w:p w14:paraId="7E2636E7"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0.9%</w:t>
            </w:r>
          </w:p>
        </w:tc>
      </w:tr>
      <w:tr w:rsidR="00F31AAB" w:rsidRPr="00E61AC8" w14:paraId="2FF7875A" w14:textId="77777777" w:rsidTr="00E61AC8">
        <w:tc>
          <w:tcPr>
            <w:tcW w:w="2552" w:type="dxa"/>
            <w:tcBorders>
              <w:right w:val="single" w:sz="4" w:space="0" w:color="0079C1"/>
            </w:tcBorders>
            <w:vAlign w:val="center"/>
          </w:tcPr>
          <w:p w14:paraId="197979F5" w14:textId="77777777" w:rsidR="00655E7B" w:rsidRPr="00E61AC8" w:rsidRDefault="00655E7B" w:rsidP="004B28FE">
            <w:pPr>
              <w:tabs>
                <w:tab w:val="left" w:pos="318"/>
              </w:tabs>
              <w:spacing w:before="60" w:after="60"/>
              <w:rPr>
                <w:rFonts w:asciiTheme="minorHAnsi" w:hAnsiTheme="minorHAnsi" w:cs="Arial"/>
                <w:color w:val="333333"/>
                <w:sz w:val="20"/>
                <w:szCs w:val="20"/>
              </w:rPr>
            </w:pPr>
            <w:r w:rsidRPr="00E61AC8">
              <w:rPr>
                <w:rFonts w:asciiTheme="minorHAnsi" w:hAnsiTheme="minorHAnsi" w:cs="Arial"/>
                <w:color w:val="333333"/>
                <w:sz w:val="20"/>
                <w:szCs w:val="20"/>
              </w:rPr>
              <w:t>Other (please specify)</w:t>
            </w:r>
          </w:p>
        </w:tc>
        <w:tc>
          <w:tcPr>
            <w:tcW w:w="567" w:type="dxa"/>
            <w:tcBorders>
              <w:left w:val="single" w:sz="4" w:space="0" w:color="0079C1"/>
            </w:tcBorders>
            <w:vAlign w:val="center"/>
          </w:tcPr>
          <w:p w14:paraId="6448786E"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8</w:t>
            </w:r>
          </w:p>
        </w:tc>
        <w:tc>
          <w:tcPr>
            <w:tcW w:w="850" w:type="dxa"/>
            <w:tcBorders>
              <w:right w:val="single" w:sz="4" w:space="0" w:color="0079C1"/>
            </w:tcBorders>
            <w:vAlign w:val="center"/>
          </w:tcPr>
          <w:p w14:paraId="4B40F84A"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7.4%</w:t>
            </w:r>
          </w:p>
        </w:tc>
        <w:tc>
          <w:tcPr>
            <w:tcW w:w="426" w:type="dxa"/>
            <w:tcBorders>
              <w:left w:val="single" w:sz="4" w:space="0" w:color="0079C1"/>
            </w:tcBorders>
            <w:vAlign w:val="center"/>
          </w:tcPr>
          <w:p w14:paraId="1682110B"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3</w:t>
            </w:r>
          </w:p>
        </w:tc>
        <w:tc>
          <w:tcPr>
            <w:tcW w:w="850" w:type="dxa"/>
            <w:tcBorders>
              <w:right w:val="single" w:sz="4" w:space="0" w:color="0079C1"/>
            </w:tcBorders>
            <w:vAlign w:val="center"/>
          </w:tcPr>
          <w:p w14:paraId="16D48487"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15.8%</w:t>
            </w:r>
          </w:p>
        </w:tc>
        <w:tc>
          <w:tcPr>
            <w:tcW w:w="709" w:type="dxa"/>
            <w:tcBorders>
              <w:left w:val="single" w:sz="4" w:space="0" w:color="0079C1"/>
            </w:tcBorders>
            <w:vAlign w:val="center"/>
          </w:tcPr>
          <w:p w14:paraId="71ECE4FD"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7</w:t>
            </w:r>
          </w:p>
        </w:tc>
        <w:tc>
          <w:tcPr>
            <w:tcW w:w="850" w:type="dxa"/>
            <w:tcBorders>
              <w:right w:val="single" w:sz="4" w:space="0" w:color="0079C1"/>
            </w:tcBorders>
            <w:vAlign w:val="center"/>
          </w:tcPr>
          <w:p w14:paraId="2819B5B9"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9.6%</w:t>
            </w:r>
          </w:p>
        </w:tc>
        <w:tc>
          <w:tcPr>
            <w:tcW w:w="426" w:type="dxa"/>
            <w:tcBorders>
              <w:left w:val="single" w:sz="4" w:space="0" w:color="0079C1"/>
            </w:tcBorders>
            <w:vAlign w:val="center"/>
          </w:tcPr>
          <w:p w14:paraId="7D5D3EC3"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3</w:t>
            </w:r>
          </w:p>
        </w:tc>
        <w:tc>
          <w:tcPr>
            <w:tcW w:w="850" w:type="dxa"/>
            <w:tcBorders>
              <w:right w:val="single" w:sz="4" w:space="0" w:color="0079C1"/>
            </w:tcBorders>
            <w:vAlign w:val="center"/>
          </w:tcPr>
          <w:p w14:paraId="7D3DC6C2"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15.0%</w:t>
            </w:r>
          </w:p>
        </w:tc>
        <w:tc>
          <w:tcPr>
            <w:tcW w:w="567" w:type="dxa"/>
            <w:tcBorders>
              <w:left w:val="single" w:sz="4" w:space="0" w:color="0079C1"/>
            </w:tcBorders>
            <w:vAlign w:val="center"/>
          </w:tcPr>
          <w:p w14:paraId="45FEED7F"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21</w:t>
            </w:r>
          </w:p>
        </w:tc>
        <w:tc>
          <w:tcPr>
            <w:tcW w:w="851" w:type="dxa"/>
            <w:vAlign w:val="center"/>
          </w:tcPr>
          <w:p w14:paraId="5FEA0610"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9.5%</w:t>
            </w:r>
          </w:p>
        </w:tc>
      </w:tr>
      <w:tr w:rsidR="00F31AAB" w:rsidRPr="00E61AC8" w14:paraId="006F696B" w14:textId="77777777" w:rsidTr="00E61AC8">
        <w:tc>
          <w:tcPr>
            <w:tcW w:w="2552" w:type="dxa"/>
            <w:tcBorders>
              <w:right w:val="single" w:sz="4" w:space="0" w:color="0079C1"/>
            </w:tcBorders>
            <w:vAlign w:val="center"/>
          </w:tcPr>
          <w:p w14:paraId="461064FB" w14:textId="77777777" w:rsidR="00655E7B" w:rsidRPr="00E61AC8" w:rsidRDefault="00655E7B" w:rsidP="004B28FE">
            <w:pPr>
              <w:tabs>
                <w:tab w:val="left" w:pos="318"/>
              </w:tabs>
              <w:spacing w:before="60" w:after="60"/>
              <w:rPr>
                <w:rFonts w:asciiTheme="minorHAnsi" w:hAnsiTheme="minorHAnsi" w:cs="Arial"/>
                <w:color w:val="333333"/>
                <w:sz w:val="20"/>
                <w:szCs w:val="20"/>
              </w:rPr>
            </w:pPr>
            <w:r w:rsidRPr="00E61AC8">
              <w:rPr>
                <w:rFonts w:asciiTheme="minorHAnsi" w:hAnsiTheme="minorHAnsi" w:cs="Arial"/>
                <w:color w:val="333333"/>
                <w:sz w:val="20"/>
                <w:szCs w:val="20"/>
              </w:rPr>
              <w:t>Not stated</w:t>
            </w:r>
          </w:p>
        </w:tc>
        <w:tc>
          <w:tcPr>
            <w:tcW w:w="567" w:type="dxa"/>
            <w:tcBorders>
              <w:left w:val="single" w:sz="4" w:space="0" w:color="0079C1"/>
            </w:tcBorders>
            <w:vAlign w:val="center"/>
          </w:tcPr>
          <w:p w14:paraId="7DFED07D"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13</w:t>
            </w:r>
          </w:p>
        </w:tc>
        <w:tc>
          <w:tcPr>
            <w:tcW w:w="850" w:type="dxa"/>
            <w:tcBorders>
              <w:right w:val="single" w:sz="4" w:space="0" w:color="0079C1"/>
            </w:tcBorders>
            <w:vAlign w:val="center"/>
          </w:tcPr>
          <w:p w14:paraId="33914D69"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12.0%</w:t>
            </w:r>
          </w:p>
        </w:tc>
        <w:tc>
          <w:tcPr>
            <w:tcW w:w="426" w:type="dxa"/>
            <w:tcBorders>
              <w:left w:val="single" w:sz="4" w:space="0" w:color="0079C1"/>
            </w:tcBorders>
            <w:vAlign w:val="center"/>
          </w:tcPr>
          <w:p w14:paraId="685394AD"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2</w:t>
            </w:r>
          </w:p>
        </w:tc>
        <w:tc>
          <w:tcPr>
            <w:tcW w:w="850" w:type="dxa"/>
            <w:tcBorders>
              <w:right w:val="single" w:sz="4" w:space="0" w:color="0079C1"/>
            </w:tcBorders>
            <w:vAlign w:val="center"/>
          </w:tcPr>
          <w:p w14:paraId="697BA163"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10.5%</w:t>
            </w:r>
          </w:p>
        </w:tc>
        <w:tc>
          <w:tcPr>
            <w:tcW w:w="709" w:type="dxa"/>
            <w:tcBorders>
              <w:left w:val="single" w:sz="4" w:space="0" w:color="0079C1"/>
            </w:tcBorders>
            <w:vAlign w:val="center"/>
          </w:tcPr>
          <w:p w14:paraId="46EB4C6C"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6</w:t>
            </w:r>
          </w:p>
        </w:tc>
        <w:tc>
          <w:tcPr>
            <w:tcW w:w="850" w:type="dxa"/>
            <w:tcBorders>
              <w:right w:val="single" w:sz="4" w:space="0" w:color="0079C1"/>
            </w:tcBorders>
            <w:vAlign w:val="center"/>
          </w:tcPr>
          <w:p w14:paraId="4BDFB5EF"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8.2%</w:t>
            </w:r>
          </w:p>
        </w:tc>
        <w:tc>
          <w:tcPr>
            <w:tcW w:w="426" w:type="dxa"/>
            <w:tcBorders>
              <w:left w:val="single" w:sz="4" w:space="0" w:color="0079C1"/>
            </w:tcBorders>
            <w:vAlign w:val="center"/>
          </w:tcPr>
          <w:p w14:paraId="60535E79"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3</w:t>
            </w:r>
          </w:p>
        </w:tc>
        <w:tc>
          <w:tcPr>
            <w:tcW w:w="850" w:type="dxa"/>
            <w:tcBorders>
              <w:right w:val="single" w:sz="4" w:space="0" w:color="0079C1"/>
            </w:tcBorders>
            <w:vAlign w:val="center"/>
          </w:tcPr>
          <w:p w14:paraId="795C4130" w14:textId="77777777" w:rsidR="00655E7B" w:rsidRPr="00E61AC8" w:rsidRDefault="00655E7B" w:rsidP="004B28FE">
            <w:pPr>
              <w:tabs>
                <w:tab w:val="left" w:pos="318"/>
              </w:tabs>
              <w:spacing w:before="60" w:after="60"/>
              <w:jc w:val="center"/>
              <w:rPr>
                <w:rFonts w:asciiTheme="minorHAnsi" w:hAnsiTheme="minorHAnsi" w:cs="Arial"/>
                <w:color w:val="333333"/>
                <w:sz w:val="20"/>
                <w:szCs w:val="20"/>
              </w:rPr>
            </w:pPr>
            <w:r w:rsidRPr="00E61AC8">
              <w:rPr>
                <w:rFonts w:asciiTheme="minorHAnsi" w:hAnsiTheme="minorHAnsi" w:cs="Arial"/>
                <w:color w:val="333333"/>
                <w:sz w:val="20"/>
                <w:szCs w:val="20"/>
              </w:rPr>
              <w:t>15.0%</w:t>
            </w:r>
          </w:p>
        </w:tc>
        <w:tc>
          <w:tcPr>
            <w:tcW w:w="567" w:type="dxa"/>
            <w:tcBorders>
              <w:left w:val="single" w:sz="4" w:space="0" w:color="0079C1"/>
            </w:tcBorders>
            <w:vAlign w:val="center"/>
          </w:tcPr>
          <w:p w14:paraId="633DCA98"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24</w:t>
            </w:r>
          </w:p>
        </w:tc>
        <w:tc>
          <w:tcPr>
            <w:tcW w:w="851" w:type="dxa"/>
            <w:vAlign w:val="center"/>
          </w:tcPr>
          <w:p w14:paraId="5492024F"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10.9%</w:t>
            </w:r>
          </w:p>
        </w:tc>
      </w:tr>
      <w:tr w:rsidR="00F31AAB" w:rsidRPr="00E61AC8" w14:paraId="208C3C2F" w14:textId="77777777" w:rsidTr="00E61AC8">
        <w:tc>
          <w:tcPr>
            <w:tcW w:w="2552" w:type="dxa"/>
            <w:tcBorders>
              <w:right w:val="single" w:sz="4" w:space="0" w:color="0079C1"/>
            </w:tcBorders>
            <w:shd w:val="clear" w:color="auto" w:fill="E2F4FF" w:themeFill="accent1" w:themeFillTint="33"/>
            <w:vAlign w:val="center"/>
          </w:tcPr>
          <w:p w14:paraId="4D2BE3BE" w14:textId="77777777" w:rsidR="00655E7B" w:rsidRPr="00E61AC8" w:rsidRDefault="00655E7B" w:rsidP="004B28FE">
            <w:pPr>
              <w:tabs>
                <w:tab w:val="left" w:pos="318"/>
              </w:tabs>
              <w:spacing w:before="60" w:after="60"/>
              <w:rPr>
                <w:rStyle w:val="Strong"/>
                <w:rFonts w:asciiTheme="minorHAnsi" w:hAnsiTheme="minorHAnsi"/>
                <w:sz w:val="20"/>
                <w:szCs w:val="20"/>
              </w:rPr>
            </w:pPr>
            <w:r w:rsidRPr="00E61AC8">
              <w:rPr>
                <w:rStyle w:val="Strong"/>
                <w:rFonts w:asciiTheme="minorHAnsi" w:hAnsiTheme="minorHAnsi"/>
                <w:sz w:val="20"/>
                <w:szCs w:val="20"/>
              </w:rPr>
              <w:t>Total</w:t>
            </w:r>
          </w:p>
        </w:tc>
        <w:tc>
          <w:tcPr>
            <w:tcW w:w="567" w:type="dxa"/>
            <w:tcBorders>
              <w:left w:val="single" w:sz="4" w:space="0" w:color="0079C1"/>
            </w:tcBorders>
            <w:shd w:val="clear" w:color="auto" w:fill="E2F4FF" w:themeFill="accent1" w:themeFillTint="33"/>
            <w:vAlign w:val="center"/>
          </w:tcPr>
          <w:p w14:paraId="27CCE0DE"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108</w:t>
            </w:r>
          </w:p>
        </w:tc>
        <w:tc>
          <w:tcPr>
            <w:tcW w:w="850" w:type="dxa"/>
            <w:tcBorders>
              <w:right w:val="single" w:sz="4" w:space="0" w:color="0079C1"/>
            </w:tcBorders>
            <w:shd w:val="clear" w:color="auto" w:fill="E2F4FF" w:themeFill="accent1" w:themeFillTint="33"/>
            <w:vAlign w:val="center"/>
          </w:tcPr>
          <w:p w14:paraId="79DB78B7"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100.0%</w:t>
            </w:r>
          </w:p>
        </w:tc>
        <w:tc>
          <w:tcPr>
            <w:tcW w:w="426" w:type="dxa"/>
            <w:tcBorders>
              <w:left w:val="single" w:sz="4" w:space="0" w:color="0079C1"/>
            </w:tcBorders>
            <w:shd w:val="clear" w:color="auto" w:fill="E2F4FF" w:themeFill="accent1" w:themeFillTint="33"/>
            <w:vAlign w:val="center"/>
          </w:tcPr>
          <w:p w14:paraId="73B2FD0A"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19</w:t>
            </w:r>
          </w:p>
        </w:tc>
        <w:tc>
          <w:tcPr>
            <w:tcW w:w="850" w:type="dxa"/>
            <w:tcBorders>
              <w:right w:val="single" w:sz="4" w:space="0" w:color="0079C1"/>
            </w:tcBorders>
            <w:shd w:val="clear" w:color="auto" w:fill="E2F4FF" w:themeFill="accent1" w:themeFillTint="33"/>
            <w:vAlign w:val="center"/>
          </w:tcPr>
          <w:p w14:paraId="34A24C83"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100.0%</w:t>
            </w:r>
          </w:p>
        </w:tc>
        <w:tc>
          <w:tcPr>
            <w:tcW w:w="709" w:type="dxa"/>
            <w:tcBorders>
              <w:left w:val="single" w:sz="4" w:space="0" w:color="0079C1"/>
            </w:tcBorders>
            <w:shd w:val="clear" w:color="auto" w:fill="E2F4FF" w:themeFill="accent1" w:themeFillTint="33"/>
            <w:vAlign w:val="center"/>
          </w:tcPr>
          <w:p w14:paraId="515E1C60"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73</w:t>
            </w:r>
          </w:p>
        </w:tc>
        <w:tc>
          <w:tcPr>
            <w:tcW w:w="850" w:type="dxa"/>
            <w:tcBorders>
              <w:right w:val="single" w:sz="4" w:space="0" w:color="0079C1"/>
            </w:tcBorders>
            <w:shd w:val="clear" w:color="auto" w:fill="E2F4FF" w:themeFill="accent1" w:themeFillTint="33"/>
            <w:vAlign w:val="center"/>
          </w:tcPr>
          <w:p w14:paraId="22736019"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100.0%</w:t>
            </w:r>
          </w:p>
        </w:tc>
        <w:tc>
          <w:tcPr>
            <w:tcW w:w="426" w:type="dxa"/>
            <w:tcBorders>
              <w:left w:val="single" w:sz="4" w:space="0" w:color="0079C1"/>
            </w:tcBorders>
            <w:shd w:val="clear" w:color="auto" w:fill="E2F4FF" w:themeFill="accent1" w:themeFillTint="33"/>
            <w:vAlign w:val="center"/>
          </w:tcPr>
          <w:p w14:paraId="3F3A7506"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20</w:t>
            </w:r>
          </w:p>
        </w:tc>
        <w:tc>
          <w:tcPr>
            <w:tcW w:w="850" w:type="dxa"/>
            <w:tcBorders>
              <w:right w:val="single" w:sz="4" w:space="0" w:color="0079C1"/>
            </w:tcBorders>
            <w:shd w:val="clear" w:color="auto" w:fill="E2F4FF" w:themeFill="accent1" w:themeFillTint="33"/>
            <w:vAlign w:val="center"/>
          </w:tcPr>
          <w:p w14:paraId="40A84E22"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100.0%</w:t>
            </w:r>
          </w:p>
        </w:tc>
        <w:tc>
          <w:tcPr>
            <w:tcW w:w="567" w:type="dxa"/>
            <w:tcBorders>
              <w:left w:val="single" w:sz="4" w:space="0" w:color="0079C1"/>
            </w:tcBorders>
            <w:shd w:val="clear" w:color="auto" w:fill="E2F4FF" w:themeFill="accent1" w:themeFillTint="33"/>
            <w:vAlign w:val="center"/>
          </w:tcPr>
          <w:p w14:paraId="13CA37DC"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220</w:t>
            </w:r>
          </w:p>
        </w:tc>
        <w:tc>
          <w:tcPr>
            <w:tcW w:w="851" w:type="dxa"/>
            <w:shd w:val="clear" w:color="auto" w:fill="E2F4FF" w:themeFill="accent1" w:themeFillTint="33"/>
            <w:vAlign w:val="center"/>
          </w:tcPr>
          <w:p w14:paraId="4FCDADAA"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100.0%</w:t>
            </w:r>
          </w:p>
        </w:tc>
      </w:tr>
    </w:tbl>
    <w:p w14:paraId="3EEDA05B" w14:textId="77777777" w:rsidR="00655E7B" w:rsidRPr="00591282" w:rsidRDefault="00655E7B" w:rsidP="00AB714F">
      <w:pPr>
        <w:pStyle w:val="Note"/>
        <w:rPr>
          <w:rFonts w:eastAsia="Arial Unicode MS" w:cs="Calibri"/>
          <w:b/>
          <w:color w:val="0079C1" w:themeColor="text2"/>
          <w:sz w:val="16"/>
          <w:szCs w:val="16"/>
          <w:lang w:eastAsia="en-AU"/>
        </w:rPr>
        <w:sectPr w:rsidR="00655E7B" w:rsidRPr="00591282" w:rsidSect="006D60E3">
          <w:headerReference w:type="default" r:id="rId30"/>
          <w:pgSz w:w="11907" w:h="16840" w:code="9"/>
          <w:pgMar w:top="993" w:right="1134" w:bottom="993" w:left="1418" w:header="567" w:footer="567" w:gutter="0"/>
          <w:cols w:space="680"/>
          <w:docGrid w:linePitch="299"/>
        </w:sectPr>
      </w:pPr>
      <w:r w:rsidRPr="00591282">
        <w:rPr>
          <w:sz w:val="16"/>
          <w:szCs w:val="16"/>
          <w:lang w:eastAsia="en-AU"/>
        </w:rPr>
        <w:t>* For example: a pregnancy was too risky, I have a genetic condition that could be passed on to a biological child.</w:t>
      </w:r>
    </w:p>
    <w:p w14:paraId="54908388" w14:textId="512A18CF" w:rsidR="000421C3" w:rsidRDefault="00655E7B" w:rsidP="00AB714F">
      <w:pPr>
        <w:pStyle w:val="Heading10"/>
      </w:pPr>
      <w:r w:rsidRPr="002B5E7B">
        <w:lastRenderedPageBreak/>
        <w:t xml:space="preserve">Profile of </w:t>
      </w:r>
      <w:r>
        <w:t>respondents’ ICA preferences</w:t>
      </w:r>
    </w:p>
    <w:p w14:paraId="00C37C7F" w14:textId="6993D742" w:rsidR="00EA0E41" w:rsidRPr="00EA0E41" w:rsidRDefault="00EA0E41" w:rsidP="00EA0E41">
      <w:pPr>
        <w:pStyle w:val="Paragraph"/>
      </w:pPr>
      <w:r w:rsidRPr="00EA0E41">
        <w:t xml:space="preserve">Overall, China and Thailand emerged as the two main countries that parental respondents were most interested in adopting a child from (15.0 and 14.1% respectively) </w:t>
      </w:r>
      <w:r w:rsidR="00FD2FAD">
        <w:t>(</w:t>
      </w:r>
      <w:r w:rsidR="00FD2FAD">
        <w:rPr>
          <w:i/>
        </w:rPr>
        <w:t>Table B-5</w:t>
      </w:r>
      <w:r w:rsidR="00FD2FAD">
        <w:t>).</w:t>
      </w:r>
    </w:p>
    <w:p w14:paraId="668BD313" w14:textId="77777777" w:rsidR="00EA0E41" w:rsidRPr="00EA0E41" w:rsidRDefault="00EA0E41" w:rsidP="00EA0E41">
      <w:pPr>
        <w:pStyle w:val="Paragraph"/>
      </w:pPr>
      <w:r w:rsidRPr="00EA0E41">
        <w:t>Analysis of the free text comments provided in the ‘other’ category found two main groups of responses:</w:t>
      </w:r>
    </w:p>
    <w:p w14:paraId="1D2D6FEC" w14:textId="7A053516" w:rsidR="00EA0E41" w:rsidRPr="00EA0E41" w:rsidRDefault="00C61524" w:rsidP="00EA0E41">
      <w:pPr>
        <w:pStyle w:val="Bullet1"/>
      </w:pPr>
      <w:r>
        <w:t>Respondents with an i</w:t>
      </w:r>
      <w:r w:rsidR="00EA0E41" w:rsidRPr="00EA0E41">
        <w:t>nterest in countries that were not part of the ICA program</w:t>
      </w:r>
    </w:p>
    <w:p w14:paraId="732B84E0" w14:textId="77777777" w:rsidR="00EA0E41" w:rsidRPr="00EA0E41" w:rsidRDefault="00EA0E41" w:rsidP="00EA0E41">
      <w:pPr>
        <w:pStyle w:val="Bullet1"/>
      </w:pPr>
      <w:r w:rsidRPr="00EA0E41">
        <w:t>Respondents who did not have a country preference.</w:t>
      </w:r>
    </w:p>
    <w:p w14:paraId="679584E7" w14:textId="13A32D68" w:rsidR="00EA0E41" w:rsidRPr="00EA0E41" w:rsidRDefault="00EA0E41" w:rsidP="00EA0E41">
      <w:pPr>
        <w:pStyle w:val="Caption"/>
      </w:pPr>
      <w:r w:rsidRPr="00EA0E41">
        <w:t>Table </w:t>
      </w:r>
      <w:r w:rsidRPr="00EA0E41">
        <w:fldChar w:fldCharType="begin"/>
      </w:r>
      <w:r w:rsidRPr="00EA0E41">
        <w:instrText xml:space="preserve"> STYLEREF 7 \s </w:instrText>
      </w:r>
      <w:r w:rsidRPr="00EA0E41">
        <w:fldChar w:fldCharType="separate"/>
      </w:r>
      <w:r w:rsidR="00487073">
        <w:rPr>
          <w:noProof/>
        </w:rPr>
        <w:t>C</w:t>
      </w:r>
      <w:r w:rsidRPr="00EA0E41">
        <w:fldChar w:fldCharType="end"/>
      </w:r>
      <w:r w:rsidRPr="00EA0E41">
        <w:noBreakHyphen/>
      </w:r>
      <w:r w:rsidRPr="00EA0E41">
        <w:fldChar w:fldCharType="begin"/>
      </w:r>
      <w:r w:rsidRPr="00EA0E41">
        <w:instrText xml:space="preserve"> SEQ Table_Apx \* ARABIC \s 7 </w:instrText>
      </w:r>
      <w:r w:rsidRPr="00EA0E41">
        <w:fldChar w:fldCharType="separate"/>
      </w:r>
      <w:r w:rsidR="00487073">
        <w:rPr>
          <w:noProof/>
        </w:rPr>
        <w:t>5</w:t>
      </w:r>
      <w:r w:rsidRPr="00EA0E41">
        <w:fldChar w:fldCharType="end"/>
      </w:r>
      <w:r w:rsidRPr="00EA0E41">
        <w:t>:</w:t>
      </w:r>
      <w:r w:rsidRPr="00EA0E41">
        <w:tab/>
        <w:t>Main country from which respondents were interested in adopting a child</w:t>
      </w:r>
    </w:p>
    <w:tbl>
      <w:tblPr>
        <w:tblStyle w:val="TableGrid"/>
        <w:tblW w:w="9498" w:type="dxa"/>
        <w:tblInd w:w="108"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Description w:val="Table C 5: Main country from which respondents were interested in adopting a child"/>
      </w:tblPr>
      <w:tblGrid>
        <w:gridCol w:w="1841"/>
        <w:gridCol w:w="765"/>
        <w:gridCol w:w="766"/>
        <w:gridCol w:w="765"/>
        <w:gridCol w:w="766"/>
        <w:gridCol w:w="766"/>
        <w:gridCol w:w="766"/>
        <w:gridCol w:w="653"/>
        <w:gridCol w:w="850"/>
        <w:gridCol w:w="567"/>
        <w:gridCol w:w="993"/>
      </w:tblGrid>
      <w:tr w:rsidR="00EA0E41" w:rsidRPr="00E61AC8" w14:paraId="5F897845" w14:textId="77777777" w:rsidTr="008E7495">
        <w:trPr>
          <w:trHeight w:val="658"/>
          <w:tblHeader/>
        </w:trPr>
        <w:tc>
          <w:tcPr>
            <w:tcW w:w="1841" w:type="dxa"/>
            <w:vMerge w:val="restart"/>
            <w:tcBorders>
              <w:top w:val="single" w:sz="4" w:space="0" w:color="BFE7FF" w:themeColor="text2" w:themeTint="33"/>
            </w:tcBorders>
            <w:shd w:val="clear" w:color="auto" w:fill="0079C1" w:themeFill="text2"/>
            <w:vAlign w:val="center"/>
          </w:tcPr>
          <w:p w14:paraId="6E1871C0" w14:textId="77777777" w:rsidR="00EA0E41" w:rsidRPr="00E61AC8" w:rsidRDefault="00EA0E41" w:rsidP="0076764A">
            <w:pPr>
              <w:keepLines/>
              <w:tabs>
                <w:tab w:val="left" w:pos="318"/>
              </w:tabs>
              <w:spacing w:before="120" w:after="120"/>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Country of choice</w:t>
            </w:r>
          </w:p>
        </w:tc>
        <w:tc>
          <w:tcPr>
            <w:tcW w:w="3062" w:type="dxa"/>
            <w:gridSpan w:val="4"/>
            <w:tcBorders>
              <w:top w:val="single" w:sz="4" w:space="0" w:color="BFE7FF" w:themeColor="text2" w:themeTint="33"/>
              <w:bottom w:val="single" w:sz="4" w:space="0" w:color="BFE7FF" w:themeColor="text2" w:themeTint="33"/>
            </w:tcBorders>
            <w:shd w:val="clear" w:color="auto" w:fill="0079C1" w:themeFill="text2"/>
          </w:tcPr>
          <w:p w14:paraId="3AD0B8CE" w14:textId="77777777" w:rsidR="00EA0E41" w:rsidRPr="00E61AC8" w:rsidRDefault="00EA0E41" w:rsidP="0076764A">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Wanting to adopt</w:t>
            </w:r>
          </w:p>
        </w:tc>
        <w:tc>
          <w:tcPr>
            <w:tcW w:w="1532" w:type="dxa"/>
            <w:gridSpan w:val="2"/>
            <w:vMerge w:val="restart"/>
            <w:tcBorders>
              <w:top w:val="single" w:sz="4" w:space="0" w:color="BFE7FF" w:themeColor="text2" w:themeTint="33"/>
            </w:tcBorders>
            <w:shd w:val="clear" w:color="auto" w:fill="0079C1" w:themeFill="text2"/>
            <w:vAlign w:val="center"/>
          </w:tcPr>
          <w:p w14:paraId="744E7998" w14:textId="77777777" w:rsidR="00EA0E41" w:rsidRPr="00E61AC8" w:rsidRDefault="00EA0E41" w:rsidP="0076764A">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Post adoption</w:t>
            </w:r>
          </w:p>
        </w:tc>
        <w:tc>
          <w:tcPr>
            <w:tcW w:w="1503" w:type="dxa"/>
            <w:gridSpan w:val="2"/>
            <w:vMerge w:val="restart"/>
            <w:tcBorders>
              <w:top w:val="single" w:sz="4" w:space="0" w:color="BFE7FF" w:themeColor="text2" w:themeTint="33"/>
            </w:tcBorders>
            <w:shd w:val="clear" w:color="auto" w:fill="0079C1" w:themeFill="text2"/>
            <w:vAlign w:val="center"/>
          </w:tcPr>
          <w:p w14:paraId="019BB65B" w14:textId="77777777" w:rsidR="00EA0E41" w:rsidRPr="00E61AC8" w:rsidRDefault="00EA0E41" w:rsidP="0076764A">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Did not continue</w:t>
            </w:r>
          </w:p>
        </w:tc>
        <w:tc>
          <w:tcPr>
            <w:tcW w:w="1560" w:type="dxa"/>
            <w:gridSpan w:val="2"/>
            <w:vMerge w:val="restart"/>
            <w:tcBorders>
              <w:top w:val="single" w:sz="4" w:space="0" w:color="BFE7FF" w:themeColor="text2" w:themeTint="33"/>
            </w:tcBorders>
            <w:shd w:val="clear" w:color="auto" w:fill="0079C1" w:themeFill="text2"/>
            <w:vAlign w:val="center"/>
          </w:tcPr>
          <w:p w14:paraId="4DAF7788" w14:textId="77777777" w:rsidR="00EA0E41" w:rsidRPr="00E61AC8" w:rsidRDefault="00EA0E41" w:rsidP="0076764A">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Total</w:t>
            </w:r>
          </w:p>
        </w:tc>
      </w:tr>
      <w:tr w:rsidR="00EA0E41" w:rsidRPr="00E61AC8" w14:paraId="4C426621" w14:textId="77777777" w:rsidTr="008E7495">
        <w:trPr>
          <w:trHeight w:val="454"/>
          <w:tblHeader/>
        </w:trPr>
        <w:tc>
          <w:tcPr>
            <w:tcW w:w="1841" w:type="dxa"/>
            <w:vMerge/>
            <w:shd w:val="clear" w:color="auto" w:fill="0079C1" w:themeFill="text2"/>
            <w:vAlign w:val="center"/>
          </w:tcPr>
          <w:p w14:paraId="37D7C888" w14:textId="77777777" w:rsidR="00EA0E41" w:rsidRPr="00E61AC8" w:rsidRDefault="00EA0E41" w:rsidP="0076764A">
            <w:pPr>
              <w:keepLines/>
              <w:tabs>
                <w:tab w:val="left" w:pos="318"/>
              </w:tabs>
              <w:spacing w:before="120" w:after="120"/>
              <w:rPr>
                <w:rFonts w:eastAsiaTheme="minorHAnsi" w:cs="Calibri"/>
                <w:b/>
                <w:color w:val="FFFFFF" w:themeColor="background1"/>
                <w:sz w:val="20"/>
                <w:szCs w:val="20"/>
                <w:lang w:eastAsia="en-AU"/>
              </w:rPr>
            </w:pPr>
          </w:p>
        </w:tc>
        <w:tc>
          <w:tcPr>
            <w:tcW w:w="1531" w:type="dxa"/>
            <w:gridSpan w:val="2"/>
            <w:tcBorders>
              <w:top w:val="nil"/>
              <w:bottom w:val="single" w:sz="4" w:space="0" w:color="BFE7FF" w:themeColor="text2" w:themeTint="33"/>
            </w:tcBorders>
            <w:shd w:val="clear" w:color="auto" w:fill="0079C1" w:themeFill="text2"/>
          </w:tcPr>
          <w:p w14:paraId="6C34DE99" w14:textId="77777777" w:rsidR="00EA0E41" w:rsidRPr="00E61AC8" w:rsidRDefault="00EA0E41" w:rsidP="0076764A">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First time</w:t>
            </w:r>
          </w:p>
        </w:tc>
        <w:tc>
          <w:tcPr>
            <w:tcW w:w="1531" w:type="dxa"/>
            <w:gridSpan w:val="2"/>
            <w:tcBorders>
              <w:top w:val="nil"/>
              <w:bottom w:val="single" w:sz="4" w:space="0" w:color="BFE7FF" w:themeColor="text2" w:themeTint="33"/>
            </w:tcBorders>
            <w:shd w:val="clear" w:color="auto" w:fill="0079C1" w:themeFill="text2"/>
          </w:tcPr>
          <w:p w14:paraId="434C8194" w14:textId="77777777" w:rsidR="00EA0E41" w:rsidRPr="00E61AC8" w:rsidRDefault="00EA0E41" w:rsidP="0076764A">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Repeat</w:t>
            </w:r>
          </w:p>
        </w:tc>
        <w:tc>
          <w:tcPr>
            <w:tcW w:w="1532" w:type="dxa"/>
            <w:gridSpan w:val="2"/>
            <w:vMerge/>
            <w:tcBorders>
              <w:bottom w:val="single" w:sz="4" w:space="0" w:color="BFE7FF" w:themeColor="text2" w:themeTint="33"/>
            </w:tcBorders>
            <w:shd w:val="clear" w:color="auto" w:fill="0079C1" w:themeFill="text2"/>
          </w:tcPr>
          <w:p w14:paraId="6913D71E" w14:textId="77777777" w:rsidR="00EA0E41" w:rsidRPr="00E61AC8" w:rsidRDefault="00EA0E41" w:rsidP="0076764A">
            <w:pPr>
              <w:keepLines/>
              <w:tabs>
                <w:tab w:val="left" w:pos="318"/>
              </w:tabs>
              <w:spacing w:before="120" w:after="120"/>
              <w:jc w:val="center"/>
              <w:rPr>
                <w:rFonts w:eastAsiaTheme="minorHAnsi" w:cs="Calibri"/>
                <w:b/>
                <w:color w:val="FFFFFF" w:themeColor="background1"/>
                <w:sz w:val="20"/>
                <w:szCs w:val="20"/>
                <w:lang w:eastAsia="en-AU"/>
              </w:rPr>
            </w:pPr>
          </w:p>
        </w:tc>
        <w:tc>
          <w:tcPr>
            <w:tcW w:w="1503" w:type="dxa"/>
            <w:gridSpan w:val="2"/>
            <w:vMerge/>
            <w:tcBorders>
              <w:bottom w:val="single" w:sz="4" w:space="0" w:color="BFE7FF" w:themeColor="text2" w:themeTint="33"/>
            </w:tcBorders>
            <w:shd w:val="clear" w:color="auto" w:fill="0079C1" w:themeFill="text2"/>
          </w:tcPr>
          <w:p w14:paraId="39307743" w14:textId="77777777" w:rsidR="00EA0E41" w:rsidRPr="00E61AC8" w:rsidRDefault="00EA0E41" w:rsidP="0076764A">
            <w:pPr>
              <w:keepLines/>
              <w:tabs>
                <w:tab w:val="left" w:pos="318"/>
              </w:tabs>
              <w:spacing w:before="120" w:after="120"/>
              <w:jc w:val="center"/>
              <w:rPr>
                <w:rFonts w:eastAsiaTheme="minorHAnsi" w:cs="Calibri"/>
                <w:b/>
                <w:color w:val="FFFFFF" w:themeColor="background1"/>
                <w:sz w:val="20"/>
                <w:szCs w:val="20"/>
                <w:lang w:eastAsia="en-AU"/>
              </w:rPr>
            </w:pPr>
          </w:p>
        </w:tc>
        <w:tc>
          <w:tcPr>
            <w:tcW w:w="1560" w:type="dxa"/>
            <w:gridSpan w:val="2"/>
            <w:vMerge/>
            <w:tcBorders>
              <w:bottom w:val="single" w:sz="4" w:space="0" w:color="BFE7FF" w:themeColor="text2" w:themeTint="33"/>
            </w:tcBorders>
            <w:shd w:val="clear" w:color="auto" w:fill="0079C1" w:themeFill="text2"/>
          </w:tcPr>
          <w:p w14:paraId="135C0542" w14:textId="77777777" w:rsidR="00EA0E41" w:rsidRPr="00E61AC8" w:rsidRDefault="00EA0E41" w:rsidP="0076764A">
            <w:pPr>
              <w:keepLines/>
              <w:tabs>
                <w:tab w:val="left" w:pos="318"/>
              </w:tabs>
              <w:spacing w:before="120" w:after="120"/>
              <w:jc w:val="center"/>
              <w:rPr>
                <w:rFonts w:eastAsiaTheme="minorHAnsi" w:cs="Calibri"/>
                <w:b/>
                <w:color w:val="FFFFFF" w:themeColor="background1"/>
                <w:sz w:val="20"/>
                <w:szCs w:val="20"/>
                <w:lang w:eastAsia="en-AU"/>
              </w:rPr>
            </w:pPr>
          </w:p>
        </w:tc>
      </w:tr>
      <w:tr w:rsidR="00EA0E41" w:rsidRPr="00E61AC8" w14:paraId="0A05F488" w14:textId="77777777" w:rsidTr="008E7495">
        <w:trPr>
          <w:tblHeader/>
        </w:trPr>
        <w:tc>
          <w:tcPr>
            <w:tcW w:w="1841" w:type="dxa"/>
            <w:vMerge/>
          </w:tcPr>
          <w:p w14:paraId="2A54DFD3" w14:textId="77777777" w:rsidR="00EA0E41" w:rsidRPr="00E61AC8" w:rsidRDefault="00EA0E41" w:rsidP="0076764A">
            <w:pPr>
              <w:tabs>
                <w:tab w:val="left" w:pos="318"/>
              </w:tabs>
              <w:spacing w:before="60" w:after="60"/>
              <w:rPr>
                <w:rFonts w:cs="Arial"/>
                <w:color w:val="333333"/>
                <w:sz w:val="20"/>
                <w:szCs w:val="20"/>
              </w:rPr>
            </w:pPr>
          </w:p>
        </w:tc>
        <w:tc>
          <w:tcPr>
            <w:tcW w:w="765" w:type="dxa"/>
            <w:tcBorders>
              <w:top w:val="single" w:sz="4" w:space="0" w:color="BFE7FF" w:themeColor="text2" w:themeTint="33"/>
            </w:tcBorders>
            <w:shd w:val="clear" w:color="auto" w:fill="0079C1" w:themeFill="text2"/>
          </w:tcPr>
          <w:p w14:paraId="151B6158" w14:textId="77777777" w:rsidR="00EA0E41" w:rsidRPr="00E61AC8" w:rsidRDefault="00EA0E41" w:rsidP="0076764A">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n</w:t>
            </w:r>
          </w:p>
        </w:tc>
        <w:tc>
          <w:tcPr>
            <w:tcW w:w="766" w:type="dxa"/>
            <w:tcBorders>
              <w:top w:val="single" w:sz="4" w:space="0" w:color="BFE7FF" w:themeColor="text2" w:themeTint="33"/>
            </w:tcBorders>
            <w:shd w:val="clear" w:color="auto" w:fill="0079C1" w:themeFill="text2"/>
          </w:tcPr>
          <w:p w14:paraId="56722F94" w14:textId="77777777" w:rsidR="00EA0E41" w:rsidRPr="00E61AC8" w:rsidRDefault="00EA0E41" w:rsidP="0076764A">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w:t>
            </w:r>
          </w:p>
        </w:tc>
        <w:tc>
          <w:tcPr>
            <w:tcW w:w="765" w:type="dxa"/>
            <w:tcBorders>
              <w:top w:val="single" w:sz="4" w:space="0" w:color="BFE7FF" w:themeColor="text2" w:themeTint="33"/>
            </w:tcBorders>
            <w:shd w:val="clear" w:color="auto" w:fill="0079C1" w:themeFill="text2"/>
          </w:tcPr>
          <w:p w14:paraId="75982CF6" w14:textId="77777777" w:rsidR="00EA0E41" w:rsidRPr="00E61AC8" w:rsidRDefault="00EA0E41" w:rsidP="0076764A">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n</w:t>
            </w:r>
          </w:p>
        </w:tc>
        <w:tc>
          <w:tcPr>
            <w:tcW w:w="766" w:type="dxa"/>
            <w:tcBorders>
              <w:top w:val="single" w:sz="4" w:space="0" w:color="BFE7FF" w:themeColor="text2" w:themeTint="33"/>
            </w:tcBorders>
            <w:shd w:val="clear" w:color="auto" w:fill="0079C1" w:themeFill="text2"/>
          </w:tcPr>
          <w:p w14:paraId="6A01BE4B" w14:textId="77777777" w:rsidR="00EA0E41" w:rsidRPr="00E61AC8" w:rsidRDefault="00EA0E41" w:rsidP="0076764A">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w:t>
            </w:r>
          </w:p>
        </w:tc>
        <w:tc>
          <w:tcPr>
            <w:tcW w:w="766" w:type="dxa"/>
            <w:tcBorders>
              <w:top w:val="single" w:sz="4" w:space="0" w:color="BFE7FF" w:themeColor="text2" w:themeTint="33"/>
            </w:tcBorders>
            <w:shd w:val="clear" w:color="auto" w:fill="0079C1" w:themeFill="text2"/>
          </w:tcPr>
          <w:p w14:paraId="5FEE36DC" w14:textId="77777777" w:rsidR="00EA0E41" w:rsidRPr="00E61AC8" w:rsidRDefault="00EA0E41" w:rsidP="0076764A">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n</w:t>
            </w:r>
          </w:p>
        </w:tc>
        <w:tc>
          <w:tcPr>
            <w:tcW w:w="766" w:type="dxa"/>
            <w:tcBorders>
              <w:top w:val="single" w:sz="4" w:space="0" w:color="BFE7FF" w:themeColor="text2" w:themeTint="33"/>
            </w:tcBorders>
            <w:shd w:val="clear" w:color="auto" w:fill="0079C1" w:themeFill="text2"/>
          </w:tcPr>
          <w:p w14:paraId="50BB7A2D" w14:textId="77777777" w:rsidR="00EA0E41" w:rsidRPr="00E61AC8" w:rsidRDefault="00EA0E41" w:rsidP="0076764A">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w:t>
            </w:r>
          </w:p>
        </w:tc>
        <w:tc>
          <w:tcPr>
            <w:tcW w:w="653" w:type="dxa"/>
            <w:tcBorders>
              <w:top w:val="single" w:sz="4" w:space="0" w:color="BFE7FF" w:themeColor="text2" w:themeTint="33"/>
            </w:tcBorders>
            <w:shd w:val="clear" w:color="auto" w:fill="0079C1" w:themeFill="text2"/>
          </w:tcPr>
          <w:p w14:paraId="434AEB89" w14:textId="77777777" w:rsidR="00EA0E41" w:rsidRPr="00E61AC8" w:rsidRDefault="00EA0E41" w:rsidP="0076764A">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n</w:t>
            </w:r>
          </w:p>
        </w:tc>
        <w:tc>
          <w:tcPr>
            <w:tcW w:w="850" w:type="dxa"/>
            <w:tcBorders>
              <w:top w:val="single" w:sz="4" w:space="0" w:color="BFE7FF" w:themeColor="text2" w:themeTint="33"/>
            </w:tcBorders>
            <w:shd w:val="clear" w:color="auto" w:fill="0079C1" w:themeFill="text2"/>
          </w:tcPr>
          <w:p w14:paraId="2C3AC2C8" w14:textId="77777777" w:rsidR="00EA0E41" w:rsidRPr="00E61AC8" w:rsidRDefault="00EA0E41" w:rsidP="0076764A">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w:t>
            </w:r>
          </w:p>
        </w:tc>
        <w:tc>
          <w:tcPr>
            <w:tcW w:w="567" w:type="dxa"/>
            <w:tcBorders>
              <w:top w:val="single" w:sz="4" w:space="0" w:color="BFE7FF" w:themeColor="text2" w:themeTint="33"/>
              <w:bottom w:val="nil"/>
            </w:tcBorders>
            <w:shd w:val="clear" w:color="auto" w:fill="0079C1" w:themeFill="text2"/>
          </w:tcPr>
          <w:p w14:paraId="654F4E97" w14:textId="77777777" w:rsidR="00EA0E41" w:rsidRPr="00E61AC8" w:rsidRDefault="00EA0E41" w:rsidP="0076764A">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n</w:t>
            </w:r>
          </w:p>
        </w:tc>
        <w:tc>
          <w:tcPr>
            <w:tcW w:w="993" w:type="dxa"/>
            <w:tcBorders>
              <w:top w:val="single" w:sz="4" w:space="0" w:color="BFE7FF" w:themeColor="text2" w:themeTint="33"/>
              <w:bottom w:val="nil"/>
            </w:tcBorders>
            <w:shd w:val="clear" w:color="auto" w:fill="0079C1" w:themeFill="text2"/>
          </w:tcPr>
          <w:p w14:paraId="2E86F230" w14:textId="77777777" w:rsidR="00EA0E41" w:rsidRPr="00E61AC8" w:rsidRDefault="00EA0E41" w:rsidP="0076764A">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w:t>
            </w:r>
          </w:p>
        </w:tc>
      </w:tr>
      <w:tr w:rsidR="00EA0E41" w:rsidRPr="00E61AC8" w14:paraId="5018F13D" w14:textId="77777777" w:rsidTr="00E61AC8">
        <w:tc>
          <w:tcPr>
            <w:tcW w:w="1841" w:type="dxa"/>
            <w:tcBorders>
              <w:top w:val="single" w:sz="4" w:space="0" w:color="0079C1" w:themeColor="text2"/>
              <w:right w:val="single" w:sz="4" w:space="0" w:color="0079C1"/>
            </w:tcBorders>
          </w:tcPr>
          <w:p w14:paraId="2182B7C3" w14:textId="77777777" w:rsidR="00EA0E41" w:rsidRPr="00E61AC8" w:rsidRDefault="00EA0E41" w:rsidP="0076764A">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Chile</w:t>
            </w:r>
          </w:p>
        </w:tc>
        <w:tc>
          <w:tcPr>
            <w:tcW w:w="765" w:type="dxa"/>
            <w:tcBorders>
              <w:top w:val="single" w:sz="4" w:space="0" w:color="0079C1" w:themeColor="text2"/>
              <w:left w:val="single" w:sz="4" w:space="0" w:color="0079C1"/>
            </w:tcBorders>
            <w:vAlign w:val="center"/>
          </w:tcPr>
          <w:p w14:paraId="2ED069B7"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4</w:t>
            </w:r>
          </w:p>
        </w:tc>
        <w:tc>
          <w:tcPr>
            <w:tcW w:w="766" w:type="dxa"/>
            <w:tcBorders>
              <w:top w:val="single" w:sz="4" w:space="0" w:color="0079C1" w:themeColor="text2"/>
              <w:right w:val="single" w:sz="4" w:space="0" w:color="0079C1"/>
            </w:tcBorders>
            <w:vAlign w:val="center"/>
          </w:tcPr>
          <w:p w14:paraId="0C745BF6"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3.7%</w:t>
            </w:r>
          </w:p>
        </w:tc>
        <w:tc>
          <w:tcPr>
            <w:tcW w:w="765" w:type="dxa"/>
            <w:tcBorders>
              <w:top w:val="single" w:sz="4" w:space="0" w:color="0079C1" w:themeColor="text2"/>
              <w:left w:val="single" w:sz="4" w:space="0" w:color="0079C1"/>
            </w:tcBorders>
            <w:vAlign w:val="center"/>
          </w:tcPr>
          <w:p w14:paraId="66F8B4F8"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w:t>
            </w:r>
          </w:p>
        </w:tc>
        <w:tc>
          <w:tcPr>
            <w:tcW w:w="766" w:type="dxa"/>
            <w:tcBorders>
              <w:top w:val="single" w:sz="4" w:space="0" w:color="0079C1" w:themeColor="text2"/>
              <w:right w:val="single" w:sz="4" w:space="0" w:color="0079C1"/>
            </w:tcBorders>
            <w:vAlign w:val="center"/>
          </w:tcPr>
          <w:p w14:paraId="6E438EAB"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0.0%</w:t>
            </w:r>
          </w:p>
        </w:tc>
        <w:tc>
          <w:tcPr>
            <w:tcW w:w="766" w:type="dxa"/>
            <w:tcBorders>
              <w:top w:val="single" w:sz="4" w:space="0" w:color="0079C1" w:themeColor="text2"/>
              <w:left w:val="single" w:sz="4" w:space="0" w:color="0079C1"/>
            </w:tcBorders>
            <w:vAlign w:val="center"/>
          </w:tcPr>
          <w:p w14:paraId="30C52AA3"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1</w:t>
            </w:r>
          </w:p>
        </w:tc>
        <w:tc>
          <w:tcPr>
            <w:tcW w:w="766" w:type="dxa"/>
            <w:tcBorders>
              <w:top w:val="nil"/>
              <w:right w:val="single" w:sz="4" w:space="0" w:color="0079C1"/>
            </w:tcBorders>
            <w:vAlign w:val="center"/>
          </w:tcPr>
          <w:p w14:paraId="17017414"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1.4%</w:t>
            </w:r>
          </w:p>
        </w:tc>
        <w:tc>
          <w:tcPr>
            <w:tcW w:w="653" w:type="dxa"/>
            <w:tcBorders>
              <w:top w:val="nil"/>
              <w:left w:val="single" w:sz="4" w:space="0" w:color="0079C1"/>
            </w:tcBorders>
            <w:vAlign w:val="center"/>
          </w:tcPr>
          <w:p w14:paraId="2DCED3F8"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w:t>
            </w:r>
          </w:p>
        </w:tc>
        <w:tc>
          <w:tcPr>
            <w:tcW w:w="850" w:type="dxa"/>
            <w:tcBorders>
              <w:top w:val="nil"/>
              <w:right w:val="single" w:sz="4" w:space="0" w:color="0079C1"/>
            </w:tcBorders>
            <w:vAlign w:val="center"/>
          </w:tcPr>
          <w:p w14:paraId="72A6AD7A"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0.0%</w:t>
            </w:r>
          </w:p>
        </w:tc>
        <w:tc>
          <w:tcPr>
            <w:tcW w:w="567" w:type="dxa"/>
            <w:tcBorders>
              <w:top w:val="nil"/>
              <w:left w:val="single" w:sz="4" w:space="0" w:color="0079C1"/>
            </w:tcBorders>
            <w:vAlign w:val="center"/>
          </w:tcPr>
          <w:p w14:paraId="7F5A2018"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5</w:t>
            </w:r>
          </w:p>
        </w:tc>
        <w:tc>
          <w:tcPr>
            <w:tcW w:w="993" w:type="dxa"/>
            <w:tcBorders>
              <w:top w:val="nil"/>
            </w:tcBorders>
            <w:vAlign w:val="center"/>
          </w:tcPr>
          <w:p w14:paraId="3F8E45CF"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2.3%</w:t>
            </w:r>
          </w:p>
        </w:tc>
      </w:tr>
      <w:tr w:rsidR="00EA0E41" w:rsidRPr="00E61AC8" w14:paraId="72BA9C0C" w14:textId="77777777" w:rsidTr="00E61AC8">
        <w:tc>
          <w:tcPr>
            <w:tcW w:w="1841" w:type="dxa"/>
            <w:tcBorders>
              <w:right w:val="single" w:sz="4" w:space="0" w:color="0079C1"/>
            </w:tcBorders>
          </w:tcPr>
          <w:p w14:paraId="67EB7F3C" w14:textId="77777777" w:rsidR="00EA0E41" w:rsidRPr="00E61AC8" w:rsidRDefault="00EA0E41" w:rsidP="0076764A">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China</w:t>
            </w:r>
          </w:p>
        </w:tc>
        <w:tc>
          <w:tcPr>
            <w:tcW w:w="765" w:type="dxa"/>
            <w:tcBorders>
              <w:left w:val="single" w:sz="4" w:space="0" w:color="0079C1"/>
            </w:tcBorders>
            <w:vAlign w:val="center"/>
          </w:tcPr>
          <w:p w14:paraId="507D04FA"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12</w:t>
            </w:r>
          </w:p>
        </w:tc>
        <w:tc>
          <w:tcPr>
            <w:tcW w:w="766" w:type="dxa"/>
            <w:tcBorders>
              <w:right w:val="single" w:sz="4" w:space="0" w:color="0079C1"/>
            </w:tcBorders>
            <w:vAlign w:val="center"/>
          </w:tcPr>
          <w:p w14:paraId="6734BF0A"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11.1%</w:t>
            </w:r>
          </w:p>
        </w:tc>
        <w:tc>
          <w:tcPr>
            <w:tcW w:w="765" w:type="dxa"/>
            <w:tcBorders>
              <w:left w:val="single" w:sz="4" w:space="0" w:color="0079C1"/>
            </w:tcBorders>
            <w:vAlign w:val="center"/>
          </w:tcPr>
          <w:p w14:paraId="6D91C2C3"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2</w:t>
            </w:r>
          </w:p>
        </w:tc>
        <w:tc>
          <w:tcPr>
            <w:tcW w:w="766" w:type="dxa"/>
            <w:tcBorders>
              <w:right w:val="single" w:sz="4" w:space="0" w:color="0079C1"/>
            </w:tcBorders>
            <w:vAlign w:val="center"/>
          </w:tcPr>
          <w:p w14:paraId="0BE9B4C5"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10.5%</w:t>
            </w:r>
          </w:p>
        </w:tc>
        <w:tc>
          <w:tcPr>
            <w:tcW w:w="766" w:type="dxa"/>
            <w:tcBorders>
              <w:left w:val="single" w:sz="4" w:space="0" w:color="0079C1"/>
            </w:tcBorders>
            <w:vAlign w:val="center"/>
          </w:tcPr>
          <w:p w14:paraId="1FC89BD8"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19</w:t>
            </w:r>
          </w:p>
        </w:tc>
        <w:tc>
          <w:tcPr>
            <w:tcW w:w="766" w:type="dxa"/>
            <w:tcBorders>
              <w:right w:val="single" w:sz="4" w:space="0" w:color="0079C1"/>
            </w:tcBorders>
            <w:vAlign w:val="center"/>
          </w:tcPr>
          <w:p w14:paraId="6E0F82BC"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26.0%</w:t>
            </w:r>
          </w:p>
        </w:tc>
        <w:tc>
          <w:tcPr>
            <w:tcW w:w="653" w:type="dxa"/>
            <w:tcBorders>
              <w:left w:val="single" w:sz="4" w:space="0" w:color="0079C1"/>
            </w:tcBorders>
            <w:vAlign w:val="center"/>
          </w:tcPr>
          <w:p w14:paraId="64175B42"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w:t>
            </w:r>
          </w:p>
        </w:tc>
        <w:tc>
          <w:tcPr>
            <w:tcW w:w="850" w:type="dxa"/>
            <w:tcBorders>
              <w:right w:val="single" w:sz="4" w:space="0" w:color="0079C1"/>
            </w:tcBorders>
            <w:vAlign w:val="center"/>
          </w:tcPr>
          <w:p w14:paraId="6F14E1A5"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0.0%</w:t>
            </w:r>
          </w:p>
        </w:tc>
        <w:tc>
          <w:tcPr>
            <w:tcW w:w="567" w:type="dxa"/>
            <w:tcBorders>
              <w:left w:val="single" w:sz="4" w:space="0" w:color="0079C1"/>
            </w:tcBorders>
            <w:vAlign w:val="center"/>
          </w:tcPr>
          <w:p w14:paraId="0F215BA6"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33</w:t>
            </w:r>
          </w:p>
        </w:tc>
        <w:tc>
          <w:tcPr>
            <w:tcW w:w="993" w:type="dxa"/>
            <w:vAlign w:val="center"/>
          </w:tcPr>
          <w:p w14:paraId="0DC5A794"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15.0%</w:t>
            </w:r>
          </w:p>
        </w:tc>
      </w:tr>
      <w:tr w:rsidR="00EA0E41" w:rsidRPr="00E61AC8" w14:paraId="797D020B" w14:textId="77777777" w:rsidTr="00E61AC8">
        <w:tc>
          <w:tcPr>
            <w:tcW w:w="1841" w:type="dxa"/>
            <w:tcBorders>
              <w:right w:val="single" w:sz="4" w:space="0" w:color="0079C1"/>
            </w:tcBorders>
          </w:tcPr>
          <w:p w14:paraId="7C017CE7" w14:textId="77777777" w:rsidR="00EA0E41" w:rsidRPr="00E61AC8" w:rsidRDefault="00EA0E41" w:rsidP="0076764A">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Colombia</w:t>
            </w:r>
          </w:p>
        </w:tc>
        <w:tc>
          <w:tcPr>
            <w:tcW w:w="765" w:type="dxa"/>
            <w:tcBorders>
              <w:left w:val="single" w:sz="4" w:space="0" w:color="0079C1"/>
            </w:tcBorders>
            <w:vAlign w:val="center"/>
          </w:tcPr>
          <w:p w14:paraId="6021B68F"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4</w:t>
            </w:r>
          </w:p>
        </w:tc>
        <w:tc>
          <w:tcPr>
            <w:tcW w:w="766" w:type="dxa"/>
            <w:tcBorders>
              <w:right w:val="single" w:sz="4" w:space="0" w:color="0079C1"/>
            </w:tcBorders>
            <w:vAlign w:val="center"/>
          </w:tcPr>
          <w:p w14:paraId="0865638B"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3.7%</w:t>
            </w:r>
          </w:p>
        </w:tc>
        <w:tc>
          <w:tcPr>
            <w:tcW w:w="765" w:type="dxa"/>
            <w:tcBorders>
              <w:left w:val="single" w:sz="4" w:space="0" w:color="0079C1"/>
            </w:tcBorders>
            <w:vAlign w:val="center"/>
          </w:tcPr>
          <w:p w14:paraId="34A88BEF"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w:t>
            </w:r>
          </w:p>
        </w:tc>
        <w:tc>
          <w:tcPr>
            <w:tcW w:w="766" w:type="dxa"/>
            <w:tcBorders>
              <w:right w:val="single" w:sz="4" w:space="0" w:color="0079C1"/>
            </w:tcBorders>
            <w:vAlign w:val="center"/>
          </w:tcPr>
          <w:p w14:paraId="410D31C1" w14:textId="77777777" w:rsidR="00EA0E41" w:rsidRPr="00E61AC8" w:rsidRDefault="00EA0E41" w:rsidP="00E61AC8">
            <w:pPr>
              <w:tabs>
                <w:tab w:val="left" w:pos="318"/>
              </w:tabs>
              <w:spacing w:before="60" w:after="60" w:line="360" w:lineRule="auto"/>
              <w:jc w:val="center"/>
              <w:rPr>
                <w:rFonts w:asciiTheme="minorHAnsi" w:hAnsiTheme="minorHAnsi"/>
                <w:sz w:val="20"/>
                <w:szCs w:val="20"/>
              </w:rPr>
            </w:pPr>
            <w:r w:rsidRPr="00E61AC8">
              <w:rPr>
                <w:rFonts w:asciiTheme="minorHAnsi" w:hAnsiTheme="minorHAnsi"/>
                <w:sz w:val="20"/>
                <w:szCs w:val="20"/>
              </w:rPr>
              <w:t>0.0%</w:t>
            </w:r>
          </w:p>
        </w:tc>
        <w:tc>
          <w:tcPr>
            <w:tcW w:w="766" w:type="dxa"/>
            <w:tcBorders>
              <w:left w:val="single" w:sz="4" w:space="0" w:color="0079C1"/>
            </w:tcBorders>
            <w:vAlign w:val="center"/>
          </w:tcPr>
          <w:p w14:paraId="323AA277"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w:t>
            </w:r>
          </w:p>
        </w:tc>
        <w:tc>
          <w:tcPr>
            <w:tcW w:w="766" w:type="dxa"/>
            <w:tcBorders>
              <w:right w:val="single" w:sz="4" w:space="0" w:color="0079C1"/>
            </w:tcBorders>
            <w:vAlign w:val="center"/>
          </w:tcPr>
          <w:p w14:paraId="0E77718C"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1.4%</w:t>
            </w:r>
          </w:p>
        </w:tc>
        <w:tc>
          <w:tcPr>
            <w:tcW w:w="653" w:type="dxa"/>
            <w:tcBorders>
              <w:left w:val="single" w:sz="4" w:space="0" w:color="0079C1"/>
            </w:tcBorders>
            <w:vAlign w:val="center"/>
          </w:tcPr>
          <w:p w14:paraId="174BB1D2"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2</w:t>
            </w:r>
          </w:p>
        </w:tc>
        <w:tc>
          <w:tcPr>
            <w:tcW w:w="850" w:type="dxa"/>
            <w:tcBorders>
              <w:right w:val="single" w:sz="4" w:space="0" w:color="0079C1"/>
            </w:tcBorders>
            <w:vAlign w:val="center"/>
          </w:tcPr>
          <w:p w14:paraId="4DF19456"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10.0%</w:t>
            </w:r>
          </w:p>
        </w:tc>
        <w:tc>
          <w:tcPr>
            <w:tcW w:w="567" w:type="dxa"/>
            <w:tcBorders>
              <w:left w:val="single" w:sz="4" w:space="0" w:color="0079C1"/>
            </w:tcBorders>
            <w:vAlign w:val="center"/>
          </w:tcPr>
          <w:p w14:paraId="47D49948"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7</w:t>
            </w:r>
          </w:p>
        </w:tc>
        <w:tc>
          <w:tcPr>
            <w:tcW w:w="993" w:type="dxa"/>
            <w:vAlign w:val="center"/>
          </w:tcPr>
          <w:p w14:paraId="42094A87"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3.2%</w:t>
            </w:r>
          </w:p>
        </w:tc>
      </w:tr>
      <w:tr w:rsidR="00EA0E41" w:rsidRPr="00E61AC8" w14:paraId="59DE6BED" w14:textId="77777777" w:rsidTr="00E61AC8">
        <w:tc>
          <w:tcPr>
            <w:tcW w:w="1841" w:type="dxa"/>
            <w:tcBorders>
              <w:right w:val="single" w:sz="4" w:space="0" w:color="0079C1"/>
            </w:tcBorders>
          </w:tcPr>
          <w:p w14:paraId="4BC45A81" w14:textId="77777777" w:rsidR="00EA0E41" w:rsidRPr="00E61AC8" w:rsidRDefault="00EA0E41" w:rsidP="0076764A">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Hong Kong</w:t>
            </w:r>
          </w:p>
        </w:tc>
        <w:tc>
          <w:tcPr>
            <w:tcW w:w="765" w:type="dxa"/>
            <w:tcBorders>
              <w:left w:val="single" w:sz="4" w:space="0" w:color="0079C1"/>
            </w:tcBorders>
            <w:vAlign w:val="center"/>
          </w:tcPr>
          <w:p w14:paraId="46D0E01A"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w:t>
            </w:r>
          </w:p>
        </w:tc>
        <w:tc>
          <w:tcPr>
            <w:tcW w:w="766" w:type="dxa"/>
            <w:tcBorders>
              <w:right w:val="single" w:sz="4" w:space="0" w:color="0079C1"/>
            </w:tcBorders>
            <w:vAlign w:val="center"/>
          </w:tcPr>
          <w:p w14:paraId="56322C19"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0.9%</w:t>
            </w:r>
          </w:p>
        </w:tc>
        <w:tc>
          <w:tcPr>
            <w:tcW w:w="765" w:type="dxa"/>
            <w:tcBorders>
              <w:left w:val="single" w:sz="4" w:space="0" w:color="0079C1"/>
            </w:tcBorders>
            <w:vAlign w:val="center"/>
          </w:tcPr>
          <w:p w14:paraId="5DD28F13"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1</w:t>
            </w:r>
          </w:p>
        </w:tc>
        <w:tc>
          <w:tcPr>
            <w:tcW w:w="766" w:type="dxa"/>
            <w:tcBorders>
              <w:right w:val="single" w:sz="4" w:space="0" w:color="0079C1"/>
            </w:tcBorders>
            <w:vAlign w:val="center"/>
          </w:tcPr>
          <w:p w14:paraId="71C7BD7E"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5.3%</w:t>
            </w:r>
          </w:p>
        </w:tc>
        <w:tc>
          <w:tcPr>
            <w:tcW w:w="766" w:type="dxa"/>
            <w:tcBorders>
              <w:left w:val="single" w:sz="4" w:space="0" w:color="0079C1"/>
            </w:tcBorders>
            <w:vAlign w:val="center"/>
          </w:tcPr>
          <w:p w14:paraId="16BD72B4"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w:t>
            </w:r>
          </w:p>
        </w:tc>
        <w:tc>
          <w:tcPr>
            <w:tcW w:w="766" w:type="dxa"/>
            <w:tcBorders>
              <w:right w:val="single" w:sz="4" w:space="0" w:color="0079C1"/>
            </w:tcBorders>
            <w:vAlign w:val="center"/>
          </w:tcPr>
          <w:p w14:paraId="7CE61477"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1.4%</w:t>
            </w:r>
          </w:p>
        </w:tc>
        <w:tc>
          <w:tcPr>
            <w:tcW w:w="653" w:type="dxa"/>
            <w:tcBorders>
              <w:left w:val="single" w:sz="4" w:space="0" w:color="0079C1"/>
            </w:tcBorders>
            <w:vAlign w:val="center"/>
          </w:tcPr>
          <w:p w14:paraId="21AC1876"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w:t>
            </w:r>
          </w:p>
        </w:tc>
        <w:tc>
          <w:tcPr>
            <w:tcW w:w="850" w:type="dxa"/>
            <w:tcBorders>
              <w:right w:val="single" w:sz="4" w:space="0" w:color="0079C1"/>
            </w:tcBorders>
            <w:vAlign w:val="center"/>
          </w:tcPr>
          <w:p w14:paraId="62332AD3"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0.0%</w:t>
            </w:r>
          </w:p>
        </w:tc>
        <w:tc>
          <w:tcPr>
            <w:tcW w:w="567" w:type="dxa"/>
            <w:tcBorders>
              <w:left w:val="single" w:sz="4" w:space="0" w:color="0079C1"/>
            </w:tcBorders>
            <w:vAlign w:val="center"/>
          </w:tcPr>
          <w:p w14:paraId="5FFED730"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3</w:t>
            </w:r>
          </w:p>
        </w:tc>
        <w:tc>
          <w:tcPr>
            <w:tcW w:w="993" w:type="dxa"/>
            <w:vAlign w:val="center"/>
          </w:tcPr>
          <w:p w14:paraId="4E9233EA"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1.4%</w:t>
            </w:r>
          </w:p>
        </w:tc>
      </w:tr>
      <w:tr w:rsidR="00EA0E41" w:rsidRPr="00E61AC8" w14:paraId="4D495943" w14:textId="77777777" w:rsidTr="00E61AC8">
        <w:tc>
          <w:tcPr>
            <w:tcW w:w="1841" w:type="dxa"/>
            <w:tcBorders>
              <w:right w:val="single" w:sz="4" w:space="0" w:color="0079C1"/>
            </w:tcBorders>
          </w:tcPr>
          <w:p w14:paraId="44DF4DB8" w14:textId="77777777" w:rsidR="00EA0E41" w:rsidRPr="00E61AC8" w:rsidRDefault="00EA0E41" w:rsidP="0076764A">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Latvia</w:t>
            </w:r>
          </w:p>
        </w:tc>
        <w:tc>
          <w:tcPr>
            <w:tcW w:w="765" w:type="dxa"/>
            <w:tcBorders>
              <w:left w:val="single" w:sz="4" w:space="0" w:color="0079C1"/>
            </w:tcBorders>
            <w:vAlign w:val="center"/>
          </w:tcPr>
          <w:p w14:paraId="45B577E4"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w:t>
            </w:r>
          </w:p>
        </w:tc>
        <w:tc>
          <w:tcPr>
            <w:tcW w:w="766" w:type="dxa"/>
            <w:tcBorders>
              <w:right w:val="single" w:sz="4" w:space="0" w:color="0079C1"/>
            </w:tcBorders>
            <w:vAlign w:val="center"/>
          </w:tcPr>
          <w:p w14:paraId="5DC53CD2"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0.9%</w:t>
            </w:r>
          </w:p>
        </w:tc>
        <w:tc>
          <w:tcPr>
            <w:tcW w:w="765" w:type="dxa"/>
            <w:tcBorders>
              <w:left w:val="single" w:sz="4" w:space="0" w:color="0079C1"/>
            </w:tcBorders>
            <w:vAlign w:val="center"/>
          </w:tcPr>
          <w:p w14:paraId="72BB19B4"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w:t>
            </w:r>
          </w:p>
        </w:tc>
        <w:tc>
          <w:tcPr>
            <w:tcW w:w="766" w:type="dxa"/>
            <w:tcBorders>
              <w:right w:val="single" w:sz="4" w:space="0" w:color="0079C1"/>
            </w:tcBorders>
            <w:vAlign w:val="center"/>
          </w:tcPr>
          <w:p w14:paraId="0ED6114B"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0.0%</w:t>
            </w:r>
          </w:p>
        </w:tc>
        <w:tc>
          <w:tcPr>
            <w:tcW w:w="766" w:type="dxa"/>
            <w:tcBorders>
              <w:left w:val="single" w:sz="4" w:space="0" w:color="0079C1"/>
            </w:tcBorders>
            <w:vAlign w:val="center"/>
          </w:tcPr>
          <w:p w14:paraId="45622A4F"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vAlign w:val="center"/>
          </w:tcPr>
          <w:p w14:paraId="61FDFE26"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653" w:type="dxa"/>
            <w:tcBorders>
              <w:left w:val="single" w:sz="4" w:space="0" w:color="0079C1"/>
            </w:tcBorders>
            <w:vAlign w:val="center"/>
          </w:tcPr>
          <w:p w14:paraId="680BF5C2"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w:t>
            </w:r>
          </w:p>
        </w:tc>
        <w:tc>
          <w:tcPr>
            <w:tcW w:w="850" w:type="dxa"/>
            <w:tcBorders>
              <w:right w:val="single" w:sz="4" w:space="0" w:color="0079C1"/>
            </w:tcBorders>
            <w:vAlign w:val="center"/>
          </w:tcPr>
          <w:p w14:paraId="2DDFFA48"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0.0%</w:t>
            </w:r>
          </w:p>
        </w:tc>
        <w:tc>
          <w:tcPr>
            <w:tcW w:w="567" w:type="dxa"/>
            <w:tcBorders>
              <w:left w:val="single" w:sz="4" w:space="0" w:color="0079C1"/>
            </w:tcBorders>
            <w:vAlign w:val="center"/>
          </w:tcPr>
          <w:p w14:paraId="049157BA"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w:t>
            </w:r>
          </w:p>
        </w:tc>
        <w:tc>
          <w:tcPr>
            <w:tcW w:w="993" w:type="dxa"/>
            <w:vAlign w:val="center"/>
          </w:tcPr>
          <w:p w14:paraId="56DF3D8E"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0.5%</w:t>
            </w:r>
          </w:p>
        </w:tc>
      </w:tr>
      <w:tr w:rsidR="00EA0E41" w:rsidRPr="00E61AC8" w14:paraId="4140A3FC" w14:textId="77777777" w:rsidTr="00E61AC8">
        <w:tc>
          <w:tcPr>
            <w:tcW w:w="1841" w:type="dxa"/>
            <w:tcBorders>
              <w:right w:val="single" w:sz="4" w:space="0" w:color="0079C1"/>
            </w:tcBorders>
          </w:tcPr>
          <w:p w14:paraId="11F22FAB" w14:textId="77777777" w:rsidR="00EA0E41" w:rsidRPr="00E61AC8" w:rsidRDefault="00EA0E41" w:rsidP="0076764A">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Philippines</w:t>
            </w:r>
          </w:p>
        </w:tc>
        <w:tc>
          <w:tcPr>
            <w:tcW w:w="765" w:type="dxa"/>
            <w:tcBorders>
              <w:left w:val="single" w:sz="4" w:space="0" w:color="0079C1"/>
            </w:tcBorders>
            <w:vAlign w:val="center"/>
          </w:tcPr>
          <w:p w14:paraId="131B5BCF"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10</w:t>
            </w:r>
          </w:p>
        </w:tc>
        <w:tc>
          <w:tcPr>
            <w:tcW w:w="766" w:type="dxa"/>
            <w:tcBorders>
              <w:right w:val="single" w:sz="4" w:space="0" w:color="0079C1"/>
            </w:tcBorders>
            <w:vAlign w:val="center"/>
          </w:tcPr>
          <w:p w14:paraId="1B9DDFE1"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9.3%</w:t>
            </w:r>
          </w:p>
        </w:tc>
        <w:tc>
          <w:tcPr>
            <w:tcW w:w="765" w:type="dxa"/>
            <w:tcBorders>
              <w:left w:val="single" w:sz="4" w:space="0" w:color="0079C1"/>
            </w:tcBorders>
            <w:vAlign w:val="center"/>
          </w:tcPr>
          <w:p w14:paraId="12A27FC0"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1</w:t>
            </w:r>
          </w:p>
        </w:tc>
        <w:tc>
          <w:tcPr>
            <w:tcW w:w="766" w:type="dxa"/>
            <w:tcBorders>
              <w:right w:val="single" w:sz="4" w:space="0" w:color="0079C1"/>
            </w:tcBorders>
            <w:vAlign w:val="center"/>
          </w:tcPr>
          <w:p w14:paraId="7F0BA763"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5.3%</w:t>
            </w:r>
          </w:p>
        </w:tc>
        <w:tc>
          <w:tcPr>
            <w:tcW w:w="766" w:type="dxa"/>
            <w:tcBorders>
              <w:left w:val="single" w:sz="4" w:space="0" w:color="0079C1"/>
            </w:tcBorders>
            <w:vAlign w:val="center"/>
          </w:tcPr>
          <w:p w14:paraId="7D217B78"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5</w:t>
            </w:r>
          </w:p>
        </w:tc>
        <w:tc>
          <w:tcPr>
            <w:tcW w:w="766" w:type="dxa"/>
            <w:tcBorders>
              <w:right w:val="single" w:sz="4" w:space="0" w:color="0079C1"/>
            </w:tcBorders>
            <w:vAlign w:val="center"/>
          </w:tcPr>
          <w:p w14:paraId="088AAA33"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6.8%</w:t>
            </w:r>
          </w:p>
        </w:tc>
        <w:tc>
          <w:tcPr>
            <w:tcW w:w="653" w:type="dxa"/>
            <w:tcBorders>
              <w:left w:val="single" w:sz="4" w:space="0" w:color="0079C1"/>
            </w:tcBorders>
            <w:vAlign w:val="center"/>
          </w:tcPr>
          <w:p w14:paraId="4AB026E4"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w:t>
            </w:r>
          </w:p>
        </w:tc>
        <w:tc>
          <w:tcPr>
            <w:tcW w:w="850" w:type="dxa"/>
            <w:tcBorders>
              <w:right w:val="single" w:sz="4" w:space="0" w:color="0079C1"/>
            </w:tcBorders>
            <w:vAlign w:val="center"/>
          </w:tcPr>
          <w:p w14:paraId="62D0D3CA"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0.0%</w:t>
            </w:r>
          </w:p>
        </w:tc>
        <w:tc>
          <w:tcPr>
            <w:tcW w:w="567" w:type="dxa"/>
            <w:tcBorders>
              <w:left w:val="single" w:sz="4" w:space="0" w:color="0079C1"/>
            </w:tcBorders>
            <w:vAlign w:val="center"/>
          </w:tcPr>
          <w:p w14:paraId="0059D9DB"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16</w:t>
            </w:r>
          </w:p>
        </w:tc>
        <w:tc>
          <w:tcPr>
            <w:tcW w:w="993" w:type="dxa"/>
            <w:vAlign w:val="center"/>
          </w:tcPr>
          <w:p w14:paraId="12076880"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7.3%</w:t>
            </w:r>
          </w:p>
        </w:tc>
      </w:tr>
      <w:tr w:rsidR="00EA0E41" w:rsidRPr="00E61AC8" w14:paraId="07A3DAAF" w14:textId="77777777" w:rsidTr="00E61AC8">
        <w:tc>
          <w:tcPr>
            <w:tcW w:w="1841" w:type="dxa"/>
            <w:tcBorders>
              <w:right w:val="single" w:sz="4" w:space="0" w:color="0079C1"/>
            </w:tcBorders>
          </w:tcPr>
          <w:p w14:paraId="67DFC634" w14:textId="77777777" w:rsidR="00EA0E41" w:rsidRPr="00E61AC8" w:rsidRDefault="00EA0E41" w:rsidP="0076764A">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Poland</w:t>
            </w:r>
          </w:p>
        </w:tc>
        <w:tc>
          <w:tcPr>
            <w:tcW w:w="765" w:type="dxa"/>
            <w:tcBorders>
              <w:left w:val="single" w:sz="4" w:space="0" w:color="0079C1"/>
            </w:tcBorders>
            <w:vAlign w:val="center"/>
          </w:tcPr>
          <w:p w14:paraId="0EC3AC22"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4</w:t>
            </w:r>
          </w:p>
        </w:tc>
        <w:tc>
          <w:tcPr>
            <w:tcW w:w="766" w:type="dxa"/>
            <w:tcBorders>
              <w:right w:val="single" w:sz="4" w:space="0" w:color="0079C1"/>
            </w:tcBorders>
            <w:vAlign w:val="center"/>
          </w:tcPr>
          <w:p w14:paraId="03AF55C5"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3.7%</w:t>
            </w:r>
          </w:p>
        </w:tc>
        <w:tc>
          <w:tcPr>
            <w:tcW w:w="765" w:type="dxa"/>
            <w:tcBorders>
              <w:left w:val="single" w:sz="4" w:space="0" w:color="0079C1"/>
            </w:tcBorders>
            <w:vAlign w:val="center"/>
          </w:tcPr>
          <w:p w14:paraId="787A09A1"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w:t>
            </w:r>
          </w:p>
        </w:tc>
        <w:tc>
          <w:tcPr>
            <w:tcW w:w="766" w:type="dxa"/>
            <w:tcBorders>
              <w:right w:val="single" w:sz="4" w:space="0" w:color="0079C1"/>
            </w:tcBorders>
            <w:vAlign w:val="center"/>
          </w:tcPr>
          <w:p w14:paraId="7CD065FD"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0.0%</w:t>
            </w:r>
          </w:p>
        </w:tc>
        <w:tc>
          <w:tcPr>
            <w:tcW w:w="766" w:type="dxa"/>
            <w:tcBorders>
              <w:left w:val="single" w:sz="4" w:space="0" w:color="0079C1"/>
            </w:tcBorders>
            <w:vAlign w:val="center"/>
          </w:tcPr>
          <w:p w14:paraId="61E58887"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vAlign w:val="center"/>
          </w:tcPr>
          <w:p w14:paraId="3DB3995B"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653" w:type="dxa"/>
            <w:tcBorders>
              <w:left w:val="single" w:sz="4" w:space="0" w:color="0079C1"/>
            </w:tcBorders>
            <w:vAlign w:val="center"/>
          </w:tcPr>
          <w:p w14:paraId="2E0F0AA2"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w:t>
            </w:r>
          </w:p>
        </w:tc>
        <w:tc>
          <w:tcPr>
            <w:tcW w:w="850" w:type="dxa"/>
            <w:tcBorders>
              <w:right w:val="single" w:sz="4" w:space="0" w:color="0079C1"/>
            </w:tcBorders>
            <w:vAlign w:val="center"/>
          </w:tcPr>
          <w:p w14:paraId="1217A2C6"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0.0%</w:t>
            </w:r>
          </w:p>
        </w:tc>
        <w:tc>
          <w:tcPr>
            <w:tcW w:w="567" w:type="dxa"/>
            <w:tcBorders>
              <w:left w:val="single" w:sz="4" w:space="0" w:color="0079C1"/>
            </w:tcBorders>
            <w:vAlign w:val="center"/>
          </w:tcPr>
          <w:p w14:paraId="2FCC4911"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4</w:t>
            </w:r>
          </w:p>
        </w:tc>
        <w:tc>
          <w:tcPr>
            <w:tcW w:w="993" w:type="dxa"/>
            <w:vAlign w:val="center"/>
          </w:tcPr>
          <w:p w14:paraId="4B1BE16C"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1.8%</w:t>
            </w:r>
          </w:p>
        </w:tc>
      </w:tr>
      <w:tr w:rsidR="00EA0E41" w:rsidRPr="00E61AC8" w14:paraId="0CB469C8" w14:textId="77777777" w:rsidTr="00E61AC8">
        <w:tc>
          <w:tcPr>
            <w:tcW w:w="1841" w:type="dxa"/>
            <w:tcBorders>
              <w:right w:val="single" w:sz="4" w:space="0" w:color="0079C1"/>
            </w:tcBorders>
          </w:tcPr>
          <w:p w14:paraId="34091503" w14:textId="77777777" w:rsidR="00EA0E41" w:rsidRPr="00E61AC8" w:rsidRDefault="00EA0E41" w:rsidP="0076764A">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South Africa</w:t>
            </w:r>
          </w:p>
        </w:tc>
        <w:tc>
          <w:tcPr>
            <w:tcW w:w="765" w:type="dxa"/>
            <w:tcBorders>
              <w:left w:val="single" w:sz="4" w:space="0" w:color="0079C1"/>
            </w:tcBorders>
            <w:vAlign w:val="center"/>
          </w:tcPr>
          <w:p w14:paraId="5B77D8B9"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7</w:t>
            </w:r>
          </w:p>
        </w:tc>
        <w:tc>
          <w:tcPr>
            <w:tcW w:w="766" w:type="dxa"/>
            <w:tcBorders>
              <w:right w:val="single" w:sz="4" w:space="0" w:color="0079C1"/>
            </w:tcBorders>
            <w:vAlign w:val="center"/>
          </w:tcPr>
          <w:p w14:paraId="1FC219BC"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6.5%</w:t>
            </w:r>
          </w:p>
        </w:tc>
        <w:tc>
          <w:tcPr>
            <w:tcW w:w="765" w:type="dxa"/>
            <w:tcBorders>
              <w:left w:val="single" w:sz="4" w:space="0" w:color="0079C1"/>
            </w:tcBorders>
            <w:vAlign w:val="center"/>
          </w:tcPr>
          <w:p w14:paraId="746203AE"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1</w:t>
            </w:r>
          </w:p>
        </w:tc>
        <w:tc>
          <w:tcPr>
            <w:tcW w:w="766" w:type="dxa"/>
            <w:tcBorders>
              <w:right w:val="single" w:sz="4" w:space="0" w:color="0079C1"/>
            </w:tcBorders>
            <w:vAlign w:val="center"/>
          </w:tcPr>
          <w:p w14:paraId="6F3427DD"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5.3%</w:t>
            </w:r>
          </w:p>
        </w:tc>
        <w:tc>
          <w:tcPr>
            <w:tcW w:w="766" w:type="dxa"/>
            <w:tcBorders>
              <w:left w:val="single" w:sz="4" w:space="0" w:color="0079C1"/>
            </w:tcBorders>
            <w:vAlign w:val="center"/>
          </w:tcPr>
          <w:p w14:paraId="3EEA3AA7"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766" w:type="dxa"/>
            <w:tcBorders>
              <w:right w:val="single" w:sz="4" w:space="0" w:color="0079C1"/>
            </w:tcBorders>
            <w:vAlign w:val="center"/>
          </w:tcPr>
          <w:p w14:paraId="3AD8EBC4"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0.0%</w:t>
            </w:r>
          </w:p>
        </w:tc>
        <w:tc>
          <w:tcPr>
            <w:tcW w:w="653" w:type="dxa"/>
            <w:tcBorders>
              <w:left w:val="single" w:sz="4" w:space="0" w:color="0079C1"/>
            </w:tcBorders>
            <w:vAlign w:val="center"/>
          </w:tcPr>
          <w:p w14:paraId="2ED9828A"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2</w:t>
            </w:r>
          </w:p>
        </w:tc>
        <w:tc>
          <w:tcPr>
            <w:tcW w:w="850" w:type="dxa"/>
            <w:tcBorders>
              <w:right w:val="single" w:sz="4" w:space="0" w:color="0079C1"/>
            </w:tcBorders>
            <w:vAlign w:val="center"/>
          </w:tcPr>
          <w:p w14:paraId="6971B4C8"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10.0%</w:t>
            </w:r>
          </w:p>
        </w:tc>
        <w:tc>
          <w:tcPr>
            <w:tcW w:w="567" w:type="dxa"/>
            <w:tcBorders>
              <w:left w:val="single" w:sz="4" w:space="0" w:color="0079C1"/>
            </w:tcBorders>
            <w:vAlign w:val="center"/>
          </w:tcPr>
          <w:p w14:paraId="4A3155E4"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w:t>
            </w:r>
          </w:p>
        </w:tc>
        <w:tc>
          <w:tcPr>
            <w:tcW w:w="993" w:type="dxa"/>
            <w:vAlign w:val="center"/>
          </w:tcPr>
          <w:p w14:paraId="61B8E19F"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4.5%</w:t>
            </w:r>
          </w:p>
        </w:tc>
      </w:tr>
      <w:tr w:rsidR="00EA0E41" w:rsidRPr="00E61AC8" w14:paraId="78957E2E" w14:textId="77777777" w:rsidTr="00E61AC8">
        <w:tc>
          <w:tcPr>
            <w:tcW w:w="1841" w:type="dxa"/>
            <w:tcBorders>
              <w:right w:val="single" w:sz="4" w:space="0" w:color="0079C1"/>
            </w:tcBorders>
          </w:tcPr>
          <w:p w14:paraId="004AC90B" w14:textId="77777777" w:rsidR="00EA0E41" w:rsidRPr="00E61AC8" w:rsidRDefault="00EA0E41" w:rsidP="0076764A">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South Korea</w:t>
            </w:r>
          </w:p>
        </w:tc>
        <w:tc>
          <w:tcPr>
            <w:tcW w:w="765" w:type="dxa"/>
            <w:tcBorders>
              <w:left w:val="single" w:sz="4" w:space="0" w:color="0079C1"/>
            </w:tcBorders>
            <w:vAlign w:val="center"/>
          </w:tcPr>
          <w:p w14:paraId="500F64FD"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5</w:t>
            </w:r>
          </w:p>
        </w:tc>
        <w:tc>
          <w:tcPr>
            <w:tcW w:w="766" w:type="dxa"/>
            <w:tcBorders>
              <w:right w:val="single" w:sz="4" w:space="0" w:color="0079C1"/>
            </w:tcBorders>
            <w:vAlign w:val="center"/>
          </w:tcPr>
          <w:p w14:paraId="79A22E60"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4.6%</w:t>
            </w:r>
          </w:p>
        </w:tc>
        <w:tc>
          <w:tcPr>
            <w:tcW w:w="765" w:type="dxa"/>
            <w:tcBorders>
              <w:left w:val="single" w:sz="4" w:space="0" w:color="0079C1"/>
            </w:tcBorders>
            <w:vAlign w:val="center"/>
          </w:tcPr>
          <w:p w14:paraId="5DDA19C0"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4</w:t>
            </w:r>
          </w:p>
        </w:tc>
        <w:tc>
          <w:tcPr>
            <w:tcW w:w="766" w:type="dxa"/>
            <w:tcBorders>
              <w:right w:val="single" w:sz="4" w:space="0" w:color="0079C1"/>
            </w:tcBorders>
            <w:vAlign w:val="center"/>
          </w:tcPr>
          <w:p w14:paraId="131AC4C7"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21.1%</w:t>
            </w:r>
          </w:p>
        </w:tc>
        <w:tc>
          <w:tcPr>
            <w:tcW w:w="766" w:type="dxa"/>
            <w:tcBorders>
              <w:left w:val="single" w:sz="4" w:space="0" w:color="0079C1"/>
            </w:tcBorders>
            <w:vAlign w:val="center"/>
          </w:tcPr>
          <w:p w14:paraId="04FBBA99"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6</w:t>
            </w:r>
          </w:p>
        </w:tc>
        <w:tc>
          <w:tcPr>
            <w:tcW w:w="766" w:type="dxa"/>
            <w:tcBorders>
              <w:right w:val="single" w:sz="4" w:space="0" w:color="0079C1"/>
            </w:tcBorders>
            <w:vAlign w:val="center"/>
          </w:tcPr>
          <w:p w14:paraId="48322AD1"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8.2%</w:t>
            </w:r>
          </w:p>
        </w:tc>
        <w:tc>
          <w:tcPr>
            <w:tcW w:w="653" w:type="dxa"/>
            <w:tcBorders>
              <w:left w:val="single" w:sz="4" w:space="0" w:color="0079C1"/>
            </w:tcBorders>
            <w:vAlign w:val="center"/>
          </w:tcPr>
          <w:p w14:paraId="47A16659"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w:t>
            </w:r>
          </w:p>
        </w:tc>
        <w:tc>
          <w:tcPr>
            <w:tcW w:w="850" w:type="dxa"/>
            <w:tcBorders>
              <w:right w:val="single" w:sz="4" w:space="0" w:color="0079C1"/>
            </w:tcBorders>
            <w:vAlign w:val="center"/>
          </w:tcPr>
          <w:p w14:paraId="15E036AE"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0.0%</w:t>
            </w:r>
          </w:p>
        </w:tc>
        <w:tc>
          <w:tcPr>
            <w:tcW w:w="567" w:type="dxa"/>
            <w:tcBorders>
              <w:left w:val="single" w:sz="4" w:space="0" w:color="0079C1"/>
            </w:tcBorders>
            <w:vAlign w:val="center"/>
          </w:tcPr>
          <w:p w14:paraId="559E7C96"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15</w:t>
            </w:r>
          </w:p>
        </w:tc>
        <w:tc>
          <w:tcPr>
            <w:tcW w:w="993" w:type="dxa"/>
            <w:vAlign w:val="center"/>
          </w:tcPr>
          <w:p w14:paraId="3C1E7C5B"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6.8%</w:t>
            </w:r>
          </w:p>
        </w:tc>
      </w:tr>
      <w:tr w:rsidR="00EA0E41" w:rsidRPr="00E61AC8" w14:paraId="204FCB30" w14:textId="77777777" w:rsidTr="00E61AC8">
        <w:tc>
          <w:tcPr>
            <w:tcW w:w="1841" w:type="dxa"/>
            <w:tcBorders>
              <w:right w:val="single" w:sz="4" w:space="0" w:color="0079C1"/>
            </w:tcBorders>
          </w:tcPr>
          <w:p w14:paraId="1A16A3B9" w14:textId="77777777" w:rsidR="00EA0E41" w:rsidRPr="00E61AC8" w:rsidRDefault="00EA0E41" w:rsidP="0076764A">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Sri Lanka</w:t>
            </w:r>
          </w:p>
        </w:tc>
        <w:tc>
          <w:tcPr>
            <w:tcW w:w="765" w:type="dxa"/>
            <w:tcBorders>
              <w:left w:val="single" w:sz="4" w:space="0" w:color="0079C1"/>
            </w:tcBorders>
            <w:vAlign w:val="center"/>
          </w:tcPr>
          <w:p w14:paraId="7193B12B"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w:t>
            </w:r>
          </w:p>
        </w:tc>
        <w:tc>
          <w:tcPr>
            <w:tcW w:w="766" w:type="dxa"/>
            <w:tcBorders>
              <w:right w:val="single" w:sz="4" w:space="0" w:color="0079C1"/>
            </w:tcBorders>
            <w:vAlign w:val="center"/>
          </w:tcPr>
          <w:p w14:paraId="4A00AAF8"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0.9%</w:t>
            </w:r>
          </w:p>
        </w:tc>
        <w:tc>
          <w:tcPr>
            <w:tcW w:w="765" w:type="dxa"/>
            <w:tcBorders>
              <w:left w:val="single" w:sz="4" w:space="0" w:color="0079C1"/>
            </w:tcBorders>
            <w:vAlign w:val="center"/>
          </w:tcPr>
          <w:p w14:paraId="16ABB8C0"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w:t>
            </w:r>
          </w:p>
        </w:tc>
        <w:tc>
          <w:tcPr>
            <w:tcW w:w="766" w:type="dxa"/>
            <w:tcBorders>
              <w:right w:val="single" w:sz="4" w:space="0" w:color="0079C1"/>
            </w:tcBorders>
            <w:vAlign w:val="center"/>
          </w:tcPr>
          <w:p w14:paraId="54DB4A42"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0.0%</w:t>
            </w:r>
          </w:p>
        </w:tc>
        <w:tc>
          <w:tcPr>
            <w:tcW w:w="766" w:type="dxa"/>
            <w:tcBorders>
              <w:left w:val="single" w:sz="4" w:space="0" w:color="0079C1"/>
            </w:tcBorders>
            <w:vAlign w:val="center"/>
          </w:tcPr>
          <w:p w14:paraId="7BBC9BC4"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w:t>
            </w:r>
          </w:p>
        </w:tc>
        <w:tc>
          <w:tcPr>
            <w:tcW w:w="766" w:type="dxa"/>
            <w:tcBorders>
              <w:right w:val="single" w:sz="4" w:space="0" w:color="0079C1"/>
            </w:tcBorders>
            <w:vAlign w:val="center"/>
          </w:tcPr>
          <w:p w14:paraId="0DB0AD96"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1.4%</w:t>
            </w:r>
          </w:p>
        </w:tc>
        <w:tc>
          <w:tcPr>
            <w:tcW w:w="653" w:type="dxa"/>
            <w:tcBorders>
              <w:left w:val="single" w:sz="4" w:space="0" w:color="0079C1"/>
            </w:tcBorders>
            <w:vAlign w:val="center"/>
          </w:tcPr>
          <w:p w14:paraId="4DFFFEE0"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w:t>
            </w:r>
          </w:p>
        </w:tc>
        <w:tc>
          <w:tcPr>
            <w:tcW w:w="850" w:type="dxa"/>
            <w:tcBorders>
              <w:right w:val="single" w:sz="4" w:space="0" w:color="0079C1"/>
            </w:tcBorders>
            <w:vAlign w:val="center"/>
          </w:tcPr>
          <w:p w14:paraId="70E1B7BB"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0.0%</w:t>
            </w:r>
          </w:p>
        </w:tc>
        <w:tc>
          <w:tcPr>
            <w:tcW w:w="567" w:type="dxa"/>
            <w:tcBorders>
              <w:left w:val="single" w:sz="4" w:space="0" w:color="0079C1"/>
            </w:tcBorders>
            <w:vAlign w:val="center"/>
          </w:tcPr>
          <w:p w14:paraId="1E527167"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2</w:t>
            </w:r>
          </w:p>
        </w:tc>
        <w:tc>
          <w:tcPr>
            <w:tcW w:w="993" w:type="dxa"/>
            <w:vAlign w:val="center"/>
          </w:tcPr>
          <w:p w14:paraId="5BD5489E"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0.9%</w:t>
            </w:r>
          </w:p>
        </w:tc>
      </w:tr>
      <w:tr w:rsidR="00EA0E41" w:rsidRPr="00E61AC8" w14:paraId="5D61ADE4" w14:textId="77777777" w:rsidTr="00E61AC8">
        <w:tc>
          <w:tcPr>
            <w:tcW w:w="1841" w:type="dxa"/>
            <w:tcBorders>
              <w:right w:val="single" w:sz="4" w:space="0" w:color="0079C1"/>
            </w:tcBorders>
          </w:tcPr>
          <w:p w14:paraId="3032B898" w14:textId="77777777" w:rsidR="00EA0E41" w:rsidRPr="00E61AC8" w:rsidRDefault="00EA0E41" w:rsidP="0076764A">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Taiwan</w:t>
            </w:r>
          </w:p>
        </w:tc>
        <w:tc>
          <w:tcPr>
            <w:tcW w:w="765" w:type="dxa"/>
            <w:tcBorders>
              <w:left w:val="single" w:sz="4" w:space="0" w:color="0079C1"/>
            </w:tcBorders>
            <w:vAlign w:val="center"/>
          </w:tcPr>
          <w:p w14:paraId="24E075FD"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9</w:t>
            </w:r>
          </w:p>
        </w:tc>
        <w:tc>
          <w:tcPr>
            <w:tcW w:w="766" w:type="dxa"/>
            <w:tcBorders>
              <w:right w:val="single" w:sz="4" w:space="0" w:color="0079C1"/>
            </w:tcBorders>
            <w:vAlign w:val="center"/>
          </w:tcPr>
          <w:p w14:paraId="521B2B6C"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8.3%</w:t>
            </w:r>
          </w:p>
        </w:tc>
        <w:tc>
          <w:tcPr>
            <w:tcW w:w="765" w:type="dxa"/>
            <w:tcBorders>
              <w:left w:val="single" w:sz="4" w:space="0" w:color="0079C1"/>
            </w:tcBorders>
            <w:vAlign w:val="center"/>
          </w:tcPr>
          <w:p w14:paraId="775DB722"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4</w:t>
            </w:r>
          </w:p>
        </w:tc>
        <w:tc>
          <w:tcPr>
            <w:tcW w:w="766" w:type="dxa"/>
            <w:tcBorders>
              <w:right w:val="single" w:sz="4" w:space="0" w:color="0079C1"/>
            </w:tcBorders>
            <w:vAlign w:val="center"/>
          </w:tcPr>
          <w:p w14:paraId="61477894"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21.1%</w:t>
            </w:r>
          </w:p>
        </w:tc>
        <w:tc>
          <w:tcPr>
            <w:tcW w:w="766" w:type="dxa"/>
            <w:tcBorders>
              <w:left w:val="single" w:sz="4" w:space="0" w:color="0079C1"/>
            </w:tcBorders>
            <w:vAlign w:val="center"/>
          </w:tcPr>
          <w:p w14:paraId="0DE9AEE5"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8</w:t>
            </w:r>
          </w:p>
        </w:tc>
        <w:tc>
          <w:tcPr>
            <w:tcW w:w="766" w:type="dxa"/>
            <w:tcBorders>
              <w:right w:val="single" w:sz="4" w:space="0" w:color="0079C1"/>
            </w:tcBorders>
            <w:vAlign w:val="center"/>
          </w:tcPr>
          <w:p w14:paraId="58E73499"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11.0%</w:t>
            </w:r>
          </w:p>
        </w:tc>
        <w:tc>
          <w:tcPr>
            <w:tcW w:w="653" w:type="dxa"/>
            <w:tcBorders>
              <w:left w:val="single" w:sz="4" w:space="0" w:color="0079C1"/>
            </w:tcBorders>
            <w:vAlign w:val="center"/>
          </w:tcPr>
          <w:p w14:paraId="38D9AE45"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w:t>
            </w:r>
          </w:p>
        </w:tc>
        <w:tc>
          <w:tcPr>
            <w:tcW w:w="850" w:type="dxa"/>
            <w:tcBorders>
              <w:right w:val="single" w:sz="4" w:space="0" w:color="0079C1"/>
            </w:tcBorders>
            <w:vAlign w:val="center"/>
          </w:tcPr>
          <w:p w14:paraId="11FF5AFF"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0.0%</w:t>
            </w:r>
          </w:p>
        </w:tc>
        <w:tc>
          <w:tcPr>
            <w:tcW w:w="567" w:type="dxa"/>
            <w:tcBorders>
              <w:left w:val="single" w:sz="4" w:space="0" w:color="0079C1"/>
            </w:tcBorders>
            <w:vAlign w:val="center"/>
          </w:tcPr>
          <w:p w14:paraId="0C529885"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21</w:t>
            </w:r>
          </w:p>
        </w:tc>
        <w:tc>
          <w:tcPr>
            <w:tcW w:w="993" w:type="dxa"/>
            <w:vAlign w:val="center"/>
          </w:tcPr>
          <w:p w14:paraId="57B1DC6A"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9.5%</w:t>
            </w:r>
          </w:p>
        </w:tc>
      </w:tr>
      <w:tr w:rsidR="00EA0E41" w:rsidRPr="00E61AC8" w14:paraId="4DD90DED" w14:textId="77777777" w:rsidTr="00E61AC8">
        <w:tc>
          <w:tcPr>
            <w:tcW w:w="1841" w:type="dxa"/>
            <w:tcBorders>
              <w:right w:val="single" w:sz="4" w:space="0" w:color="0079C1"/>
            </w:tcBorders>
          </w:tcPr>
          <w:p w14:paraId="0758E670" w14:textId="77777777" w:rsidR="00EA0E41" w:rsidRPr="00E61AC8" w:rsidRDefault="00EA0E41" w:rsidP="0076764A">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Thailand</w:t>
            </w:r>
          </w:p>
        </w:tc>
        <w:tc>
          <w:tcPr>
            <w:tcW w:w="765" w:type="dxa"/>
            <w:tcBorders>
              <w:left w:val="single" w:sz="4" w:space="0" w:color="0079C1"/>
            </w:tcBorders>
            <w:vAlign w:val="center"/>
          </w:tcPr>
          <w:p w14:paraId="788D0BA9"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11</w:t>
            </w:r>
          </w:p>
        </w:tc>
        <w:tc>
          <w:tcPr>
            <w:tcW w:w="766" w:type="dxa"/>
            <w:tcBorders>
              <w:right w:val="single" w:sz="4" w:space="0" w:color="0079C1"/>
            </w:tcBorders>
            <w:vAlign w:val="center"/>
          </w:tcPr>
          <w:p w14:paraId="56053C58"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10.2%</w:t>
            </w:r>
          </w:p>
        </w:tc>
        <w:tc>
          <w:tcPr>
            <w:tcW w:w="765" w:type="dxa"/>
            <w:tcBorders>
              <w:left w:val="single" w:sz="4" w:space="0" w:color="0079C1"/>
            </w:tcBorders>
            <w:vAlign w:val="center"/>
          </w:tcPr>
          <w:p w14:paraId="21E8CFD1"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1</w:t>
            </w:r>
          </w:p>
        </w:tc>
        <w:tc>
          <w:tcPr>
            <w:tcW w:w="766" w:type="dxa"/>
            <w:tcBorders>
              <w:right w:val="single" w:sz="4" w:space="0" w:color="0079C1"/>
            </w:tcBorders>
            <w:vAlign w:val="center"/>
          </w:tcPr>
          <w:p w14:paraId="7B794237"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5.3%</w:t>
            </w:r>
          </w:p>
        </w:tc>
        <w:tc>
          <w:tcPr>
            <w:tcW w:w="766" w:type="dxa"/>
            <w:tcBorders>
              <w:left w:val="single" w:sz="4" w:space="0" w:color="0079C1"/>
            </w:tcBorders>
            <w:vAlign w:val="center"/>
          </w:tcPr>
          <w:p w14:paraId="75EE2825"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16</w:t>
            </w:r>
          </w:p>
        </w:tc>
        <w:tc>
          <w:tcPr>
            <w:tcW w:w="766" w:type="dxa"/>
            <w:tcBorders>
              <w:right w:val="single" w:sz="4" w:space="0" w:color="0079C1"/>
            </w:tcBorders>
            <w:vAlign w:val="center"/>
          </w:tcPr>
          <w:p w14:paraId="4C87107F"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21.9%</w:t>
            </w:r>
          </w:p>
        </w:tc>
        <w:tc>
          <w:tcPr>
            <w:tcW w:w="653" w:type="dxa"/>
            <w:tcBorders>
              <w:left w:val="single" w:sz="4" w:space="0" w:color="0079C1"/>
            </w:tcBorders>
            <w:vAlign w:val="center"/>
          </w:tcPr>
          <w:p w14:paraId="7490B81E"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3</w:t>
            </w:r>
          </w:p>
        </w:tc>
        <w:tc>
          <w:tcPr>
            <w:tcW w:w="850" w:type="dxa"/>
            <w:tcBorders>
              <w:right w:val="single" w:sz="4" w:space="0" w:color="0079C1"/>
            </w:tcBorders>
            <w:vAlign w:val="center"/>
          </w:tcPr>
          <w:p w14:paraId="6EF44AE3"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15.0%</w:t>
            </w:r>
          </w:p>
        </w:tc>
        <w:tc>
          <w:tcPr>
            <w:tcW w:w="567" w:type="dxa"/>
            <w:tcBorders>
              <w:left w:val="single" w:sz="4" w:space="0" w:color="0079C1"/>
            </w:tcBorders>
            <w:vAlign w:val="center"/>
          </w:tcPr>
          <w:p w14:paraId="2CE9C733"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31</w:t>
            </w:r>
          </w:p>
        </w:tc>
        <w:tc>
          <w:tcPr>
            <w:tcW w:w="993" w:type="dxa"/>
            <w:vAlign w:val="center"/>
          </w:tcPr>
          <w:p w14:paraId="1F8BB630"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14.1%</w:t>
            </w:r>
          </w:p>
        </w:tc>
      </w:tr>
      <w:tr w:rsidR="00EA0E41" w:rsidRPr="00E61AC8" w14:paraId="10DADD5C" w14:textId="77777777" w:rsidTr="00E61AC8">
        <w:tc>
          <w:tcPr>
            <w:tcW w:w="1841" w:type="dxa"/>
            <w:tcBorders>
              <w:right w:val="single" w:sz="4" w:space="0" w:color="0079C1"/>
            </w:tcBorders>
          </w:tcPr>
          <w:p w14:paraId="1AF829AC" w14:textId="77777777" w:rsidR="00EA0E41" w:rsidRPr="00E61AC8" w:rsidRDefault="00EA0E41" w:rsidP="0076764A">
            <w:pPr>
              <w:rPr>
                <w:rFonts w:asciiTheme="minorHAnsi" w:hAnsiTheme="minorHAnsi" w:cs="Arial"/>
                <w:color w:val="333333"/>
                <w:sz w:val="20"/>
                <w:szCs w:val="20"/>
              </w:rPr>
            </w:pPr>
            <w:r w:rsidRPr="00E61AC8">
              <w:rPr>
                <w:rFonts w:asciiTheme="minorHAnsi" w:hAnsiTheme="minorHAnsi" w:cs="Arial"/>
                <w:color w:val="333333"/>
                <w:sz w:val="20"/>
                <w:szCs w:val="20"/>
              </w:rPr>
              <w:t xml:space="preserve">Other </w:t>
            </w:r>
          </w:p>
        </w:tc>
        <w:tc>
          <w:tcPr>
            <w:tcW w:w="765" w:type="dxa"/>
            <w:tcBorders>
              <w:left w:val="single" w:sz="4" w:space="0" w:color="0079C1"/>
            </w:tcBorders>
            <w:vAlign w:val="center"/>
          </w:tcPr>
          <w:p w14:paraId="3D636687"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26</w:t>
            </w:r>
          </w:p>
        </w:tc>
        <w:tc>
          <w:tcPr>
            <w:tcW w:w="766" w:type="dxa"/>
            <w:tcBorders>
              <w:right w:val="single" w:sz="4" w:space="0" w:color="0079C1"/>
            </w:tcBorders>
            <w:vAlign w:val="center"/>
          </w:tcPr>
          <w:p w14:paraId="296127FB"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24.1%</w:t>
            </w:r>
          </w:p>
        </w:tc>
        <w:tc>
          <w:tcPr>
            <w:tcW w:w="765" w:type="dxa"/>
            <w:tcBorders>
              <w:left w:val="single" w:sz="4" w:space="0" w:color="0079C1"/>
            </w:tcBorders>
            <w:vAlign w:val="center"/>
          </w:tcPr>
          <w:p w14:paraId="0F4780FC"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2</w:t>
            </w:r>
          </w:p>
        </w:tc>
        <w:tc>
          <w:tcPr>
            <w:tcW w:w="766" w:type="dxa"/>
            <w:tcBorders>
              <w:right w:val="single" w:sz="4" w:space="0" w:color="0079C1"/>
            </w:tcBorders>
            <w:vAlign w:val="center"/>
          </w:tcPr>
          <w:p w14:paraId="452BEAE2"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10.5%</w:t>
            </w:r>
          </w:p>
        </w:tc>
        <w:tc>
          <w:tcPr>
            <w:tcW w:w="766" w:type="dxa"/>
            <w:tcBorders>
              <w:left w:val="single" w:sz="4" w:space="0" w:color="0079C1"/>
            </w:tcBorders>
            <w:vAlign w:val="center"/>
          </w:tcPr>
          <w:p w14:paraId="40DEC7CD"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9</w:t>
            </w:r>
          </w:p>
        </w:tc>
        <w:tc>
          <w:tcPr>
            <w:tcW w:w="766" w:type="dxa"/>
            <w:tcBorders>
              <w:right w:val="single" w:sz="4" w:space="0" w:color="0079C1"/>
            </w:tcBorders>
            <w:vAlign w:val="center"/>
          </w:tcPr>
          <w:p w14:paraId="3DA3EC4C"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12.3%</w:t>
            </w:r>
          </w:p>
        </w:tc>
        <w:tc>
          <w:tcPr>
            <w:tcW w:w="653" w:type="dxa"/>
            <w:tcBorders>
              <w:left w:val="single" w:sz="4" w:space="0" w:color="0079C1"/>
            </w:tcBorders>
            <w:vAlign w:val="center"/>
          </w:tcPr>
          <w:p w14:paraId="54ACFDDE"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9</w:t>
            </w:r>
          </w:p>
        </w:tc>
        <w:tc>
          <w:tcPr>
            <w:tcW w:w="850" w:type="dxa"/>
            <w:tcBorders>
              <w:right w:val="single" w:sz="4" w:space="0" w:color="0079C1"/>
            </w:tcBorders>
            <w:vAlign w:val="center"/>
          </w:tcPr>
          <w:p w14:paraId="0B941AD3"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45.0%</w:t>
            </w:r>
          </w:p>
        </w:tc>
        <w:tc>
          <w:tcPr>
            <w:tcW w:w="567" w:type="dxa"/>
            <w:tcBorders>
              <w:left w:val="single" w:sz="4" w:space="0" w:color="0079C1"/>
            </w:tcBorders>
            <w:vAlign w:val="center"/>
          </w:tcPr>
          <w:p w14:paraId="4BD5B6B7"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46</w:t>
            </w:r>
          </w:p>
        </w:tc>
        <w:tc>
          <w:tcPr>
            <w:tcW w:w="993" w:type="dxa"/>
            <w:vAlign w:val="center"/>
          </w:tcPr>
          <w:p w14:paraId="60CF6ECF"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20.9%</w:t>
            </w:r>
          </w:p>
        </w:tc>
      </w:tr>
      <w:tr w:rsidR="00EA0E41" w:rsidRPr="00E61AC8" w14:paraId="1BB11A13" w14:textId="77777777" w:rsidTr="00E61AC8">
        <w:tc>
          <w:tcPr>
            <w:tcW w:w="1841" w:type="dxa"/>
            <w:tcBorders>
              <w:bottom w:val="single" w:sz="4" w:space="0" w:color="0079C1"/>
              <w:right w:val="single" w:sz="4" w:space="0" w:color="0079C1"/>
            </w:tcBorders>
            <w:shd w:val="clear" w:color="auto" w:fill="auto"/>
          </w:tcPr>
          <w:p w14:paraId="376AC3F3" w14:textId="77777777" w:rsidR="00EA0E41" w:rsidRPr="00E61AC8" w:rsidRDefault="00EA0E41" w:rsidP="0076764A">
            <w:pPr>
              <w:rPr>
                <w:rFonts w:asciiTheme="minorHAnsi" w:hAnsiTheme="minorHAnsi" w:cs="Arial"/>
                <w:color w:val="333333"/>
                <w:sz w:val="20"/>
                <w:szCs w:val="20"/>
              </w:rPr>
            </w:pPr>
            <w:r w:rsidRPr="00E61AC8">
              <w:rPr>
                <w:rFonts w:asciiTheme="minorHAnsi" w:hAnsiTheme="minorHAnsi" w:cs="Arial"/>
                <w:color w:val="333333"/>
                <w:sz w:val="20"/>
                <w:szCs w:val="20"/>
              </w:rPr>
              <w:t>Not stated</w:t>
            </w:r>
          </w:p>
        </w:tc>
        <w:tc>
          <w:tcPr>
            <w:tcW w:w="765" w:type="dxa"/>
            <w:tcBorders>
              <w:left w:val="single" w:sz="4" w:space="0" w:color="0079C1"/>
              <w:bottom w:val="single" w:sz="4" w:space="0" w:color="0079C1"/>
            </w:tcBorders>
            <w:shd w:val="clear" w:color="auto" w:fill="auto"/>
            <w:vAlign w:val="center"/>
          </w:tcPr>
          <w:p w14:paraId="15EC1D98"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13</w:t>
            </w:r>
          </w:p>
        </w:tc>
        <w:tc>
          <w:tcPr>
            <w:tcW w:w="766" w:type="dxa"/>
            <w:tcBorders>
              <w:bottom w:val="single" w:sz="4" w:space="0" w:color="0079C1"/>
              <w:right w:val="single" w:sz="4" w:space="0" w:color="0079C1"/>
            </w:tcBorders>
            <w:shd w:val="clear" w:color="auto" w:fill="auto"/>
            <w:vAlign w:val="center"/>
          </w:tcPr>
          <w:p w14:paraId="1E37FB4E"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12.0%</w:t>
            </w:r>
          </w:p>
        </w:tc>
        <w:tc>
          <w:tcPr>
            <w:tcW w:w="765" w:type="dxa"/>
            <w:tcBorders>
              <w:left w:val="single" w:sz="4" w:space="0" w:color="0079C1"/>
              <w:bottom w:val="single" w:sz="4" w:space="0" w:color="0079C1"/>
            </w:tcBorders>
            <w:shd w:val="clear" w:color="auto" w:fill="auto"/>
            <w:vAlign w:val="center"/>
          </w:tcPr>
          <w:p w14:paraId="64B0A3D2"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3</w:t>
            </w:r>
          </w:p>
        </w:tc>
        <w:tc>
          <w:tcPr>
            <w:tcW w:w="766" w:type="dxa"/>
            <w:tcBorders>
              <w:bottom w:val="single" w:sz="4" w:space="0" w:color="0079C1"/>
              <w:right w:val="single" w:sz="4" w:space="0" w:color="0079C1"/>
            </w:tcBorders>
            <w:shd w:val="clear" w:color="auto" w:fill="auto"/>
            <w:vAlign w:val="center"/>
          </w:tcPr>
          <w:p w14:paraId="678989E0"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15.8%</w:t>
            </w:r>
          </w:p>
        </w:tc>
        <w:tc>
          <w:tcPr>
            <w:tcW w:w="766" w:type="dxa"/>
            <w:tcBorders>
              <w:left w:val="single" w:sz="4" w:space="0" w:color="0079C1"/>
              <w:bottom w:val="single" w:sz="4" w:space="0" w:color="0079C1"/>
            </w:tcBorders>
            <w:shd w:val="clear" w:color="auto" w:fill="auto"/>
            <w:vAlign w:val="center"/>
          </w:tcPr>
          <w:p w14:paraId="227B475E"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6</w:t>
            </w:r>
          </w:p>
        </w:tc>
        <w:tc>
          <w:tcPr>
            <w:tcW w:w="766" w:type="dxa"/>
            <w:tcBorders>
              <w:bottom w:val="single" w:sz="4" w:space="0" w:color="0079C1"/>
              <w:right w:val="single" w:sz="4" w:space="0" w:color="0079C1"/>
            </w:tcBorders>
            <w:shd w:val="clear" w:color="auto" w:fill="auto"/>
            <w:vAlign w:val="center"/>
          </w:tcPr>
          <w:p w14:paraId="6E6DB7B0" w14:textId="77777777" w:rsidR="00EA0E41" w:rsidRPr="00E61AC8" w:rsidRDefault="00EA0E41" w:rsidP="00E61AC8">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8.2%</w:t>
            </w:r>
          </w:p>
        </w:tc>
        <w:tc>
          <w:tcPr>
            <w:tcW w:w="653" w:type="dxa"/>
            <w:tcBorders>
              <w:left w:val="single" w:sz="4" w:space="0" w:color="0079C1"/>
              <w:bottom w:val="single" w:sz="4" w:space="0" w:color="0079C1"/>
            </w:tcBorders>
            <w:shd w:val="clear" w:color="auto" w:fill="auto"/>
            <w:vAlign w:val="center"/>
          </w:tcPr>
          <w:p w14:paraId="022CD347"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4</w:t>
            </w:r>
          </w:p>
        </w:tc>
        <w:tc>
          <w:tcPr>
            <w:tcW w:w="850" w:type="dxa"/>
            <w:tcBorders>
              <w:bottom w:val="single" w:sz="4" w:space="0" w:color="0079C1"/>
              <w:right w:val="single" w:sz="4" w:space="0" w:color="0079C1"/>
            </w:tcBorders>
            <w:shd w:val="clear" w:color="auto" w:fill="auto"/>
            <w:vAlign w:val="center"/>
          </w:tcPr>
          <w:p w14:paraId="0CB1F37C" w14:textId="77777777" w:rsidR="00EA0E41" w:rsidRPr="00E61AC8" w:rsidRDefault="00EA0E41" w:rsidP="00E61AC8">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20.0%</w:t>
            </w:r>
          </w:p>
        </w:tc>
        <w:tc>
          <w:tcPr>
            <w:tcW w:w="567" w:type="dxa"/>
            <w:tcBorders>
              <w:left w:val="single" w:sz="4" w:space="0" w:color="0079C1"/>
              <w:bottom w:val="single" w:sz="4" w:space="0" w:color="0079C1"/>
            </w:tcBorders>
            <w:shd w:val="clear" w:color="auto" w:fill="auto"/>
            <w:vAlign w:val="center"/>
          </w:tcPr>
          <w:p w14:paraId="21D6815E"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26</w:t>
            </w:r>
          </w:p>
        </w:tc>
        <w:tc>
          <w:tcPr>
            <w:tcW w:w="993" w:type="dxa"/>
            <w:tcBorders>
              <w:bottom w:val="single" w:sz="4" w:space="0" w:color="0079C1"/>
            </w:tcBorders>
            <w:shd w:val="clear" w:color="auto" w:fill="auto"/>
            <w:vAlign w:val="center"/>
          </w:tcPr>
          <w:p w14:paraId="3D2DA8CA"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11.8%</w:t>
            </w:r>
          </w:p>
        </w:tc>
      </w:tr>
      <w:tr w:rsidR="00EA0E41" w:rsidRPr="00E61AC8" w14:paraId="0D312A29" w14:textId="77777777" w:rsidTr="00E61AC8">
        <w:tc>
          <w:tcPr>
            <w:tcW w:w="1841" w:type="dxa"/>
            <w:tcBorders>
              <w:top w:val="single" w:sz="4" w:space="0" w:color="0079C1"/>
              <w:bottom w:val="single" w:sz="4" w:space="0" w:color="0079C1" w:themeColor="text2"/>
              <w:right w:val="single" w:sz="4" w:space="0" w:color="0079C1"/>
            </w:tcBorders>
            <w:shd w:val="clear" w:color="auto" w:fill="E2F4FF" w:themeFill="accent1" w:themeFillTint="33"/>
          </w:tcPr>
          <w:p w14:paraId="74420E09" w14:textId="77777777" w:rsidR="00EA0E41" w:rsidRPr="00E61AC8" w:rsidRDefault="00EA0E41" w:rsidP="0076764A">
            <w:pPr>
              <w:tabs>
                <w:tab w:val="left" w:pos="318"/>
              </w:tabs>
              <w:spacing w:before="60" w:after="60"/>
              <w:rPr>
                <w:rStyle w:val="Strong"/>
                <w:rFonts w:asciiTheme="minorHAnsi" w:hAnsiTheme="minorHAnsi"/>
                <w:sz w:val="20"/>
                <w:szCs w:val="20"/>
              </w:rPr>
            </w:pPr>
            <w:r w:rsidRPr="00E61AC8">
              <w:rPr>
                <w:rStyle w:val="Strong"/>
                <w:rFonts w:asciiTheme="minorHAnsi" w:hAnsiTheme="minorHAnsi"/>
                <w:sz w:val="20"/>
                <w:szCs w:val="20"/>
              </w:rPr>
              <w:t xml:space="preserve">Total </w:t>
            </w:r>
          </w:p>
        </w:tc>
        <w:tc>
          <w:tcPr>
            <w:tcW w:w="765" w:type="dxa"/>
            <w:tcBorders>
              <w:top w:val="single" w:sz="4" w:space="0" w:color="0079C1"/>
              <w:left w:val="single" w:sz="4" w:space="0" w:color="0079C1"/>
              <w:bottom w:val="single" w:sz="4" w:space="0" w:color="0079C1" w:themeColor="text2"/>
            </w:tcBorders>
            <w:shd w:val="clear" w:color="auto" w:fill="E2F4FF" w:themeFill="accent1" w:themeFillTint="33"/>
            <w:vAlign w:val="center"/>
          </w:tcPr>
          <w:p w14:paraId="252165E2"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108</w:t>
            </w:r>
          </w:p>
        </w:tc>
        <w:tc>
          <w:tcPr>
            <w:tcW w:w="766" w:type="dxa"/>
            <w:tcBorders>
              <w:top w:val="single" w:sz="4" w:space="0" w:color="0079C1"/>
              <w:bottom w:val="single" w:sz="4" w:space="0" w:color="0079C1" w:themeColor="text2"/>
              <w:right w:val="single" w:sz="4" w:space="0" w:color="0079C1"/>
            </w:tcBorders>
            <w:shd w:val="clear" w:color="auto" w:fill="E2F4FF" w:themeFill="accent1" w:themeFillTint="33"/>
            <w:vAlign w:val="center"/>
          </w:tcPr>
          <w:p w14:paraId="0D4E5743"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100%</w:t>
            </w:r>
          </w:p>
        </w:tc>
        <w:tc>
          <w:tcPr>
            <w:tcW w:w="765" w:type="dxa"/>
            <w:tcBorders>
              <w:top w:val="single" w:sz="4" w:space="0" w:color="0079C1"/>
              <w:left w:val="single" w:sz="4" w:space="0" w:color="0079C1"/>
              <w:bottom w:val="single" w:sz="4" w:space="0" w:color="0079C1" w:themeColor="text2"/>
            </w:tcBorders>
            <w:shd w:val="clear" w:color="auto" w:fill="E2F4FF" w:themeFill="accent1" w:themeFillTint="33"/>
            <w:vAlign w:val="center"/>
          </w:tcPr>
          <w:p w14:paraId="117655BF" w14:textId="77777777" w:rsidR="00EA0E41" w:rsidRPr="00E61AC8" w:rsidRDefault="00EA0E41" w:rsidP="00E61AC8">
            <w:pPr>
              <w:tabs>
                <w:tab w:val="left" w:pos="318"/>
              </w:tabs>
              <w:spacing w:before="60" w:after="60"/>
              <w:jc w:val="center"/>
              <w:rPr>
                <w:rStyle w:val="Strong"/>
                <w:rFonts w:asciiTheme="minorHAnsi" w:hAnsiTheme="minorHAnsi"/>
                <w:b w:val="0"/>
                <w:sz w:val="20"/>
                <w:szCs w:val="20"/>
              </w:rPr>
            </w:pPr>
            <w:r w:rsidRPr="00E61AC8">
              <w:rPr>
                <w:b/>
                <w:sz w:val="20"/>
                <w:szCs w:val="20"/>
              </w:rPr>
              <w:t>19</w:t>
            </w:r>
          </w:p>
        </w:tc>
        <w:tc>
          <w:tcPr>
            <w:tcW w:w="766" w:type="dxa"/>
            <w:tcBorders>
              <w:top w:val="single" w:sz="4" w:space="0" w:color="0079C1"/>
              <w:bottom w:val="single" w:sz="4" w:space="0" w:color="0079C1" w:themeColor="text2"/>
              <w:right w:val="single" w:sz="4" w:space="0" w:color="0079C1"/>
            </w:tcBorders>
            <w:shd w:val="clear" w:color="auto" w:fill="E2F4FF" w:themeFill="accent1" w:themeFillTint="33"/>
            <w:vAlign w:val="center"/>
          </w:tcPr>
          <w:p w14:paraId="03C440E7" w14:textId="77777777" w:rsidR="00EA0E41" w:rsidRPr="00E61AC8" w:rsidRDefault="00EA0E41" w:rsidP="00E61AC8">
            <w:pPr>
              <w:tabs>
                <w:tab w:val="left" w:pos="318"/>
              </w:tabs>
              <w:spacing w:before="60" w:after="60"/>
              <w:jc w:val="center"/>
              <w:rPr>
                <w:rStyle w:val="Strong"/>
                <w:rFonts w:asciiTheme="minorHAnsi" w:hAnsiTheme="minorHAnsi"/>
                <w:b w:val="0"/>
                <w:sz w:val="20"/>
                <w:szCs w:val="20"/>
              </w:rPr>
            </w:pPr>
            <w:r w:rsidRPr="00E61AC8">
              <w:rPr>
                <w:b/>
                <w:sz w:val="20"/>
                <w:szCs w:val="20"/>
              </w:rPr>
              <w:t>100%</w:t>
            </w:r>
          </w:p>
        </w:tc>
        <w:tc>
          <w:tcPr>
            <w:tcW w:w="766" w:type="dxa"/>
            <w:tcBorders>
              <w:top w:val="single" w:sz="4" w:space="0" w:color="0079C1"/>
              <w:left w:val="single" w:sz="4" w:space="0" w:color="0079C1"/>
              <w:bottom w:val="single" w:sz="4" w:space="0" w:color="0079C1" w:themeColor="text2"/>
            </w:tcBorders>
            <w:shd w:val="clear" w:color="auto" w:fill="E2F4FF" w:themeFill="accent1" w:themeFillTint="33"/>
            <w:vAlign w:val="center"/>
          </w:tcPr>
          <w:p w14:paraId="1AFAA075"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73</w:t>
            </w:r>
          </w:p>
        </w:tc>
        <w:tc>
          <w:tcPr>
            <w:tcW w:w="766" w:type="dxa"/>
            <w:tcBorders>
              <w:top w:val="single" w:sz="4" w:space="0" w:color="0079C1"/>
              <w:bottom w:val="single" w:sz="4" w:space="0" w:color="0079C1" w:themeColor="text2"/>
              <w:right w:val="single" w:sz="4" w:space="0" w:color="0079C1"/>
            </w:tcBorders>
            <w:shd w:val="clear" w:color="auto" w:fill="E2F4FF" w:themeFill="accent1" w:themeFillTint="33"/>
            <w:vAlign w:val="center"/>
          </w:tcPr>
          <w:p w14:paraId="1BEA675F"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100%</w:t>
            </w:r>
          </w:p>
        </w:tc>
        <w:tc>
          <w:tcPr>
            <w:tcW w:w="653" w:type="dxa"/>
            <w:tcBorders>
              <w:top w:val="single" w:sz="4" w:space="0" w:color="0079C1"/>
              <w:left w:val="single" w:sz="4" w:space="0" w:color="0079C1"/>
              <w:bottom w:val="single" w:sz="4" w:space="0" w:color="0079C1" w:themeColor="text2"/>
            </w:tcBorders>
            <w:shd w:val="clear" w:color="auto" w:fill="E2F4FF" w:themeFill="accent1" w:themeFillTint="33"/>
            <w:vAlign w:val="center"/>
          </w:tcPr>
          <w:p w14:paraId="0A8C6A34"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20</w:t>
            </w:r>
          </w:p>
        </w:tc>
        <w:tc>
          <w:tcPr>
            <w:tcW w:w="850" w:type="dxa"/>
            <w:tcBorders>
              <w:top w:val="single" w:sz="4" w:space="0" w:color="0079C1"/>
              <w:bottom w:val="single" w:sz="4" w:space="0" w:color="0079C1" w:themeColor="text2"/>
              <w:right w:val="single" w:sz="4" w:space="0" w:color="0079C1"/>
            </w:tcBorders>
            <w:shd w:val="clear" w:color="auto" w:fill="E2F4FF" w:themeFill="accent1" w:themeFillTint="33"/>
            <w:vAlign w:val="center"/>
          </w:tcPr>
          <w:p w14:paraId="47D2F354"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100%</w:t>
            </w:r>
          </w:p>
        </w:tc>
        <w:tc>
          <w:tcPr>
            <w:tcW w:w="567" w:type="dxa"/>
            <w:tcBorders>
              <w:top w:val="single" w:sz="4" w:space="0" w:color="0079C1"/>
              <w:left w:val="single" w:sz="4" w:space="0" w:color="0079C1"/>
              <w:bottom w:val="single" w:sz="4" w:space="0" w:color="0079C1" w:themeColor="text2"/>
            </w:tcBorders>
            <w:shd w:val="clear" w:color="auto" w:fill="E2F4FF" w:themeFill="accent1" w:themeFillTint="33"/>
            <w:vAlign w:val="center"/>
          </w:tcPr>
          <w:p w14:paraId="02CDBE54"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220</w:t>
            </w:r>
          </w:p>
        </w:tc>
        <w:tc>
          <w:tcPr>
            <w:tcW w:w="993" w:type="dxa"/>
            <w:tcBorders>
              <w:top w:val="single" w:sz="4" w:space="0" w:color="0079C1"/>
              <w:bottom w:val="single" w:sz="4" w:space="0" w:color="0079C1" w:themeColor="text2"/>
            </w:tcBorders>
            <w:shd w:val="clear" w:color="auto" w:fill="E2F4FF" w:themeFill="accent1" w:themeFillTint="33"/>
            <w:vAlign w:val="center"/>
          </w:tcPr>
          <w:p w14:paraId="2A0B43B4" w14:textId="77777777" w:rsidR="00EA0E41" w:rsidRPr="00E61AC8" w:rsidRDefault="00EA0E41" w:rsidP="00E61AC8">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100.0%</w:t>
            </w:r>
          </w:p>
        </w:tc>
      </w:tr>
    </w:tbl>
    <w:p w14:paraId="322B223D" w14:textId="500BF88C" w:rsidR="00EA0E41" w:rsidRPr="00EA0E41" w:rsidRDefault="00EA0E41" w:rsidP="00EA0E41">
      <w:pPr>
        <w:spacing w:before="240" w:after="240" w:line="264" w:lineRule="auto"/>
      </w:pPr>
      <w:r w:rsidRPr="00EA0E41">
        <w:t>Qualifying for the program was listed by almost a quarter of all respondents (24.1%, 53/220) as being the main reason for their country choice</w:t>
      </w:r>
      <w:r w:rsidR="00FD2FAD">
        <w:t xml:space="preserve"> (</w:t>
      </w:r>
      <w:r w:rsidR="00FD2FAD">
        <w:rPr>
          <w:i/>
        </w:rPr>
        <w:t>Table B-6</w:t>
      </w:r>
      <w:r w:rsidR="00FD2FAD">
        <w:t>)</w:t>
      </w:r>
      <w:r w:rsidRPr="00EA0E41">
        <w:t xml:space="preserve">.  This was particularly true for those wanting to adopt for the first time and ranked second among those who were post-adoption.  However, for the post-adoption group, liking the culture ranked first as the highest-ranked reason for their county choice.  </w:t>
      </w:r>
    </w:p>
    <w:p w14:paraId="3BCD529B" w14:textId="77777777" w:rsidR="00EA0E41" w:rsidRPr="00EA0E41" w:rsidRDefault="00EA0E41" w:rsidP="00EA0E41">
      <w:pPr>
        <w:spacing w:before="240" w:after="240" w:line="264" w:lineRule="auto"/>
      </w:pPr>
      <w:r w:rsidRPr="00EA0E41">
        <w:t>An analysis of responses in the ‘other category’ found that choice was motivated by:</w:t>
      </w:r>
    </w:p>
    <w:p w14:paraId="4EE6D2FC" w14:textId="77777777" w:rsidR="00EA0E41" w:rsidRPr="00EA0E41" w:rsidRDefault="00EA0E41" w:rsidP="00EA0E41">
      <w:pPr>
        <w:pStyle w:val="Bullet1"/>
      </w:pPr>
      <w:r w:rsidRPr="00EA0E41">
        <w:t>The cultural background of either the respondent and/or children they had already adopted through ICA</w:t>
      </w:r>
    </w:p>
    <w:p w14:paraId="0838DCC0" w14:textId="77777777" w:rsidR="00EA0E41" w:rsidRPr="00EA0E41" w:rsidRDefault="00EA0E41" w:rsidP="00EA0E41">
      <w:pPr>
        <w:pStyle w:val="Bullet1"/>
      </w:pPr>
      <w:r w:rsidRPr="00EA0E41">
        <w:t>Pragmatism (e.g. country was the best match for respondent in terms of respondent age, speediest allocation)</w:t>
      </w:r>
    </w:p>
    <w:p w14:paraId="08796501" w14:textId="77777777" w:rsidR="00EA0E41" w:rsidRPr="00EA0E41" w:rsidRDefault="00EA0E41" w:rsidP="00EA0E41">
      <w:pPr>
        <w:pStyle w:val="Bullet1"/>
      </w:pPr>
      <w:r w:rsidRPr="00EA0E41">
        <w:lastRenderedPageBreak/>
        <w:t>Connections with the country (e.g. extended family living there, connections through church or other organisations)</w:t>
      </w:r>
    </w:p>
    <w:p w14:paraId="34249422" w14:textId="77777777" w:rsidR="00EA0E41" w:rsidRPr="00EA0E41" w:rsidRDefault="00EA0E41" w:rsidP="00EA0E41">
      <w:pPr>
        <w:pStyle w:val="Bullet1"/>
      </w:pPr>
      <w:r w:rsidRPr="00EA0E41">
        <w:t>Altruism (e.g. because of poverty in the country).</w:t>
      </w:r>
    </w:p>
    <w:p w14:paraId="68A8DF80" w14:textId="0E0EB0B5" w:rsidR="0084213E" w:rsidRPr="0084213E" w:rsidRDefault="0084213E" w:rsidP="0084213E">
      <w:pPr>
        <w:pStyle w:val="Caption"/>
      </w:pPr>
      <w:bookmarkStart w:id="201" w:name="_Hlk490033142"/>
      <w:r>
        <w:t xml:space="preserve">Table </w:t>
      </w:r>
      <w:r>
        <w:fldChar w:fldCharType="begin"/>
      </w:r>
      <w:r>
        <w:instrText xml:space="preserve"> STYLEREF 7 \s </w:instrText>
      </w:r>
      <w:r>
        <w:fldChar w:fldCharType="separate"/>
      </w:r>
      <w:r w:rsidR="00487073">
        <w:rPr>
          <w:noProof/>
        </w:rPr>
        <w:t>C</w:t>
      </w:r>
      <w:r>
        <w:fldChar w:fldCharType="end"/>
      </w:r>
      <w:r>
        <w:noBreakHyphen/>
      </w:r>
      <w:r>
        <w:fldChar w:fldCharType="begin"/>
      </w:r>
      <w:r>
        <w:instrText xml:space="preserve"> SEQ Table_Apx \* ARABIC \s 7 </w:instrText>
      </w:r>
      <w:r>
        <w:fldChar w:fldCharType="separate"/>
      </w:r>
      <w:r w:rsidR="00487073">
        <w:rPr>
          <w:noProof/>
        </w:rPr>
        <w:t>6</w:t>
      </w:r>
      <w:r>
        <w:fldChar w:fldCharType="end"/>
      </w:r>
      <w:r>
        <w:t>:</w:t>
      </w:r>
      <w:r>
        <w:tab/>
        <w:t>M</w:t>
      </w:r>
      <w:r w:rsidRPr="00994FF6">
        <w:t xml:space="preserve">ain </w:t>
      </w:r>
      <w:r>
        <w:t xml:space="preserve">reason for </w:t>
      </w:r>
      <w:r w:rsidRPr="00994FF6">
        <w:t xml:space="preserve">country </w:t>
      </w:r>
      <w:r>
        <w:t>choice</w:t>
      </w:r>
    </w:p>
    <w:tbl>
      <w:tblPr>
        <w:tblStyle w:val="TableGrid"/>
        <w:tblW w:w="9673" w:type="dxa"/>
        <w:tblInd w:w="108"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Description w:val="Table C 6: Main reason for country choice"/>
      </w:tblPr>
      <w:tblGrid>
        <w:gridCol w:w="2019"/>
        <w:gridCol w:w="675"/>
        <w:gridCol w:w="850"/>
        <w:gridCol w:w="593"/>
        <w:gridCol w:w="858"/>
        <w:gridCol w:w="674"/>
        <w:gridCol w:w="886"/>
        <w:gridCol w:w="645"/>
        <w:gridCol w:w="914"/>
        <w:gridCol w:w="617"/>
        <w:gridCol w:w="942"/>
      </w:tblGrid>
      <w:tr w:rsidR="00655E7B" w:rsidRPr="00E61AC8" w14:paraId="7B6FBB12" w14:textId="77777777" w:rsidTr="008E7495">
        <w:trPr>
          <w:trHeight w:val="658"/>
          <w:tblHeader/>
        </w:trPr>
        <w:tc>
          <w:tcPr>
            <w:tcW w:w="2019" w:type="dxa"/>
            <w:vMerge w:val="restart"/>
            <w:tcBorders>
              <w:top w:val="single" w:sz="4" w:space="0" w:color="BFE7FF" w:themeColor="text2" w:themeTint="33"/>
            </w:tcBorders>
            <w:shd w:val="clear" w:color="auto" w:fill="0079C1" w:themeFill="text2"/>
            <w:vAlign w:val="center"/>
          </w:tcPr>
          <w:p w14:paraId="33597DB2" w14:textId="77777777" w:rsidR="00655E7B" w:rsidRPr="00E61AC8" w:rsidRDefault="00655E7B" w:rsidP="004B28FE">
            <w:pPr>
              <w:keepLines/>
              <w:tabs>
                <w:tab w:val="left" w:pos="318"/>
              </w:tabs>
              <w:spacing w:before="120" w:after="120"/>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Main reason for country choice</w:t>
            </w:r>
          </w:p>
        </w:tc>
        <w:tc>
          <w:tcPr>
            <w:tcW w:w="2976" w:type="dxa"/>
            <w:gridSpan w:val="4"/>
            <w:tcBorders>
              <w:top w:val="single" w:sz="4" w:space="0" w:color="BFE7FF" w:themeColor="text2" w:themeTint="33"/>
              <w:bottom w:val="single" w:sz="4" w:space="0" w:color="BFE7FF" w:themeColor="text2" w:themeTint="33"/>
            </w:tcBorders>
            <w:shd w:val="clear" w:color="auto" w:fill="0079C1" w:themeFill="text2"/>
          </w:tcPr>
          <w:p w14:paraId="0B37F67A"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Wanting to adopt</w:t>
            </w:r>
          </w:p>
        </w:tc>
        <w:tc>
          <w:tcPr>
            <w:tcW w:w="1560" w:type="dxa"/>
            <w:gridSpan w:val="2"/>
            <w:vMerge w:val="restart"/>
            <w:tcBorders>
              <w:top w:val="single" w:sz="4" w:space="0" w:color="BFE7FF" w:themeColor="text2" w:themeTint="33"/>
            </w:tcBorders>
            <w:shd w:val="clear" w:color="auto" w:fill="0079C1" w:themeFill="text2"/>
            <w:vAlign w:val="center"/>
          </w:tcPr>
          <w:p w14:paraId="7CF74D81"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Post adoption</w:t>
            </w:r>
          </w:p>
        </w:tc>
        <w:tc>
          <w:tcPr>
            <w:tcW w:w="1559" w:type="dxa"/>
            <w:gridSpan w:val="2"/>
            <w:vMerge w:val="restart"/>
            <w:tcBorders>
              <w:top w:val="single" w:sz="4" w:space="0" w:color="BFE7FF" w:themeColor="text2" w:themeTint="33"/>
            </w:tcBorders>
            <w:shd w:val="clear" w:color="auto" w:fill="0079C1" w:themeFill="text2"/>
            <w:vAlign w:val="center"/>
          </w:tcPr>
          <w:p w14:paraId="36654DFE"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Did not continue</w:t>
            </w:r>
          </w:p>
        </w:tc>
        <w:tc>
          <w:tcPr>
            <w:tcW w:w="1559" w:type="dxa"/>
            <w:gridSpan w:val="2"/>
            <w:vMerge w:val="restart"/>
            <w:tcBorders>
              <w:top w:val="single" w:sz="4" w:space="0" w:color="BFE7FF" w:themeColor="text2" w:themeTint="33"/>
            </w:tcBorders>
            <w:shd w:val="clear" w:color="auto" w:fill="0079C1" w:themeFill="text2"/>
            <w:vAlign w:val="center"/>
          </w:tcPr>
          <w:p w14:paraId="676DD420"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Total</w:t>
            </w:r>
          </w:p>
        </w:tc>
      </w:tr>
      <w:tr w:rsidR="00655E7B" w:rsidRPr="00E61AC8" w14:paraId="69AECD01" w14:textId="77777777" w:rsidTr="008E7495">
        <w:trPr>
          <w:trHeight w:val="454"/>
          <w:tblHeader/>
        </w:trPr>
        <w:tc>
          <w:tcPr>
            <w:tcW w:w="2019" w:type="dxa"/>
            <w:vMerge/>
            <w:shd w:val="clear" w:color="auto" w:fill="0079C1" w:themeFill="text2"/>
            <w:vAlign w:val="center"/>
          </w:tcPr>
          <w:p w14:paraId="08688D84" w14:textId="77777777" w:rsidR="00655E7B" w:rsidRPr="00E61AC8" w:rsidRDefault="00655E7B" w:rsidP="004B28FE">
            <w:pPr>
              <w:keepLines/>
              <w:tabs>
                <w:tab w:val="left" w:pos="318"/>
              </w:tabs>
              <w:spacing w:before="120" w:after="120"/>
              <w:rPr>
                <w:rFonts w:eastAsiaTheme="minorHAnsi" w:cs="Calibri"/>
                <w:b/>
                <w:color w:val="FFFFFF" w:themeColor="background1"/>
                <w:sz w:val="20"/>
                <w:szCs w:val="20"/>
                <w:lang w:eastAsia="en-AU"/>
              </w:rPr>
            </w:pPr>
          </w:p>
        </w:tc>
        <w:tc>
          <w:tcPr>
            <w:tcW w:w="1525" w:type="dxa"/>
            <w:gridSpan w:val="2"/>
            <w:tcBorders>
              <w:top w:val="nil"/>
              <w:bottom w:val="single" w:sz="4" w:space="0" w:color="BFE7FF" w:themeColor="text2" w:themeTint="33"/>
            </w:tcBorders>
            <w:shd w:val="clear" w:color="auto" w:fill="0079C1" w:themeFill="text2"/>
          </w:tcPr>
          <w:p w14:paraId="2E09AAB1"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First time</w:t>
            </w:r>
          </w:p>
        </w:tc>
        <w:tc>
          <w:tcPr>
            <w:tcW w:w="1451" w:type="dxa"/>
            <w:gridSpan w:val="2"/>
            <w:tcBorders>
              <w:top w:val="nil"/>
              <w:bottom w:val="single" w:sz="4" w:space="0" w:color="BFE7FF" w:themeColor="text2" w:themeTint="33"/>
            </w:tcBorders>
            <w:shd w:val="clear" w:color="auto" w:fill="0079C1" w:themeFill="text2"/>
          </w:tcPr>
          <w:p w14:paraId="43E60272"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Repeat</w:t>
            </w:r>
          </w:p>
        </w:tc>
        <w:tc>
          <w:tcPr>
            <w:tcW w:w="1560" w:type="dxa"/>
            <w:gridSpan w:val="2"/>
            <w:vMerge/>
            <w:tcBorders>
              <w:bottom w:val="single" w:sz="4" w:space="0" w:color="BFE7FF" w:themeColor="text2" w:themeTint="33"/>
            </w:tcBorders>
            <w:shd w:val="clear" w:color="auto" w:fill="0079C1" w:themeFill="text2"/>
          </w:tcPr>
          <w:p w14:paraId="69F8A774"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p>
        </w:tc>
        <w:tc>
          <w:tcPr>
            <w:tcW w:w="1559" w:type="dxa"/>
            <w:gridSpan w:val="2"/>
            <w:vMerge/>
            <w:tcBorders>
              <w:bottom w:val="single" w:sz="4" w:space="0" w:color="BFE7FF" w:themeColor="text2" w:themeTint="33"/>
            </w:tcBorders>
            <w:shd w:val="clear" w:color="auto" w:fill="0079C1" w:themeFill="text2"/>
          </w:tcPr>
          <w:p w14:paraId="033CF765"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p>
        </w:tc>
        <w:tc>
          <w:tcPr>
            <w:tcW w:w="1559" w:type="dxa"/>
            <w:gridSpan w:val="2"/>
            <w:vMerge/>
            <w:tcBorders>
              <w:bottom w:val="single" w:sz="4" w:space="0" w:color="BFE7FF" w:themeColor="text2" w:themeTint="33"/>
            </w:tcBorders>
            <w:shd w:val="clear" w:color="auto" w:fill="0079C1" w:themeFill="text2"/>
          </w:tcPr>
          <w:p w14:paraId="54EB8088"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p>
        </w:tc>
      </w:tr>
      <w:tr w:rsidR="00655E7B" w:rsidRPr="00E61AC8" w14:paraId="724A15D5" w14:textId="77777777" w:rsidTr="008E7495">
        <w:trPr>
          <w:tblHeader/>
        </w:trPr>
        <w:tc>
          <w:tcPr>
            <w:tcW w:w="2019" w:type="dxa"/>
            <w:vMerge/>
          </w:tcPr>
          <w:p w14:paraId="71FB89E9" w14:textId="77777777" w:rsidR="00655E7B" w:rsidRPr="00E61AC8" w:rsidRDefault="00655E7B" w:rsidP="004B28FE">
            <w:pPr>
              <w:tabs>
                <w:tab w:val="left" w:pos="318"/>
              </w:tabs>
              <w:spacing w:before="60" w:after="60"/>
              <w:rPr>
                <w:rFonts w:cs="Arial"/>
                <w:color w:val="333333"/>
                <w:sz w:val="20"/>
                <w:szCs w:val="20"/>
              </w:rPr>
            </w:pPr>
          </w:p>
        </w:tc>
        <w:tc>
          <w:tcPr>
            <w:tcW w:w="675" w:type="dxa"/>
            <w:tcBorders>
              <w:top w:val="single" w:sz="4" w:space="0" w:color="BFE7FF" w:themeColor="text2" w:themeTint="33"/>
            </w:tcBorders>
            <w:shd w:val="clear" w:color="auto" w:fill="0079C1" w:themeFill="text2"/>
          </w:tcPr>
          <w:p w14:paraId="59E694B9"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n</w:t>
            </w:r>
          </w:p>
        </w:tc>
        <w:tc>
          <w:tcPr>
            <w:tcW w:w="850" w:type="dxa"/>
            <w:tcBorders>
              <w:top w:val="single" w:sz="4" w:space="0" w:color="BFE7FF" w:themeColor="text2" w:themeTint="33"/>
            </w:tcBorders>
            <w:shd w:val="clear" w:color="auto" w:fill="0079C1" w:themeFill="text2"/>
          </w:tcPr>
          <w:p w14:paraId="7DE45864"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w:t>
            </w:r>
          </w:p>
        </w:tc>
        <w:tc>
          <w:tcPr>
            <w:tcW w:w="593" w:type="dxa"/>
            <w:tcBorders>
              <w:top w:val="single" w:sz="4" w:space="0" w:color="BFE7FF" w:themeColor="text2" w:themeTint="33"/>
            </w:tcBorders>
            <w:shd w:val="clear" w:color="auto" w:fill="0079C1" w:themeFill="text2"/>
          </w:tcPr>
          <w:p w14:paraId="3C1FF6B4"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n</w:t>
            </w:r>
          </w:p>
        </w:tc>
        <w:tc>
          <w:tcPr>
            <w:tcW w:w="858" w:type="dxa"/>
            <w:tcBorders>
              <w:top w:val="single" w:sz="4" w:space="0" w:color="BFE7FF" w:themeColor="text2" w:themeTint="33"/>
            </w:tcBorders>
            <w:shd w:val="clear" w:color="auto" w:fill="0079C1" w:themeFill="text2"/>
          </w:tcPr>
          <w:p w14:paraId="31483354"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w:t>
            </w:r>
          </w:p>
        </w:tc>
        <w:tc>
          <w:tcPr>
            <w:tcW w:w="674" w:type="dxa"/>
            <w:tcBorders>
              <w:top w:val="single" w:sz="4" w:space="0" w:color="BFE7FF" w:themeColor="text2" w:themeTint="33"/>
            </w:tcBorders>
            <w:shd w:val="clear" w:color="auto" w:fill="0079C1" w:themeFill="text2"/>
          </w:tcPr>
          <w:p w14:paraId="39E5F27C"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n</w:t>
            </w:r>
          </w:p>
        </w:tc>
        <w:tc>
          <w:tcPr>
            <w:tcW w:w="886" w:type="dxa"/>
            <w:tcBorders>
              <w:top w:val="single" w:sz="4" w:space="0" w:color="BFE7FF" w:themeColor="text2" w:themeTint="33"/>
            </w:tcBorders>
            <w:shd w:val="clear" w:color="auto" w:fill="0079C1" w:themeFill="text2"/>
          </w:tcPr>
          <w:p w14:paraId="45945823"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w:t>
            </w:r>
          </w:p>
        </w:tc>
        <w:tc>
          <w:tcPr>
            <w:tcW w:w="645" w:type="dxa"/>
            <w:tcBorders>
              <w:top w:val="single" w:sz="4" w:space="0" w:color="BFE7FF" w:themeColor="text2" w:themeTint="33"/>
            </w:tcBorders>
            <w:shd w:val="clear" w:color="auto" w:fill="0079C1" w:themeFill="text2"/>
          </w:tcPr>
          <w:p w14:paraId="67060F6E"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n</w:t>
            </w:r>
          </w:p>
        </w:tc>
        <w:tc>
          <w:tcPr>
            <w:tcW w:w="914" w:type="dxa"/>
            <w:tcBorders>
              <w:top w:val="single" w:sz="4" w:space="0" w:color="BFE7FF" w:themeColor="text2" w:themeTint="33"/>
            </w:tcBorders>
            <w:shd w:val="clear" w:color="auto" w:fill="0079C1" w:themeFill="text2"/>
          </w:tcPr>
          <w:p w14:paraId="6E8ACB32"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w:t>
            </w:r>
          </w:p>
        </w:tc>
        <w:tc>
          <w:tcPr>
            <w:tcW w:w="617" w:type="dxa"/>
            <w:tcBorders>
              <w:top w:val="single" w:sz="4" w:space="0" w:color="BFE7FF" w:themeColor="text2" w:themeTint="33"/>
              <w:bottom w:val="nil"/>
            </w:tcBorders>
            <w:shd w:val="clear" w:color="auto" w:fill="0079C1" w:themeFill="text2"/>
          </w:tcPr>
          <w:p w14:paraId="5DA22E01"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n</w:t>
            </w:r>
          </w:p>
        </w:tc>
        <w:tc>
          <w:tcPr>
            <w:tcW w:w="942" w:type="dxa"/>
            <w:tcBorders>
              <w:top w:val="single" w:sz="4" w:space="0" w:color="BFE7FF" w:themeColor="text2" w:themeTint="33"/>
              <w:bottom w:val="nil"/>
            </w:tcBorders>
            <w:shd w:val="clear" w:color="auto" w:fill="0079C1" w:themeFill="text2"/>
          </w:tcPr>
          <w:p w14:paraId="31CBCB7C"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w:t>
            </w:r>
          </w:p>
        </w:tc>
      </w:tr>
      <w:tr w:rsidR="00655E7B" w:rsidRPr="00E61AC8" w14:paraId="664D3E7F" w14:textId="77777777" w:rsidTr="00E61AC8">
        <w:tc>
          <w:tcPr>
            <w:tcW w:w="2019" w:type="dxa"/>
            <w:tcBorders>
              <w:top w:val="single" w:sz="4" w:space="0" w:color="0079C1" w:themeColor="text2"/>
              <w:right w:val="single" w:sz="4" w:space="0" w:color="0079C1"/>
            </w:tcBorders>
          </w:tcPr>
          <w:p w14:paraId="1F3478A7" w14:textId="77777777" w:rsidR="00655E7B" w:rsidRPr="00E61AC8" w:rsidRDefault="00655E7B" w:rsidP="004B28FE">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sz w:val="20"/>
                <w:szCs w:val="20"/>
              </w:rPr>
              <w:t>I like the culture of the country</w:t>
            </w:r>
          </w:p>
        </w:tc>
        <w:tc>
          <w:tcPr>
            <w:tcW w:w="675" w:type="dxa"/>
            <w:tcBorders>
              <w:top w:val="single" w:sz="4" w:space="0" w:color="0079C1" w:themeColor="text2"/>
              <w:left w:val="single" w:sz="4" w:space="0" w:color="0079C1"/>
            </w:tcBorders>
            <w:vAlign w:val="center"/>
          </w:tcPr>
          <w:p w14:paraId="3B056447"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7</w:t>
            </w:r>
          </w:p>
        </w:tc>
        <w:tc>
          <w:tcPr>
            <w:tcW w:w="850" w:type="dxa"/>
            <w:tcBorders>
              <w:top w:val="single" w:sz="4" w:space="0" w:color="0079C1" w:themeColor="text2"/>
              <w:right w:val="single" w:sz="4" w:space="0" w:color="0079C1"/>
            </w:tcBorders>
            <w:vAlign w:val="center"/>
          </w:tcPr>
          <w:p w14:paraId="58E4C7D1"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6.5%</w:t>
            </w:r>
          </w:p>
        </w:tc>
        <w:tc>
          <w:tcPr>
            <w:tcW w:w="593" w:type="dxa"/>
            <w:tcBorders>
              <w:top w:val="single" w:sz="4" w:space="0" w:color="0079C1" w:themeColor="text2"/>
              <w:left w:val="single" w:sz="4" w:space="0" w:color="0079C1"/>
            </w:tcBorders>
            <w:vAlign w:val="center"/>
          </w:tcPr>
          <w:p w14:paraId="5BD27677"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3</w:t>
            </w:r>
          </w:p>
        </w:tc>
        <w:tc>
          <w:tcPr>
            <w:tcW w:w="858" w:type="dxa"/>
            <w:tcBorders>
              <w:top w:val="single" w:sz="4" w:space="0" w:color="0079C1" w:themeColor="text2"/>
              <w:right w:val="single" w:sz="4" w:space="0" w:color="0079C1"/>
            </w:tcBorders>
            <w:vAlign w:val="center"/>
          </w:tcPr>
          <w:p w14:paraId="34178F65"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15.8%</w:t>
            </w:r>
          </w:p>
        </w:tc>
        <w:tc>
          <w:tcPr>
            <w:tcW w:w="674" w:type="dxa"/>
            <w:tcBorders>
              <w:top w:val="single" w:sz="4" w:space="0" w:color="0079C1" w:themeColor="text2"/>
              <w:left w:val="single" w:sz="4" w:space="0" w:color="0079C1"/>
            </w:tcBorders>
            <w:vAlign w:val="center"/>
          </w:tcPr>
          <w:p w14:paraId="06E4D935"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21</w:t>
            </w:r>
          </w:p>
        </w:tc>
        <w:tc>
          <w:tcPr>
            <w:tcW w:w="886" w:type="dxa"/>
            <w:tcBorders>
              <w:top w:val="nil"/>
              <w:right w:val="single" w:sz="4" w:space="0" w:color="0079C1"/>
            </w:tcBorders>
            <w:vAlign w:val="center"/>
          </w:tcPr>
          <w:p w14:paraId="146D6C9F"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28.8%</w:t>
            </w:r>
          </w:p>
        </w:tc>
        <w:tc>
          <w:tcPr>
            <w:tcW w:w="645" w:type="dxa"/>
            <w:tcBorders>
              <w:top w:val="nil"/>
              <w:left w:val="single" w:sz="4" w:space="0" w:color="0079C1"/>
            </w:tcBorders>
            <w:vAlign w:val="center"/>
          </w:tcPr>
          <w:p w14:paraId="44ECC33D"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2</w:t>
            </w:r>
          </w:p>
        </w:tc>
        <w:tc>
          <w:tcPr>
            <w:tcW w:w="914" w:type="dxa"/>
            <w:tcBorders>
              <w:top w:val="nil"/>
              <w:right w:val="single" w:sz="4" w:space="0" w:color="0079C1"/>
            </w:tcBorders>
            <w:vAlign w:val="center"/>
          </w:tcPr>
          <w:p w14:paraId="4A0ACCD5"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10.0%</w:t>
            </w:r>
          </w:p>
        </w:tc>
        <w:tc>
          <w:tcPr>
            <w:tcW w:w="617" w:type="dxa"/>
            <w:tcBorders>
              <w:top w:val="nil"/>
              <w:left w:val="single" w:sz="4" w:space="0" w:color="0079C1"/>
            </w:tcBorders>
            <w:vAlign w:val="center"/>
          </w:tcPr>
          <w:p w14:paraId="1B60E0C5"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Fonts w:asciiTheme="minorHAnsi" w:hAnsiTheme="minorHAnsi"/>
                <w:sz w:val="20"/>
                <w:szCs w:val="20"/>
              </w:rPr>
              <w:t>33</w:t>
            </w:r>
          </w:p>
        </w:tc>
        <w:tc>
          <w:tcPr>
            <w:tcW w:w="942" w:type="dxa"/>
            <w:tcBorders>
              <w:top w:val="nil"/>
            </w:tcBorders>
            <w:vAlign w:val="center"/>
          </w:tcPr>
          <w:p w14:paraId="6E9BB3CA" w14:textId="5186D02F" w:rsidR="00655E7B" w:rsidRPr="00E61AC8" w:rsidRDefault="001B7DC3" w:rsidP="004B28FE">
            <w:pPr>
              <w:tabs>
                <w:tab w:val="left" w:pos="318"/>
              </w:tabs>
              <w:spacing w:before="60" w:after="60"/>
              <w:jc w:val="center"/>
              <w:rPr>
                <w:rStyle w:val="Strong"/>
                <w:rFonts w:asciiTheme="minorHAnsi" w:hAnsiTheme="minorHAnsi"/>
                <w:sz w:val="20"/>
                <w:szCs w:val="20"/>
              </w:rPr>
            </w:pPr>
            <w:r w:rsidRPr="00E61AC8">
              <w:rPr>
                <w:rFonts w:asciiTheme="minorHAnsi" w:hAnsiTheme="minorHAnsi"/>
                <w:sz w:val="20"/>
                <w:szCs w:val="20"/>
              </w:rPr>
              <w:t>15.0</w:t>
            </w:r>
            <w:r w:rsidR="00655E7B" w:rsidRPr="00E61AC8">
              <w:rPr>
                <w:rFonts w:asciiTheme="minorHAnsi" w:hAnsiTheme="minorHAnsi"/>
                <w:sz w:val="20"/>
                <w:szCs w:val="20"/>
              </w:rPr>
              <w:t>%</w:t>
            </w:r>
          </w:p>
        </w:tc>
      </w:tr>
      <w:tr w:rsidR="00655E7B" w:rsidRPr="00E61AC8" w14:paraId="47CCB84A" w14:textId="77777777" w:rsidTr="00E61AC8">
        <w:tc>
          <w:tcPr>
            <w:tcW w:w="2019" w:type="dxa"/>
            <w:tcBorders>
              <w:right w:val="single" w:sz="4" w:space="0" w:color="0079C1"/>
            </w:tcBorders>
          </w:tcPr>
          <w:p w14:paraId="3C63808E" w14:textId="77777777" w:rsidR="00655E7B" w:rsidRPr="00E61AC8" w:rsidRDefault="00655E7B" w:rsidP="004B28FE">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sz w:val="20"/>
                <w:szCs w:val="20"/>
              </w:rPr>
              <w:t>I qualify for the program</w:t>
            </w:r>
          </w:p>
        </w:tc>
        <w:tc>
          <w:tcPr>
            <w:tcW w:w="675" w:type="dxa"/>
            <w:tcBorders>
              <w:left w:val="single" w:sz="4" w:space="0" w:color="0079C1"/>
            </w:tcBorders>
            <w:vAlign w:val="center"/>
          </w:tcPr>
          <w:p w14:paraId="50478913"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25</w:t>
            </w:r>
          </w:p>
        </w:tc>
        <w:tc>
          <w:tcPr>
            <w:tcW w:w="850" w:type="dxa"/>
            <w:tcBorders>
              <w:right w:val="single" w:sz="4" w:space="0" w:color="0079C1"/>
            </w:tcBorders>
            <w:vAlign w:val="center"/>
          </w:tcPr>
          <w:p w14:paraId="63626E4C"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23.1%</w:t>
            </w:r>
          </w:p>
        </w:tc>
        <w:tc>
          <w:tcPr>
            <w:tcW w:w="593" w:type="dxa"/>
            <w:tcBorders>
              <w:left w:val="single" w:sz="4" w:space="0" w:color="0079C1"/>
            </w:tcBorders>
            <w:vAlign w:val="center"/>
          </w:tcPr>
          <w:p w14:paraId="522E55FD"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3</w:t>
            </w:r>
          </w:p>
        </w:tc>
        <w:tc>
          <w:tcPr>
            <w:tcW w:w="858" w:type="dxa"/>
            <w:tcBorders>
              <w:right w:val="single" w:sz="4" w:space="0" w:color="0079C1"/>
            </w:tcBorders>
            <w:vAlign w:val="center"/>
          </w:tcPr>
          <w:p w14:paraId="56A5B8D4"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15.8%</w:t>
            </w:r>
          </w:p>
        </w:tc>
        <w:tc>
          <w:tcPr>
            <w:tcW w:w="674" w:type="dxa"/>
            <w:tcBorders>
              <w:left w:val="single" w:sz="4" w:space="0" w:color="0079C1"/>
            </w:tcBorders>
            <w:vAlign w:val="center"/>
          </w:tcPr>
          <w:p w14:paraId="2EB088C4"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19</w:t>
            </w:r>
          </w:p>
        </w:tc>
        <w:tc>
          <w:tcPr>
            <w:tcW w:w="886" w:type="dxa"/>
            <w:tcBorders>
              <w:right w:val="single" w:sz="4" w:space="0" w:color="0079C1"/>
            </w:tcBorders>
            <w:vAlign w:val="center"/>
          </w:tcPr>
          <w:p w14:paraId="457B8252"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26.0%</w:t>
            </w:r>
          </w:p>
        </w:tc>
        <w:tc>
          <w:tcPr>
            <w:tcW w:w="645" w:type="dxa"/>
            <w:tcBorders>
              <w:left w:val="single" w:sz="4" w:space="0" w:color="0079C1"/>
            </w:tcBorders>
            <w:vAlign w:val="center"/>
          </w:tcPr>
          <w:p w14:paraId="2E4369B1"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6</w:t>
            </w:r>
          </w:p>
        </w:tc>
        <w:tc>
          <w:tcPr>
            <w:tcW w:w="914" w:type="dxa"/>
            <w:tcBorders>
              <w:right w:val="single" w:sz="4" w:space="0" w:color="0079C1"/>
            </w:tcBorders>
            <w:vAlign w:val="center"/>
          </w:tcPr>
          <w:p w14:paraId="6B3A8656"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30.0%</w:t>
            </w:r>
          </w:p>
        </w:tc>
        <w:tc>
          <w:tcPr>
            <w:tcW w:w="617" w:type="dxa"/>
            <w:tcBorders>
              <w:left w:val="single" w:sz="4" w:space="0" w:color="0079C1"/>
            </w:tcBorders>
            <w:vAlign w:val="center"/>
          </w:tcPr>
          <w:p w14:paraId="3F4085AE"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Fonts w:asciiTheme="minorHAnsi" w:hAnsiTheme="minorHAnsi"/>
                <w:sz w:val="20"/>
                <w:szCs w:val="20"/>
              </w:rPr>
              <w:t>53</w:t>
            </w:r>
          </w:p>
        </w:tc>
        <w:tc>
          <w:tcPr>
            <w:tcW w:w="942" w:type="dxa"/>
            <w:vAlign w:val="center"/>
          </w:tcPr>
          <w:p w14:paraId="2955488B" w14:textId="18859DF1" w:rsidR="00655E7B" w:rsidRPr="00E61AC8" w:rsidRDefault="001B7DC3" w:rsidP="004B28FE">
            <w:pPr>
              <w:tabs>
                <w:tab w:val="left" w:pos="318"/>
              </w:tabs>
              <w:spacing w:before="60" w:after="60"/>
              <w:jc w:val="center"/>
              <w:rPr>
                <w:rStyle w:val="Strong"/>
                <w:rFonts w:asciiTheme="minorHAnsi" w:hAnsiTheme="minorHAnsi"/>
                <w:sz w:val="20"/>
                <w:szCs w:val="20"/>
              </w:rPr>
            </w:pPr>
            <w:r w:rsidRPr="00E61AC8">
              <w:rPr>
                <w:rFonts w:asciiTheme="minorHAnsi" w:hAnsiTheme="minorHAnsi"/>
                <w:sz w:val="20"/>
                <w:szCs w:val="20"/>
              </w:rPr>
              <w:t>24.1</w:t>
            </w:r>
            <w:r w:rsidR="00655E7B" w:rsidRPr="00E61AC8">
              <w:rPr>
                <w:rFonts w:asciiTheme="minorHAnsi" w:hAnsiTheme="minorHAnsi"/>
                <w:sz w:val="20"/>
                <w:szCs w:val="20"/>
              </w:rPr>
              <w:t>%</w:t>
            </w:r>
          </w:p>
        </w:tc>
      </w:tr>
      <w:tr w:rsidR="00655E7B" w:rsidRPr="00E61AC8" w14:paraId="07B13ED8" w14:textId="77777777" w:rsidTr="00E61AC8">
        <w:tc>
          <w:tcPr>
            <w:tcW w:w="2019" w:type="dxa"/>
            <w:tcBorders>
              <w:right w:val="single" w:sz="4" w:space="0" w:color="0079C1"/>
            </w:tcBorders>
          </w:tcPr>
          <w:p w14:paraId="13C6C6C7" w14:textId="77777777" w:rsidR="00655E7B" w:rsidRPr="00E61AC8" w:rsidRDefault="00655E7B" w:rsidP="004B28FE">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sz w:val="20"/>
                <w:szCs w:val="20"/>
              </w:rPr>
              <w:t>I want a child with special needs</w:t>
            </w:r>
          </w:p>
        </w:tc>
        <w:tc>
          <w:tcPr>
            <w:tcW w:w="675" w:type="dxa"/>
            <w:tcBorders>
              <w:left w:val="single" w:sz="4" w:space="0" w:color="0079C1"/>
            </w:tcBorders>
            <w:vAlign w:val="center"/>
          </w:tcPr>
          <w:p w14:paraId="4BC4763E"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4</w:t>
            </w:r>
          </w:p>
        </w:tc>
        <w:tc>
          <w:tcPr>
            <w:tcW w:w="850" w:type="dxa"/>
            <w:tcBorders>
              <w:right w:val="single" w:sz="4" w:space="0" w:color="0079C1"/>
            </w:tcBorders>
            <w:vAlign w:val="center"/>
          </w:tcPr>
          <w:p w14:paraId="4AF8F9F8"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3.7%</w:t>
            </w:r>
          </w:p>
        </w:tc>
        <w:tc>
          <w:tcPr>
            <w:tcW w:w="593" w:type="dxa"/>
            <w:tcBorders>
              <w:left w:val="single" w:sz="4" w:space="0" w:color="0079C1"/>
            </w:tcBorders>
            <w:vAlign w:val="center"/>
          </w:tcPr>
          <w:p w14:paraId="4C9A89F1"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3</w:t>
            </w:r>
          </w:p>
        </w:tc>
        <w:tc>
          <w:tcPr>
            <w:tcW w:w="858" w:type="dxa"/>
            <w:tcBorders>
              <w:right w:val="single" w:sz="4" w:space="0" w:color="0079C1"/>
            </w:tcBorders>
            <w:vAlign w:val="center"/>
          </w:tcPr>
          <w:p w14:paraId="5FAABD23"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15.8%</w:t>
            </w:r>
          </w:p>
        </w:tc>
        <w:tc>
          <w:tcPr>
            <w:tcW w:w="674" w:type="dxa"/>
            <w:tcBorders>
              <w:left w:val="single" w:sz="4" w:space="0" w:color="0079C1"/>
            </w:tcBorders>
            <w:vAlign w:val="center"/>
          </w:tcPr>
          <w:p w14:paraId="3426D8B5"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0</w:t>
            </w:r>
          </w:p>
        </w:tc>
        <w:tc>
          <w:tcPr>
            <w:tcW w:w="886" w:type="dxa"/>
            <w:tcBorders>
              <w:right w:val="single" w:sz="4" w:space="0" w:color="0079C1"/>
            </w:tcBorders>
            <w:vAlign w:val="center"/>
          </w:tcPr>
          <w:p w14:paraId="51546E4C"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0.0%</w:t>
            </w:r>
          </w:p>
        </w:tc>
        <w:tc>
          <w:tcPr>
            <w:tcW w:w="645" w:type="dxa"/>
            <w:tcBorders>
              <w:left w:val="single" w:sz="4" w:space="0" w:color="0079C1"/>
            </w:tcBorders>
            <w:vAlign w:val="center"/>
          </w:tcPr>
          <w:p w14:paraId="2F182B95"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0</w:t>
            </w:r>
          </w:p>
        </w:tc>
        <w:tc>
          <w:tcPr>
            <w:tcW w:w="914" w:type="dxa"/>
            <w:tcBorders>
              <w:right w:val="single" w:sz="4" w:space="0" w:color="0079C1"/>
            </w:tcBorders>
            <w:vAlign w:val="center"/>
          </w:tcPr>
          <w:p w14:paraId="4D4CC207"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0.0%</w:t>
            </w:r>
          </w:p>
        </w:tc>
        <w:tc>
          <w:tcPr>
            <w:tcW w:w="617" w:type="dxa"/>
            <w:tcBorders>
              <w:left w:val="single" w:sz="4" w:space="0" w:color="0079C1"/>
            </w:tcBorders>
            <w:vAlign w:val="center"/>
          </w:tcPr>
          <w:p w14:paraId="14BC6AA6"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Fonts w:asciiTheme="minorHAnsi" w:hAnsiTheme="minorHAnsi"/>
                <w:sz w:val="20"/>
                <w:szCs w:val="20"/>
              </w:rPr>
              <w:t>7</w:t>
            </w:r>
          </w:p>
        </w:tc>
        <w:tc>
          <w:tcPr>
            <w:tcW w:w="942" w:type="dxa"/>
            <w:vAlign w:val="center"/>
          </w:tcPr>
          <w:p w14:paraId="1B542F8F" w14:textId="4CC47828" w:rsidR="00655E7B" w:rsidRPr="00E61AC8" w:rsidRDefault="001B7DC3" w:rsidP="004B28FE">
            <w:pPr>
              <w:tabs>
                <w:tab w:val="left" w:pos="318"/>
              </w:tabs>
              <w:spacing w:before="60" w:after="60"/>
              <w:jc w:val="center"/>
              <w:rPr>
                <w:rStyle w:val="Strong"/>
                <w:rFonts w:asciiTheme="minorHAnsi" w:hAnsiTheme="minorHAnsi"/>
                <w:sz w:val="20"/>
                <w:szCs w:val="20"/>
              </w:rPr>
            </w:pPr>
            <w:r w:rsidRPr="00E61AC8">
              <w:rPr>
                <w:rFonts w:asciiTheme="minorHAnsi" w:hAnsiTheme="minorHAnsi"/>
                <w:sz w:val="20"/>
                <w:szCs w:val="20"/>
              </w:rPr>
              <w:t>3.2</w:t>
            </w:r>
            <w:r w:rsidR="00655E7B" w:rsidRPr="00E61AC8">
              <w:rPr>
                <w:rFonts w:asciiTheme="minorHAnsi" w:hAnsiTheme="minorHAnsi"/>
                <w:sz w:val="20"/>
                <w:szCs w:val="20"/>
              </w:rPr>
              <w:t>%</w:t>
            </w:r>
          </w:p>
        </w:tc>
      </w:tr>
      <w:tr w:rsidR="00655E7B" w:rsidRPr="00E61AC8" w14:paraId="1ACE20CD" w14:textId="77777777" w:rsidTr="00E61AC8">
        <w:tc>
          <w:tcPr>
            <w:tcW w:w="2019" w:type="dxa"/>
            <w:tcBorders>
              <w:right w:val="single" w:sz="4" w:space="0" w:color="0079C1"/>
            </w:tcBorders>
          </w:tcPr>
          <w:p w14:paraId="35C4994B" w14:textId="77777777" w:rsidR="00655E7B" w:rsidRPr="00E61AC8" w:rsidRDefault="00655E7B" w:rsidP="004B28FE">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sz w:val="20"/>
                <w:szCs w:val="20"/>
              </w:rPr>
              <w:t>I want to adopt a child that is known to me and this is the country where the child lives</w:t>
            </w:r>
          </w:p>
        </w:tc>
        <w:tc>
          <w:tcPr>
            <w:tcW w:w="675" w:type="dxa"/>
            <w:tcBorders>
              <w:left w:val="single" w:sz="4" w:space="0" w:color="0079C1"/>
            </w:tcBorders>
            <w:vAlign w:val="center"/>
          </w:tcPr>
          <w:p w14:paraId="5239AE42"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2</w:t>
            </w:r>
          </w:p>
        </w:tc>
        <w:tc>
          <w:tcPr>
            <w:tcW w:w="850" w:type="dxa"/>
            <w:tcBorders>
              <w:right w:val="single" w:sz="4" w:space="0" w:color="0079C1"/>
            </w:tcBorders>
            <w:vAlign w:val="center"/>
          </w:tcPr>
          <w:p w14:paraId="09DEF5EB"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1.9%</w:t>
            </w:r>
          </w:p>
        </w:tc>
        <w:tc>
          <w:tcPr>
            <w:tcW w:w="593" w:type="dxa"/>
            <w:tcBorders>
              <w:left w:val="single" w:sz="4" w:space="0" w:color="0079C1"/>
            </w:tcBorders>
            <w:vAlign w:val="center"/>
          </w:tcPr>
          <w:p w14:paraId="498CE6FA"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0</w:t>
            </w:r>
          </w:p>
        </w:tc>
        <w:tc>
          <w:tcPr>
            <w:tcW w:w="858" w:type="dxa"/>
            <w:tcBorders>
              <w:right w:val="single" w:sz="4" w:space="0" w:color="0079C1"/>
            </w:tcBorders>
            <w:vAlign w:val="center"/>
          </w:tcPr>
          <w:p w14:paraId="3D85DDE9"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0.0%</w:t>
            </w:r>
          </w:p>
        </w:tc>
        <w:tc>
          <w:tcPr>
            <w:tcW w:w="674" w:type="dxa"/>
            <w:tcBorders>
              <w:left w:val="single" w:sz="4" w:space="0" w:color="0079C1"/>
            </w:tcBorders>
            <w:vAlign w:val="center"/>
          </w:tcPr>
          <w:p w14:paraId="539F0C5C"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1</w:t>
            </w:r>
          </w:p>
        </w:tc>
        <w:tc>
          <w:tcPr>
            <w:tcW w:w="886" w:type="dxa"/>
            <w:tcBorders>
              <w:right w:val="single" w:sz="4" w:space="0" w:color="0079C1"/>
            </w:tcBorders>
            <w:vAlign w:val="center"/>
          </w:tcPr>
          <w:p w14:paraId="17AA01A9"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1.4%</w:t>
            </w:r>
          </w:p>
        </w:tc>
        <w:tc>
          <w:tcPr>
            <w:tcW w:w="645" w:type="dxa"/>
            <w:tcBorders>
              <w:left w:val="single" w:sz="4" w:space="0" w:color="0079C1"/>
            </w:tcBorders>
            <w:vAlign w:val="center"/>
          </w:tcPr>
          <w:p w14:paraId="700E7ADF"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0</w:t>
            </w:r>
          </w:p>
        </w:tc>
        <w:tc>
          <w:tcPr>
            <w:tcW w:w="914" w:type="dxa"/>
            <w:tcBorders>
              <w:right w:val="single" w:sz="4" w:space="0" w:color="0079C1"/>
            </w:tcBorders>
            <w:vAlign w:val="center"/>
          </w:tcPr>
          <w:p w14:paraId="768CABFA"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0.0%</w:t>
            </w:r>
          </w:p>
        </w:tc>
        <w:tc>
          <w:tcPr>
            <w:tcW w:w="617" w:type="dxa"/>
            <w:tcBorders>
              <w:left w:val="single" w:sz="4" w:space="0" w:color="0079C1"/>
            </w:tcBorders>
            <w:vAlign w:val="center"/>
          </w:tcPr>
          <w:p w14:paraId="0DAE967A"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Fonts w:asciiTheme="minorHAnsi" w:hAnsiTheme="minorHAnsi"/>
                <w:sz w:val="20"/>
                <w:szCs w:val="20"/>
              </w:rPr>
              <w:t>3</w:t>
            </w:r>
          </w:p>
        </w:tc>
        <w:tc>
          <w:tcPr>
            <w:tcW w:w="942" w:type="dxa"/>
            <w:vAlign w:val="center"/>
          </w:tcPr>
          <w:p w14:paraId="7DCF7526" w14:textId="666C6BF8" w:rsidR="00655E7B" w:rsidRPr="00E61AC8" w:rsidRDefault="001B7DC3" w:rsidP="004B28FE">
            <w:pPr>
              <w:tabs>
                <w:tab w:val="left" w:pos="318"/>
              </w:tabs>
              <w:spacing w:before="60" w:after="60"/>
              <w:jc w:val="center"/>
              <w:rPr>
                <w:rStyle w:val="Strong"/>
                <w:rFonts w:asciiTheme="minorHAnsi" w:hAnsiTheme="minorHAnsi"/>
                <w:sz w:val="20"/>
                <w:szCs w:val="20"/>
              </w:rPr>
            </w:pPr>
            <w:r w:rsidRPr="00E61AC8">
              <w:rPr>
                <w:rFonts w:asciiTheme="minorHAnsi" w:hAnsiTheme="minorHAnsi"/>
                <w:sz w:val="20"/>
                <w:szCs w:val="20"/>
              </w:rPr>
              <w:t>1.4</w:t>
            </w:r>
            <w:r w:rsidR="00655E7B" w:rsidRPr="00E61AC8">
              <w:rPr>
                <w:rFonts w:asciiTheme="minorHAnsi" w:hAnsiTheme="minorHAnsi"/>
                <w:sz w:val="20"/>
                <w:szCs w:val="20"/>
              </w:rPr>
              <w:t>%</w:t>
            </w:r>
          </w:p>
        </w:tc>
      </w:tr>
      <w:tr w:rsidR="00655E7B" w:rsidRPr="00E61AC8" w14:paraId="3333546A" w14:textId="77777777" w:rsidTr="00E61AC8">
        <w:tc>
          <w:tcPr>
            <w:tcW w:w="2019" w:type="dxa"/>
            <w:tcBorders>
              <w:right w:val="single" w:sz="4" w:space="0" w:color="0079C1"/>
            </w:tcBorders>
          </w:tcPr>
          <w:p w14:paraId="70CD24D2" w14:textId="77777777" w:rsidR="00655E7B" w:rsidRPr="00E61AC8" w:rsidRDefault="00655E7B" w:rsidP="004B28FE">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sz w:val="20"/>
                <w:szCs w:val="20"/>
              </w:rPr>
              <w:t>The age of the children in need of adoption</w:t>
            </w:r>
          </w:p>
        </w:tc>
        <w:tc>
          <w:tcPr>
            <w:tcW w:w="675" w:type="dxa"/>
            <w:tcBorders>
              <w:left w:val="single" w:sz="4" w:space="0" w:color="0079C1"/>
            </w:tcBorders>
            <w:vAlign w:val="center"/>
          </w:tcPr>
          <w:p w14:paraId="090A9004"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4</w:t>
            </w:r>
          </w:p>
        </w:tc>
        <w:tc>
          <w:tcPr>
            <w:tcW w:w="850" w:type="dxa"/>
            <w:tcBorders>
              <w:right w:val="single" w:sz="4" w:space="0" w:color="0079C1"/>
            </w:tcBorders>
            <w:vAlign w:val="center"/>
          </w:tcPr>
          <w:p w14:paraId="7543A984"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3.7%</w:t>
            </w:r>
          </w:p>
        </w:tc>
        <w:tc>
          <w:tcPr>
            <w:tcW w:w="593" w:type="dxa"/>
            <w:tcBorders>
              <w:left w:val="single" w:sz="4" w:space="0" w:color="0079C1"/>
            </w:tcBorders>
            <w:vAlign w:val="center"/>
          </w:tcPr>
          <w:p w14:paraId="3FCB1268"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0</w:t>
            </w:r>
          </w:p>
        </w:tc>
        <w:tc>
          <w:tcPr>
            <w:tcW w:w="858" w:type="dxa"/>
            <w:tcBorders>
              <w:right w:val="single" w:sz="4" w:space="0" w:color="0079C1"/>
            </w:tcBorders>
            <w:vAlign w:val="center"/>
          </w:tcPr>
          <w:p w14:paraId="6C8DF785"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0.0%</w:t>
            </w:r>
          </w:p>
        </w:tc>
        <w:tc>
          <w:tcPr>
            <w:tcW w:w="674" w:type="dxa"/>
            <w:tcBorders>
              <w:left w:val="single" w:sz="4" w:space="0" w:color="0079C1"/>
            </w:tcBorders>
            <w:vAlign w:val="center"/>
          </w:tcPr>
          <w:p w14:paraId="1D5D9E0F"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5</w:t>
            </w:r>
          </w:p>
        </w:tc>
        <w:tc>
          <w:tcPr>
            <w:tcW w:w="886" w:type="dxa"/>
            <w:tcBorders>
              <w:right w:val="single" w:sz="4" w:space="0" w:color="0079C1"/>
            </w:tcBorders>
            <w:vAlign w:val="center"/>
          </w:tcPr>
          <w:p w14:paraId="2B8558ED"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6.8%</w:t>
            </w:r>
          </w:p>
        </w:tc>
        <w:tc>
          <w:tcPr>
            <w:tcW w:w="645" w:type="dxa"/>
            <w:tcBorders>
              <w:left w:val="single" w:sz="4" w:space="0" w:color="0079C1"/>
            </w:tcBorders>
            <w:vAlign w:val="center"/>
          </w:tcPr>
          <w:p w14:paraId="35B14DC5"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0</w:t>
            </w:r>
          </w:p>
        </w:tc>
        <w:tc>
          <w:tcPr>
            <w:tcW w:w="914" w:type="dxa"/>
            <w:tcBorders>
              <w:right w:val="single" w:sz="4" w:space="0" w:color="0079C1"/>
            </w:tcBorders>
            <w:vAlign w:val="center"/>
          </w:tcPr>
          <w:p w14:paraId="6E0157F4"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0.0%</w:t>
            </w:r>
          </w:p>
        </w:tc>
        <w:tc>
          <w:tcPr>
            <w:tcW w:w="617" w:type="dxa"/>
            <w:tcBorders>
              <w:left w:val="single" w:sz="4" w:space="0" w:color="0079C1"/>
            </w:tcBorders>
            <w:vAlign w:val="center"/>
          </w:tcPr>
          <w:p w14:paraId="4498203B"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Fonts w:asciiTheme="minorHAnsi" w:hAnsiTheme="minorHAnsi"/>
                <w:sz w:val="20"/>
                <w:szCs w:val="20"/>
              </w:rPr>
              <w:t>9</w:t>
            </w:r>
          </w:p>
        </w:tc>
        <w:tc>
          <w:tcPr>
            <w:tcW w:w="942" w:type="dxa"/>
            <w:vAlign w:val="center"/>
          </w:tcPr>
          <w:p w14:paraId="1B194330" w14:textId="3F4F9C2D" w:rsidR="00655E7B" w:rsidRPr="00E61AC8" w:rsidRDefault="001B7DC3" w:rsidP="004B28FE">
            <w:pPr>
              <w:tabs>
                <w:tab w:val="left" w:pos="318"/>
              </w:tabs>
              <w:spacing w:before="60" w:after="60"/>
              <w:jc w:val="center"/>
              <w:rPr>
                <w:rStyle w:val="Strong"/>
                <w:rFonts w:asciiTheme="minorHAnsi" w:hAnsiTheme="minorHAnsi"/>
                <w:sz w:val="20"/>
                <w:szCs w:val="20"/>
              </w:rPr>
            </w:pPr>
            <w:r w:rsidRPr="00E61AC8">
              <w:rPr>
                <w:rFonts w:asciiTheme="minorHAnsi" w:hAnsiTheme="minorHAnsi"/>
                <w:sz w:val="20"/>
                <w:szCs w:val="20"/>
              </w:rPr>
              <w:t>4.1</w:t>
            </w:r>
            <w:r w:rsidR="00655E7B" w:rsidRPr="00E61AC8">
              <w:rPr>
                <w:rFonts w:asciiTheme="minorHAnsi" w:hAnsiTheme="minorHAnsi"/>
                <w:sz w:val="20"/>
                <w:szCs w:val="20"/>
              </w:rPr>
              <w:t>%</w:t>
            </w:r>
          </w:p>
        </w:tc>
      </w:tr>
      <w:tr w:rsidR="00655E7B" w:rsidRPr="00E61AC8" w14:paraId="5FC0CCF6" w14:textId="77777777" w:rsidTr="00E61AC8">
        <w:tc>
          <w:tcPr>
            <w:tcW w:w="2019" w:type="dxa"/>
            <w:tcBorders>
              <w:right w:val="single" w:sz="4" w:space="0" w:color="0079C1"/>
            </w:tcBorders>
          </w:tcPr>
          <w:p w14:paraId="533A4764" w14:textId="77777777" w:rsidR="00655E7B" w:rsidRPr="00E61AC8" w:rsidRDefault="00655E7B" w:rsidP="004B28FE">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sz w:val="20"/>
                <w:szCs w:val="20"/>
              </w:rPr>
              <w:t>The child would be of the same ethnic background as me and/or my partner</w:t>
            </w:r>
          </w:p>
        </w:tc>
        <w:tc>
          <w:tcPr>
            <w:tcW w:w="675" w:type="dxa"/>
            <w:tcBorders>
              <w:left w:val="single" w:sz="4" w:space="0" w:color="0079C1"/>
            </w:tcBorders>
            <w:vAlign w:val="center"/>
          </w:tcPr>
          <w:p w14:paraId="7DD19BD8"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20</w:t>
            </w:r>
          </w:p>
        </w:tc>
        <w:tc>
          <w:tcPr>
            <w:tcW w:w="850" w:type="dxa"/>
            <w:tcBorders>
              <w:right w:val="single" w:sz="4" w:space="0" w:color="0079C1"/>
            </w:tcBorders>
            <w:vAlign w:val="center"/>
          </w:tcPr>
          <w:p w14:paraId="6D54A979"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18.5%</w:t>
            </w:r>
          </w:p>
        </w:tc>
        <w:tc>
          <w:tcPr>
            <w:tcW w:w="593" w:type="dxa"/>
            <w:tcBorders>
              <w:left w:val="single" w:sz="4" w:space="0" w:color="0079C1"/>
            </w:tcBorders>
            <w:vAlign w:val="center"/>
          </w:tcPr>
          <w:p w14:paraId="63F67879"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0</w:t>
            </w:r>
          </w:p>
        </w:tc>
        <w:tc>
          <w:tcPr>
            <w:tcW w:w="858" w:type="dxa"/>
            <w:tcBorders>
              <w:right w:val="single" w:sz="4" w:space="0" w:color="0079C1"/>
            </w:tcBorders>
            <w:vAlign w:val="center"/>
          </w:tcPr>
          <w:p w14:paraId="01789AFE"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0.0%</w:t>
            </w:r>
          </w:p>
        </w:tc>
        <w:tc>
          <w:tcPr>
            <w:tcW w:w="674" w:type="dxa"/>
            <w:tcBorders>
              <w:left w:val="single" w:sz="4" w:space="0" w:color="0079C1"/>
            </w:tcBorders>
            <w:vAlign w:val="center"/>
          </w:tcPr>
          <w:p w14:paraId="0ADEBE5F"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2</w:t>
            </w:r>
          </w:p>
        </w:tc>
        <w:tc>
          <w:tcPr>
            <w:tcW w:w="886" w:type="dxa"/>
            <w:tcBorders>
              <w:right w:val="single" w:sz="4" w:space="0" w:color="0079C1"/>
            </w:tcBorders>
            <w:vAlign w:val="center"/>
          </w:tcPr>
          <w:p w14:paraId="1E39E98E"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2.7%</w:t>
            </w:r>
          </w:p>
        </w:tc>
        <w:tc>
          <w:tcPr>
            <w:tcW w:w="645" w:type="dxa"/>
            <w:tcBorders>
              <w:left w:val="single" w:sz="4" w:space="0" w:color="0079C1"/>
            </w:tcBorders>
            <w:vAlign w:val="center"/>
          </w:tcPr>
          <w:p w14:paraId="2EC19D8E"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2</w:t>
            </w:r>
          </w:p>
        </w:tc>
        <w:tc>
          <w:tcPr>
            <w:tcW w:w="914" w:type="dxa"/>
            <w:tcBorders>
              <w:right w:val="single" w:sz="4" w:space="0" w:color="0079C1"/>
            </w:tcBorders>
            <w:vAlign w:val="center"/>
          </w:tcPr>
          <w:p w14:paraId="54C60BD1"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10.0%</w:t>
            </w:r>
          </w:p>
        </w:tc>
        <w:tc>
          <w:tcPr>
            <w:tcW w:w="617" w:type="dxa"/>
            <w:tcBorders>
              <w:left w:val="single" w:sz="4" w:space="0" w:color="0079C1"/>
            </w:tcBorders>
            <w:vAlign w:val="center"/>
          </w:tcPr>
          <w:p w14:paraId="4CC02E19"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Fonts w:asciiTheme="minorHAnsi" w:hAnsiTheme="minorHAnsi"/>
                <w:sz w:val="20"/>
                <w:szCs w:val="20"/>
              </w:rPr>
              <w:t>24</w:t>
            </w:r>
          </w:p>
        </w:tc>
        <w:tc>
          <w:tcPr>
            <w:tcW w:w="942" w:type="dxa"/>
            <w:vAlign w:val="center"/>
          </w:tcPr>
          <w:p w14:paraId="03B55D16" w14:textId="00573745" w:rsidR="00655E7B" w:rsidRPr="00E61AC8" w:rsidRDefault="001B7DC3" w:rsidP="004B28FE">
            <w:pPr>
              <w:tabs>
                <w:tab w:val="left" w:pos="318"/>
              </w:tabs>
              <w:spacing w:before="60" w:after="60"/>
              <w:jc w:val="center"/>
              <w:rPr>
                <w:rStyle w:val="Strong"/>
                <w:rFonts w:asciiTheme="minorHAnsi" w:hAnsiTheme="minorHAnsi"/>
                <w:sz w:val="20"/>
                <w:szCs w:val="20"/>
              </w:rPr>
            </w:pPr>
            <w:r w:rsidRPr="00E61AC8">
              <w:rPr>
                <w:rFonts w:asciiTheme="minorHAnsi" w:hAnsiTheme="minorHAnsi"/>
                <w:sz w:val="20"/>
                <w:szCs w:val="20"/>
              </w:rPr>
              <w:t>10.9</w:t>
            </w:r>
            <w:r w:rsidR="00655E7B" w:rsidRPr="00E61AC8">
              <w:rPr>
                <w:rFonts w:asciiTheme="minorHAnsi" w:hAnsiTheme="minorHAnsi"/>
                <w:sz w:val="20"/>
                <w:szCs w:val="20"/>
              </w:rPr>
              <w:t>%</w:t>
            </w:r>
          </w:p>
        </w:tc>
      </w:tr>
      <w:tr w:rsidR="00655E7B" w:rsidRPr="00E61AC8" w14:paraId="7D41E54D" w14:textId="77777777" w:rsidTr="00E61AC8">
        <w:tc>
          <w:tcPr>
            <w:tcW w:w="2019" w:type="dxa"/>
            <w:tcBorders>
              <w:right w:val="single" w:sz="4" w:space="0" w:color="0079C1"/>
            </w:tcBorders>
          </w:tcPr>
          <w:p w14:paraId="0283ED83" w14:textId="77777777" w:rsidR="00655E7B" w:rsidRPr="00E61AC8" w:rsidRDefault="00655E7B" w:rsidP="004B28FE">
            <w:pPr>
              <w:tabs>
                <w:tab w:val="left" w:pos="318"/>
              </w:tabs>
              <w:spacing w:before="60" w:after="60"/>
              <w:rPr>
                <w:rFonts w:asciiTheme="minorHAnsi" w:hAnsiTheme="minorHAnsi" w:cstheme="minorHAnsi"/>
                <w:color w:val="000000" w:themeColor="text1"/>
                <w:sz w:val="20"/>
                <w:szCs w:val="20"/>
              </w:rPr>
            </w:pPr>
            <w:r w:rsidRPr="00E61AC8">
              <w:rPr>
                <w:rFonts w:asciiTheme="minorHAnsi" w:hAnsiTheme="minorHAnsi"/>
                <w:sz w:val="20"/>
                <w:szCs w:val="20"/>
              </w:rPr>
              <w:t>The waiting period is shorter</w:t>
            </w:r>
          </w:p>
        </w:tc>
        <w:tc>
          <w:tcPr>
            <w:tcW w:w="675" w:type="dxa"/>
            <w:tcBorders>
              <w:left w:val="single" w:sz="4" w:space="0" w:color="0079C1"/>
            </w:tcBorders>
            <w:vAlign w:val="center"/>
          </w:tcPr>
          <w:p w14:paraId="1A3B5C89"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10</w:t>
            </w:r>
          </w:p>
        </w:tc>
        <w:tc>
          <w:tcPr>
            <w:tcW w:w="850" w:type="dxa"/>
            <w:tcBorders>
              <w:right w:val="single" w:sz="4" w:space="0" w:color="0079C1"/>
            </w:tcBorders>
            <w:vAlign w:val="center"/>
          </w:tcPr>
          <w:p w14:paraId="7259B21C"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9.3%</w:t>
            </w:r>
          </w:p>
        </w:tc>
        <w:tc>
          <w:tcPr>
            <w:tcW w:w="593" w:type="dxa"/>
            <w:tcBorders>
              <w:left w:val="single" w:sz="4" w:space="0" w:color="0079C1"/>
            </w:tcBorders>
            <w:vAlign w:val="center"/>
          </w:tcPr>
          <w:p w14:paraId="7612D1CE"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0</w:t>
            </w:r>
          </w:p>
        </w:tc>
        <w:tc>
          <w:tcPr>
            <w:tcW w:w="858" w:type="dxa"/>
            <w:tcBorders>
              <w:right w:val="single" w:sz="4" w:space="0" w:color="0079C1"/>
            </w:tcBorders>
            <w:vAlign w:val="center"/>
          </w:tcPr>
          <w:p w14:paraId="4B07D2EE"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0.0%</w:t>
            </w:r>
          </w:p>
        </w:tc>
        <w:tc>
          <w:tcPr>
            <w:tcW w:w="674" w:type="dxa"/>
            <w:tcBorders>
              <w:left w:val="single" w:sz="4" w:space="0" w:color="0079C1"/>
            </w:tcBorders>
            <w:vAlign w:val="center"/>
          </w:tcPr>
          <w:p w14:paraId="0633E17C"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4</w:t>
            </w:r>
          </w:p>
        </w:tc>
        <w:tc>
          <w:tcPr>
            <w:tcW w:w="886" w:type="dxa"/>
            <w:tcBorders>
              <w:right w:val="single" w:sz="4" w:space="0" w:color="0079C1"/>
            </w:tcBorders>
            <w:vAlign w:val="center"/>
          </w:tcPr>
          <w:p w14:paraId="0F5E108A"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5.5%</w:t>
            </w:r>
          </w:p>
        </w:tc>
        <w:tc>
          <w:tcPr>
            <w:tcW w:w="645" w:type="dxa"/>
            <w:tcBorders>
              <w:left w:val="single" w:sz="4" w:space="0" w:color="0079C1"/>
            </w:tcBorders>
            <w:vAlign w:val="center"/>
          </w:tcPr>
          <w:p w14:paraId="26AD4458"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2</w:t>
            </w:r>
          </w:p>
        </w:tc>
        <w:tc>
          <w:tcPr>
            <w:tcW w:w="914" w:type="dxa"/>
            <w:tcBorders>
              <w:right w:val="single" w:sz="4" w:space="0" w:color="0079C1"/>
            </w:tcBorders>
            <w:vAlign w:val="center"/>
          </w:tcPr>
          <w:p w14:paraId="60239F03"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10.0%</w:t>
            </w:r>
          </w:p>
        </w:tc>
        <w:tc>
          <w:tcPr>
            <w:tcW w:w="617" w:type="dxa"/>
            <w:tcBorders>
              <w:left w:val="single" w:sz="4" w:space="0" w:color="0079C1"/>
            </w:tcBorders>
            <w:vAlign w:val="center"/>
          </w:tcPr>
          <w:p w14:paraId="51981506"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Fonts w:asciiTheme="minorHAnsi" w:hAnsiTheme="minorHAnsi"/>
                <w:sz w:val="20"/>
                <w:szCs w:val="20"/>
              </w:rPr>
              <w:t>16</w:t>
            </w:r>
          </w:p>
        </w:tc>
        <w:tc>
          <w:tcPr>
            <w:tcW w:w="942" w:type="dxa"/>
            <w:vAlign w:val="center"/>
          </w:tcPr>
          <w:p w14:paraId="526B6656" w14:textId="61483218" w:rsidR="00655E7B" w:rsidRPr="00E61AC8" w:rsidRDefault="001B7DC3" w:rsidP="004B28FE">
            <w:pPr>
              <w:tabs>
                <w:tab w:val="left" w:pos="318"/>
              </w:tabs>
              <w:spacing w:before="60" w:after="60"/>
              <w:jc w:val="center"/>
              <w:rPr>
                <w:rStyle w:val="Strong"/>
                <w:rFonts w:asciiTheme="minorHAnsi" w:hAnsiTheme="minorHAnsi"/>
                <w:sz w:val="20"/>
                <w:szCs w:val="20"/>
              </w:rPr>
            </w:pPr>
            <w:r w:rsidRPr="00E61AC8">
              <w:rPr>
                <w:rFonts w:asciiTheme="minorHAnsi" w:hAnsiTheme="minorHAnsi"/>
                <w:sz w:val="20"/>
                <w:szCs w:val="20"/>
              </w:rPr>
              <w:t>7.3</w:t>
            </w:r>
            <w:r w:rsidR="00655E7B" w:rsidRPr="00E61AC8">
              <w:rPr>
                <w:rFonts w:asciiTheme="minorHAnsi" w:hAnsiTheme="minorHAnsi"/>
                <w:sz w:val="20"/>
                <w:szCs w:val="20"/>
              </w:rPr>
              <w:t>%</w:t>
            </w:r>
          </w:p>
        </w:tc>
      </w:tr>
      <w:tr w:rsidR="00655E7B" w:rsidRPr="00E61AC8" w14:paraId="312D7A0D" w14:textId="77777777" w:rsidTr="00E61AC8">
        <w:tc>
          <w:tcPr>
            <w:tcW w:w="2019" w:type="dxa"/>
            <w:tcBorders>
              <w:right w:val="single" w:sz="4" w:space="0" w:color="0079C1"/>
            </w:tcBorders>
          </w:tcPr>
          <w:p w14:paraId="6406C909" w14:textId="77777777" w:rsidR="00655E7B" w:rsidRPr="00E61AC8" w:rsidRDefault="00655E7B" w:rsidP="004B28FE">
            <w:pPr>
              <w:rPr>
                <w:rFonts w:asciiTheme="minorHAnsi" w:hAnsiTheme="minorHAnsi" w:cs="Arial"/>
                <w:color w:val="333333"/>
                <w:sz w:val="20"/>
                <w:szCs w:val="20"/>
              </w:rPr>
            </w:pPr>
            <w:r w:rsidRPr="00E61AC8">
              <w:rPr>
                <w:rFonts w:asciiTheme="minorHAnsi" w:hAnsiTheme="minorHAnsi"/>
                <w:sz w:val="20"/>
                <w:szCs w:val="20"/>
              </w:rPr>
              <w:t>Other (please specify)</w:t>
            </w:r>
          </w:p>
        </w:tc>
        <w:tc>
          <w:tcPr>
            <w:tcW w:w="675" w:type="dxa"/>
            <w:tcBorders>
              <w:left w:val="single" w:sz="4" w:space="0" w:color="0079C1"/>
            </w:tcBorders>
            <w:vAlign w:val="center"/>
          </w:tcPr>
          <w:p w14:paraId="735B4717"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21</w:t>
            </w:r>
          </w:p>
        </w:tc>
        <w:tc>
          <w:tcPr>
            <w:tcW w:w="850" w:type="dxa"/>
            <w:tcBorders>
              <w:right w:val="single" w:sz="4" w:space="0" w:color="0079C1"/>
            </w:tcBorders>
            <w:vAlign w:val="center"/>
          </w:tcPr>
          <w:p w14:paraId="0FC341FB"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19.4%</w:t>
            </w:r>
          </w:p>
        </w:tc>
        <w:tc>
          <w:tcPr>
            <w:tcW w:w="593" w:type="dxa"/>
            <w:tcBorders>
              <w:left w:val="single" w:sz="4" w:space="0" w:color="0079C1"/>
            </w:tcBorders>
            <w:vAlign w:val="center"/>
          </w:tcPr>
          <w:p w14:paraId="50C70124"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8</w:t>
            </w:r>
          </w:p>
        </w:tc>
        <w:tc>
          <w:tcPr>
            <w:tcW w:w="858" w:type="dxa"/>
            <w:tcBorders>
              <w:right w:val="single" w:sz="4" w:space="0" w:color="0079C1"/>
            </w:tcBorders>
            <w:vAlign w:val="center"/>
          </w:tcPr>
          <w:p w14:paraId="7D839C70"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42.1%</w:t>
            </w:r>
          </w:p>
        </w:tc>
        <w:tc>
          <w:tcPr>
            <w:tcW w:w="674" w:type="dxa"/>
            <w:tcBorders>
              <w:left w:val="single" w:sz="4" w:space="0" w:color="0079C1"/>
            </w:tcBorders>
            <w:vAlign w:val="center"/>
          </w:tcPr>
          <w:p w14:paraId="3D157723"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15</w:t>
            </w:r>
          </w:p>
        </w:tc>
        <w:tc>
          <w:tcPr>
            <w:tcW w:w="886" w:type="dxa"/>
            <w:tcBorders>
              <w:right w:val="single" w:sz="4" w:space="0" w:color="0079C1"/>
            </w:tcBorders>
            <w:vAlign w:val="center"/>
          </w:tcPr>
          <w:p w14:paraId="7B885CB1"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20.5%</w:t>
            </w:r>
          </w:p>
        </w:tc>
        <w:tc>
          <w:tcPr>
            <w:tcW w:w="645" w:type="dxa"/>
            <w:tcBorders>
              <w:left w:val="single" w:sz="4" w:space="0" w:color="0079C1"/>
            </w:tcBorders>
            <w:vAlign w:val="center"/>
          </w:tcPr>
          <w:p w14:paraId="3958F07B"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5</w:t>
            </w:r>
          </w:p>
        </w:tc>
        <w:tc>
          <w:tcPr>
            <w:tcW w:w="914" w:type="dxa"/>
            <w:tcBorders>
              <w:right w:val="single" w:sz="4" w:space="0" w:color="0079C1"/>
            </w:tcBorders>
            <w:vAlign w:val="center"/>
          </w:tcPr>
          <w:p w14:paraId="240E7407"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25.0%</w:t>
            </w:r>
          </w:p>
        </w:tc>
        <w:tc>
          <w:tcPr>
            <w:tcW w:w="617" w:type="dxa"/>
            <w:tcBorders>
              <w:left w:val="single" w:sz="4" w:space="0" w:color="0079C1"/>
            </w:tcBorders>
            <w:vAlign w:val="center"/>
          </w:tcPr>
          <w:p w14:paraId="5986061C"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Fonts w:asciiTheme="minorHAnsi" w:hAnsiTheme="minorHAnsi"/>
                <w:sz w:val="20"/>
                <w:szCs w:val="20"/>
              </w:rPr>
              <w:t>49</w:t>
            </w:r>
          </w:p>
        </w:tc>
        <w:tc>
          <w:tcPr>
            <w:tcW w:w="942" w:type="dxa"/>
            <w:vAlign w:val="center"/>
          </w:tcPr>
          <w:p w14:paraId="05A54AA6" w14:textId="591D34EC" w:rsidR="00655E7B" w:rsidRPr="00E61AC8" w:rsidRDefault="001B7DC3" w:rsidP="004B28FE">
            <w:pPr>
              <w:tabs>
                <w:tab w:val="left" w:pos="318"/>
              </w:tabs>
              <w:spacing w:before="60" w:after="60"/>
              <w:jc w:val="center"/>
              <w:rPr>
                <w:rStyle w:val="Strong"/>
                <w:rFonts w:asciiTheme="minorHAnsi" w:hAnsiTheme="minorHAnsi"/>
                <w:sz w:val="20"/>
                <w:szCs w:val="20"/>
              </w:rPr>
            </w:pPr>
            <w:r w:rsidRPr="00E61AC8">
              <w:rPr>
                <w:rFonts w:asciiTheme="minorHAnsi" w:hAnsiTheme="minorHAnsi"/>
                <w:sz w:val="20"/>
                <w:szCs w:val="20"/>
              </w:rPr>
              <w:t>22.3</w:t>
            </w:r>
            <w:r w:rsidR="00655E7B" w:rsidRPr="00E61AC8">
              <w:rPr>
                <w:rFonts w:asciiTheme="minorHAnsi" w:hAnsiTheme="minorHAnsi"/>
                <w:sz w:val="20"/>
                <w:szCs w:val="20"/>
              </w:rPr>
              <w:t>%</w:t>
            </w:r>
          </w:p>
        </w:tc>
      </w:tr>
      <w:tr w:rsidR="00655E7B" w:rsidRPr="00E61AC8" w14:paraId="7FBBCD01" w14:textId="77777777" w:rsidTr="00E61AC8">
        <w:tc>
          <w:tcPr>
            <w:tcW w:w="2019" w:type="dxa"/>
            <w:tcBorders>
              <w:bottom w:val="single" w:sz="4" w:space="0" w:color="0079C1"/>
              <w:right w:val="single" w:sz="4" w:space="0" w:color="0079C1"/>
            </w:tcBorders>
          </w:tcPr>
          <w:p w14:paraId="38B023F5" w14:textId="530983C7" w:rsidR="00655E7B" w:rsidRPr="00E61AC8" w:rsidRDefault="000421C3" w:rsidP="004B28FE">
            <w:pPr>
              <w:rPr>
                <w:rFonts w:asciiTheme="minorHAnsi" w:hAnsiTheme="minorHAnsi" w:cs="Arial"/>
                <w:color w:val="333333"/>
                <w:sz w:val="20"/>
                <w:szCs w:val="20"/>
              </w:rPr>
            </w:pPr>
            <w:r w:rsidRPr="00E61AC8">
              <w:rPr>
                <w:rFonts w:asciiTheme="minorHAnsi" w:hAnsiTheme="minorHAnsi"/>
                <w:sz w:val="20"/>
                <w:szCs w:val="20"/>
              </w:rPr>
              <w:t>Not stated</w:t>
            </w:r>
          </w:p>
        </w:tc>
        <w:tc>
          <w:tcPr>
            <w:tcW w:w="675" w:type="dxa"/>
            <w:tcBorders>
              <w:left w:val="single" w:sz="4" w:space="0" w:color="0079C1"/>
              <w:bottom w:val="single" w:sz="4" w:space="0" w:color="0079C1"/>
            </w:tcBorders>
            <w:vAlign w:val="center"/>
          </w:tcPr>
          <w:p w14:paraId="586042AC"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15</w:t>
            </w:r>
          </w:p>
        </w:tc>
        <w:tc>
          <w:tcPr>
            <w:tcW w:w="850" w:type="dxa"/>
            <w:tcBorders>
              <w:bottom w:val="single" w:sz="4" w:space="0" w:color="0079C1"/>
              <w:right w:val="single" w:sz="4" w:space="0" w:color="0079C1"/>
            </w:tcBorders>
            <w:vAlign w:val="center"/>
          </w:tcPr>
          <w:p w14:paraId="7FEAA40F"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13.9%</w:t>
            </w:r>
          </w:p>
        </w:tc>
        <w:tc>
          <w:tcPr>
            <w:tcW w:w="593" w:type="dxa"/>
            <w:tcBorders>
              <w:left w:val="single" w:sz="4" w:space="0" w:color="0079C1"/>
              <w:bottom w:val="single" w:sz="4" w:space="0" w:color="0079C1"/>
            </w:tcBorders>
            <w:vAlign w:val="center"/>
          </w:tcPr>
          <w:p w14:paraId="67A4E302" w14:textId="77777777" w:rsidR="00655E7B" w:rsidRPr="00E61AC8" w:rsidRDefault="00655E7B" w:rsidP="004B28FE">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2</w:t>
            </w:r>
          </w:p>
        </w:tc>
        <w:tc>
          <w:tcPr>
            <w:tcW w:w="858" w:type="dxa"/>
            <w:tcBorders>
              <w:bottom w:val="single" w:sz="4" w:space="0" w:color="0079C1"/>
              <w:right w:val="single" w:sz="4" w:space="0" w:color="0079C1"/>
            </w:tcBorders>
            <w:vAlign w:val="center"/>
          </w:tcPr>
          <w:p w14:paraId="3BA5C4D4"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10.5%</w:t>
            </w:r>
          </w:p>
        </w:tc>
        <w:tc>
          <w:tcPr>
            <w:tcW w:w="674" w:type="dxa"/>
            <w:tcBorders>
              <w:left w:val="single" w:sz="4" w:space="0" w:color="0079C1"/>
              <w:bottom w:val="single" w:sz="4" w:space="0" w:color="0079C1"/>
            </w:tcBorders>
            <w:vAlign w:val="center"/>
          </w:tcPr>
          <w:p w14:paraId="617CD194" w14:textId="77777777" w:rsidR="00655E7B" w:rsidRPr="00E61AC8" w:rsidRDefault="00655E7B" w:rsidP="004B28FE">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6</w:t>
            </w:r>
          </w:p>
        </w:tc>
        <w:tc>
          <w:tcPr>
            <w:tcW w:w="886" w:type="dxa"/>
            <w:tcBorders>
              <w:bottom w:val="single" w:sz="4" w:space="0" w:color="0079C1"/>
              <w:right w:val="single" w:sz="4" w:space="0" w:color="0079C1"/>
            </w:tcBorders>
            <w:vAlign w:val="center"/>
          </w:tcPr>
          <w:p w14:paraId="0C810F6F"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8.2%</w:t>
            </w:r>
          </w:p>
        </w:tc>
        <w:tc>
          <w:tcPr>
            <w:tcW w:w="645" w:type="dxa"/>
            <w:tcBorders>
              <w:left w:val="single" w:sz="4" w:space="0" w:color="0079C1"/>
              <w:bottom w:val="single" w:sz="4" w:space="0" w:color="0079C1"/>
            </w:tcBorders>
            <w:vAlign w:val="center"/>
          </w:tcPr>
          <w:p w14:paraId="4E39C1AE" w14:textId="77777777" w:rsidR="00655E7B" w:rsidRPr="00E61AC8" w:rsidRDefault="00655E7B" w:rsidP="004B28FE">
            <w:pPr>
              <w:tabs>
                <w:tab w:val="left" w:pos="318"/>
              </w:tabs>
              <w:spacing w:before="60" w:after="60"/>
              <w:jc w:val="center"/>
              <w:rPr>
                <w:rFonts w:asciiTheme="minorHAnsi" w:hAnsiTheme="minorHAnsi"/>
                <w:sz w:val="20"/>
                <w:szCs w:val="20"/>
              </w:rPr>
            </w:pPr>
            <w:r w:rsidRPr="00E61AC8">
              <w:rPr>
                <w:rFonts w:asciiTheme="minorHAnsi" w:hAnsiTheme="minorHAnsi"/>
                <w:sz w:val="20"/>
                <w:szCs w:val="20"/>
              </w:rPr>
              <w:t>3</w:t>
            </w:r>
          </w:p>
        </w:tc>
        <w:tc>
          <w:tcPr>
            <w:tcW w:w="914" w:type="dxa"/>
            <w:tcBorders>
              <w:bottom w:val="single" w:sz="4" w:space="0" w:color="0079C1"/>
              <w:right w:val="single" w:sz="4" w:space="0" w:color="0079C1"/>
            </w:tcBorders>
            <w:vAlign w:val="center"/>
          </w:tcPr>
          <w:p w14:paraId="18C81E6F"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15.0%</w:t>
            </w:r>
          </w:p>
        </w:tc>
        <w:tc>
          <w:tcPr>
            <w:tcW w:w="617" w:type="dxa"/>
            <w:tcBorders>
              <w:left w:val="single" w:sz="4" w:space="0" w:color="0079C1"/>
              <w:bottom w:val="single" w:sz="4" w:space="0" w:color="0079C1"/>
            </w:tcBorders>
            <w:vAlign w:val="center"/>
          </w:tcPr>
          <w:p w14:paraId="50444338"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Fonts w:asciiTheme="minorHAnsi" w:hAnsiTheme="minorHAnsi"/>
                <w:sz w:val="20"/>
                <w:szCs w:val="20"/>
              </w:rPr>
              <w:t>26</w:t>
            </w:r>
          </w:p>
        </w:tc>
        <w:tc>
          <w:tcPr>
            <w:tcW w:w="942" w:type="dxa"/>
            <w:tcBorders>
              <w:bottom w:val="single" w:sz="4" w:space="0" w:color="0079C1"/>
            </w:tcBorders>
            <w:vAlign w:val="center"/>
          </w:tcPr>
          <w:p w14:paraId="65D38C57" w14:textId="2ED8B72C" w:rsidR="00655E7B" w:rsidRPr="00E61AC8" w:rsidRDefault="001B7DC3" w:rsidP="004B28FE">
            <w:pPr>
              <w:tabs>
                <w:tab w:val="left" w:pos="318"/>
              </w:tabs>
              <w:spacing w:before="60" w:after="60"/>
              <w:jc w:val="center"/>
              <w:rPr>
                <w:rStyle w:val="Strong"/>
                <w:rFonts w:asciiTheme="minorHAnsi" w:hAnsiTheme="minorHAnsi"/>
                <w:sz w:val="20"/>
                <w:szCs w:val="20"/>
              </w:rPr>
            </w:pPr>
            <w:r w:rsidRPr="00E61AC8">
              <w:rPr>
                <w:rFonts w:asciiTheme="minorHAnsi" w:hAnsiTheme="minorHAnsi"/>
                <w:sz w:val="20"/>
                <w:szCs w:val="20"/>
              </w:rPr>
              <w:t>11.8</w:t>
            </w:r>
            <w:r w:rsidR="00655E7B" w:rsidRPr="00E61AC8">
              <w:rPr>
                <w:rFonts w:asciiTheme="minorHAnsi" w:hAnsiTheme="minorHAnsi"/>
                <w:sz w:val="20"/>
                <w:szCs w:val="20"/>
              </w:rPr>
              <w:t>%</w:t>
            </w:r>
          </w:p>
        </w:tc>
      </w:tr>
      <w:bookmarkEnd w:id="201"/>
      <w:tr w:rsidR="00655E7B" w:rsidRPr="00E61AC8" w14:paraId="27ABF9AB" w14:textId="77777777" w:rsidTr="00E61AC8">
        <w:tc>
          <w:tcPr>
            <w:tcW w:w="2019" w:type="dxa"/>
            <w:tcBorders>
              <w:top w:val="single" w:sz="4" w:space="0" w:color="0079C1"/>
              <w:bottom w:val="single" w:sz="4" w:space="0" w:color="0079C1" w:themeColor="text2"/>
              <w:right w:val="single" w:sz="4" w:space="0" w:color="0079C1"/>
            </w:tcBorders>
            <w:shd w:val="clear" w:color="auto" w:fill="E2F4FF" w:themeFill="accent1" w:themeFillTint="33"/>
          </w:tcPr>
          <w:p w14:paraId="62B492AD" w14:textId="77777777" w:rsidR="00655E7B" w:rsidRPr="00E61AC8" w:rsidRDefault="00655E7B" w:rsidP="004B28FE">
            <w:pPr>
              <w:tabs>
                <w:tab w:val="left" w:pos="318"/>
              </w:tabs>
              <w:spacing w:before="60" w:after="60"/>
              <w:rPr>
                <w:rStyle w:val="Strong"/>
                <w:rFonts w:asciiTheme="minorHAnsi" w:hAnsiTheme="minorHAnsi"/>
                <w:sz w:val="20"/>
                <w:szCs w:val="20"/>
              </w:rPr>
            </w:pPr>
            <w:r w:rsidRPr="00E61AC8">
              <w:rPr>
                <w:rStyle w:val="Strong"/>
                <w:rFonts w:asciiTheme="minorHAnsi" w:hAnsiTheme="minorHAnsi"/>
                <w:sz w:val="20"/>
                <w:szCs w:val="20"/>
              </w:rPr>
              <w:t xml:space="preserve">Total </w:t>
            </w:r>
          </w:p>
        </w:tc>
        <w:tc>
          <w:tcPr>
            <w:tcW w:w="675" w:type="dxa"/>
            <w:tcBorders>
              <w:top w:val="single" w:sz="4" w:space="0" w:color="0079C1"/>
              <w:left w:val="single" w:sz="4" w:space="0" w:color="0079C1"/>
              <w:bottom w:val="single" w:sz="4" w:space="0" w:color="0079C1" w:themeColor="text2"/>
            </w:tcBorders>
            <w:shd w:val="clear" w:color="auto" w:fill="E2F4FF" w:themeFill="accent1" w:themeFillTint="33"/>
            <w:vAlign w:val="center"/>
          </w:tcPr>
          <w:p w14:paraId="446BE5AB"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108</w:t>
            </w:r>
          </w:p>
        </w:tc>
        <w:tc>
          <w:tcPr>
            <w:tcW w:w="850" w:type="dxa"/>
            <w:tcBorders>
              <w:top w:val="single" w:sz="4" w:space="0" w:color="0079C1"/>
              <w:bottom w:val="single" w:sz="4" w:space="0" w:color="0079C1" w:themeColor="text2"/>
              <w:right w:val="single" w:sz="4" w:space="0" w:color="0079C1"/>
            </w:tcBorders>
            <w:shd w:val="clear" w:color="auto" w:fill="E2F4FF" w:themeFill="accent1" w:themeFillTint="33"/>
            <w:vAlign w:val="center"/>
          </w:tcPr>
          <w:p w14:paraId="7A569D65"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100.0%</w:t>
            </w:r>
          </w:p>
        </w:tc>
        <w:tc>
          <w:tcPr>
            <w:tcW w:w="593" w:type="dxa"/>
            <w:tcBorders>
              <w:top w:val="single" w:sz="4" w:space="0" w:color="0079C1"/>
              <w:left w:val="single" w:sz="4" w:space="0" w:color="0079C1"/>
              <w:bottom w:val="single" w:sz="4" w:space="0" w:color="0079C1" w:themeColor="text2"/>
            </w:tcBorders>
            <w:shd w:val="clear" w:color="auto" w:fill="E2F4FF" w:themeFill="accent1" w:themeFillTint="33"/>
            <w:vAlign w:val="center"/>
          </w:tcPr>
          <w:p w14:paraId="67E12872"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19</w:t>
            </w:r>
          </w:p>
        </w:tc>
        <w:tc>
          <w:tcPr>
            <w:tcW w:w="858" w:type="dxa"/>
            <w:tcBorders>
              <w:top w:val="single" w:sz="4" w:space="0" w:color="0079C1"/>
              <w:bottom w:val="single" w:sz="4" w:space="0" w:color="0079C1" w:themeColor="text2"/>
              <w:right w:val="single" w:sz="4" w:space="0" w:color="0079C1"/>
            </w:tcBorders>
            <w:shd w:val="clear" w:color="auto" w:fill="E2F4FF" w:themeFill="accent1" w:themeFillTint="33"/>
            <w:vAlign w:val="center"/>
          </w:tcPr>
          <w:p w14:paraId="43D987E3"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100.0%</w:t>
            </w:r>
          </w:p>
        </w:tc>
        <w:tc>
          <w:tcPr>
            <w:tcW w:w="674" w:type="dxa"/>
            <w:tcBorders>
              <w:top w:val="single" w:sz="4" w:space="0" w:color="0079C1"/>
              <w:left w:val="single" w:sz="4" w:space="0" w:color="0079C1"/>
              <w:bottom w:val="single" w:sz="4" w:space="0" w:color="0079C1" w:themeColor="text2"/>
            </w:tcBorders>
            <w:shd w:val="clear" w:color="auto" w:fill="E2F4FF" w:themeFill="accent1" w:themeFillTint="33"/>
            <w:vAlign w:val="center"/>
          </w:tcPr>
          <w:p w14:paraId="0B3EED94"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73</w:t>
            </w:r>
          </w:p>
        </w:tc>
        <w:tc>
          <w:tcPr>
            <w:tcW w:w="886" w:type="dxa"/>
            <w:tcBorders>
              <w:top w:val="single" w:sz="4" w:space="0" w:color="0079C1"/>
              <w:bottom w:val="single" w:sz="4" w:space="0" w:color="0079C1" w:themeColor="text2"/>
              <w:right w:val="single" w:sz="4" w:space="0" w:color="0079C1"/>
            </w:tcBorders>
            <w:shd w:val="clear" w:color="auto" w:fill="E2F4FF" w:themeFill="accent1" w:themeFillTint="33"/>
            <w:vAlign w:val="center"/>
          </w:tcPr>
          <w:p w14:paraId="082CFFA4"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100.0%</w:t>
            </w:r>
          </w:p>
        </w:tc>
        <w:tc>
          <w:tcPr>
            <w:tcW w:w="645" w:type="dxa"/>
            <w:tcBorders>
              <w:top w:val="single" w:sz="4" w:space="0" w:color="0079C1"/>
              <w:left w:val="single" w:sz="4" w:space="0" w:color="0079C1"/>
              <w:bottom w:val="single" w:sz="4" w:space="0" w:color="0079C1" w:themeColor="text2"/>
            </w:tcBorders>
            <w:shd w:val="clear" w:color="auto" w:fill="E2F4FF" w:themeFill="accent1" w:themeFillTint="33"/>
            <w:vAlign w:val="center"/>
          </w:tcPr>
          <w:p w14:paraId="4157E4E2"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20</w:t>
            </w:r>
          </w:p>
        </w:tc>
        <w:tc>
          <w:tcPr>
            <w:tcW w:w="914" w:type="dxa"/>
            <w:tcBorders>
              <w:top w:val="single" w:sz="4" w:space="0" w:color="0079C1"/>
              <w:bottom w:val="single" w:sz="4" w:space="0" w:color="0079C1" w:themeColor="text2"/>
              <w:right w:val="single" w:sz="4" w:space="0" w:color="0079C1"/>
            </w:tcBorders>
            <w:shd w:val="clear" w:color="auto" w:fill="E2F4FF" w:themeFill="accent1" w:themeFillTint="33"/>
            <w:vAlign w:val="center"/>
          </w:tcPr>
          <w:p w14:paraId="63F495AE"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100.0%</w:t>
            </w:r>
          </w:p>
        </w:tc>
        <w:tc>
          <w:tcPr>
            <w:tcW w:w="617" w:type="dxa"/>
            <w:tcBorders>
              <w:top w:val="single" w:sz="4" w:space="0" w:color="0079C1"/>
              <w:left w:val="single" w:sz="4" w:space="0" w:color="0079C1"/>
              <w:bottom w:val="single" w:sz="4" w:space="0" w:color="0079C1" w:themeColor="text2"/>
            </w:tcBorders>
            <w:shd w:val="clear" w:color="auto" w:fill="E2F4FF" w:themeFill="accent1" w:themeFillTint="33"/>
            <w:vAlign w:val="center"/>
          </w:tcPr>
          <w:p w14:paraId="391F1D69"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220</w:t>
            </w:r>
          </w:p>
        </w:tc>
        <w:tc>
          <w:tcPr>
            <w:tcW w:w="942" w:type="dxa"/>
            <w:tcBorders>
              <w:top w:val="single" w:sz="4" w:space="0" w:color="0079C1"/>
              <w:bottom w:val="single" w:sz="4" w:space="0" w:color="0079C1" w:themeColor="text2"/>
            </w:tcBorders>
            <w:shd w:val="clear" w:color="auto" w:fill="E2F4FF" w:themeFill="accent1" w:themeFillTint="33"/>
            <w:vAlign w:val="center"/>
          </w:tcPr>
          <w:p w14:paraId="79B81FE1"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100.0%</w:t>
            </w:r>
          </w:p>
        </w:tc>
      </w:tr>
    </w:tbl>
    <w:p w14:paraId="0F07C558" w14:textId="77777777" w:rsidR="00E61AC8" w:rsidRDefault="00E61AC8">
      <w:pPr>
        <w:rPr>
          <w:rFonts w:eastAsia="Arial Unicode MS" w:cs="Calibri"/>
          <w:b/>
          <w:iCs/>
          <w:noProof/>
          <w:color w:val="595959" w:themeColor="text1" w:themeTint="A6"/>
          <w:sz w:val="24"/>
          <w:szCs w:val="20"/>
          <w:lang w:eastAsia="en-AU"/>
        </w:rPr>
      </w:pPr>
      <w:r>
        <w:br w:type="page"/>
      </w:r>
    </w:p>
    <w:p w14:paraId="104838B3" w14:textId="58354793" w:rsidR="00655E7B" w:rsidRPr="00925F14" w:rsidRDefault="00655E7B" w:rsidP="00443759">
      <w:pPr>
        <w:pStyle w:val="Heading10"/>
      </w:pPr>
      <w:r w:rsidRPr="00925F14">
        <w:lastRenderedPageBreak/>
        <w:t xml:space="preserve">Age </w:t>
      </w:r>
      <w:r>
        <w:t>preference</w:t>
      </w:r>
    </w:p>
    <w:p w14:paraId="3DB3EAA4" w14:textId="6B6DA0C2" w:rsidR="00655E7B" w:rsidRPr="002B5E7B" w:rsidRDefault="005C159A" w:rsidP="00655E7B">
      <w:pPr>
        <w:spacing w:before="240" w:after="240" w:line="264" w:lineRule="auto"/>
      </w:pPr>
      <w:r>
        <w:t xml:space="preserve">More than half of all respondents </w:t>
      </w:r>
      <w:r w:rsidR="00655E7B" w:rsidRPr="005C159A">
        <w:t>(</w:t>
      </w:r>
      <w:r>
        <w:t>54.3%</w:t>
      </w:r>
      <w:r w:rsidR="00655E7B" w:rsidRPr="005C159A">
        <w:t xml:space="preserve">) </w:t>
      </w:r>
      <w:r>
        <w:t xml:space="preserve">indicated a preference for </w:t>
      </w:r>
      <w:r w:rsidR="00655E7B" w:rsidRPr="005C159A">
        <w:t>adopt</w:t>
      </w:r>
      <w:r>
        <w:t>ing a child u</w:t>
      </w:r>
      <w:r w:rsidR="00655E7B" w:rsidRPr="005C159A">
        <w:t>nder 3 years old (</w:t>
      </w:r>
      <w:r w:rsidRPr="005C159A">
        <w:rPr>
          <w:rStyle w:val="Emphasis"/>
        </w:rPr>
        <w:t>Table B-7</w:t>
      </w:r>
      <w:r w:rsidR="00655E7B" w:rsidRPr="005C159A">
        <w:t xml:space="preserve">).  </w:t>
      </w:r>
    </w:p>
    <w:p w14:paraId="5E920C63" w14:textId="2696D068" w:rsidR="0084213E" w:rsidRPr="0084213E" w:rsidRDefault="0084213E" w:rsidP="0084213E">
      <w:pPr>
        <w:pStyle w:val="Caption"/>
      </w:pPr>
      <w:r>
        <w:t xml:space="preserve">Table </w:t>
      </w:r>
      <w:r>
        <w:fldChar w:fldCharType="begin"/>
      </w:r>
      <w:r>
        <w:instrText xml:space="preserve"> STYLEREF 7 \s </w:instrText>
      </w:r>
      <w:r>
        <w:fldChar w:fldCharType="separate"/>
      </w:r>
      <w:r w:rsidR="00487073">
        <w:rPr>
          <w:noProof/>
        </w:rPr>
        <w:t>C</w:t>
      </w:r>
      <w:r>
        <w:fldChar w:fldCharType="end"/>
      </w:r>
      <w:r>
        <w:noBreakHyphen/>
      </w:r>
      <w:r>
        <w:fldChar w:fldCharType="begin"/>
      </w:r>
      <w:r>
        <w:instrText xml:space="preserve"> SEQ Table_Apx \* ARABIC \s 7 </w:instrText>
      </w:r>
      <w:r>
        <w:fldChar w:fldCharType="separate"/>
      </w:r>
      <w:r w:rsidR="00487073">
        <w:rPr>
          <w:noProof/>
        </w:rPr>
        <w:t>7</w:t>
      </w:r>
      <w:r>
        <w:fldChar w:fldCharType="end"/>
      </w:r>
      <w:r>
        <w:t>:</w:t>
      </w:r>
      <w:r>
        <w:tab/>
        <w:t>Preferred age of adoptive child</w:t>
      </w:r>
    </w:p>
    <w:tbl>
      <w:tblPr>
        <w:tblStyle w:val="TableGrid"/>
        <w:tblW w:w="9957" w:type="dxa"/>
        <w:tblInd w:w="108"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Description w:val="Table C 7: Preferred age of adoptive child "/>
      </w:tblPr>
      <w:tblGrid>
        <w:gridCol w:w="2302"/>
        <w:gridCol w:w="992"/>
        <w:gridCol w:w="898"/>
        <w:gridCol w:w="50"/>
        <w:gridCol w:w="612"/>
        <w:gridCol w:w="809"/>
        <w:gridCol w:w="710"/>
        <w:gridCol w:w="749"/>
        <w:gridCol w:w="666"/>
        <w:gridCol w:w="751"/>
        <w:gridCol w:w="661"/>
        <w:gridCol w:w="757"/>
      </w:tblGrid>
      <w:tr w:rsidR="00655E7B" w:rsidRPr="00E61AC8" w14:paraId="54C6AA88" w14:textId="77777777" w:rsidTr="008E7495">
        <w:trPr>
          <w:tblHeader/>
        </w:trPr>
        <w:tc>
          <w:tcPr>
            <w:tcW w:w="2302" w:type="dxa"/>
            <w:vMerge w:val="restart"/>
            <w:tcBorders>
              <w:top w:val="single" w:sz="4" w:space="0" w:color="0079C1" w:themeColor="text2"/>
            </w:tcBorders>
            <w:shd w:val="clear" w:color="auto" w:fill="0079C1" w:themeFill="text2"/>
            <w:vAlign w:val="center"/>
          </w:tcPr>
          <w:p w14:paraId="63217F72" w14:textId="77777777" w:rsidR="00655E7B" w:rsidRPr="00E61AC8" w:rsidRDefault="00655E7B" w:rsidP="004B28FE">
            <w:pPr>
              <w:keepLines/>
              <w:tabs>
                <w:tab w:val="left" w:pos="318"/>
              </w:tabs>
              <w:spacing w:before="120" w:after="120"/>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Preferred age of adoptive child</w:t>
            </w:r>
          </w:p>
        </w:tc>
        <w:tc>
          <w:tcPr>
            <w:tcW w:w="3361" w:type="dxa"/>
            <w:gridSpan w:val="5"/>
            <w:tcBorders>
              <w:top w:val="single" w:sz="4" w:space="0" w:color="0079C1" w:themeColor="text2"/>
              <w:bottom w:val="single" w:sz="4" w:space="0" w:color="BFE7FF" w:themeColor="text2" w:themeTint="33"/>
            </w:tcBorders>
            <w:shd w:val="clear" w:color="auto" w:fill="0079C1" w:themeFill="text2"/>
          </w:tcPr>
          <w:p w14:paraId="17231CF8"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Wanting to adopt</w:t>
            </w:r>
          </w:p>
        </w:tc>
        <w:tc>
          <w:tcPr>
            <w:tcW w:w="1459" w:type="dxa"/>
            <w:gridSpan w:val="2"/>
            <w:vMerge w:val="restart"/>
            <w:tcBorders>
              <w:top w:val="single" w:sz="4" w:space="0" w:color="0079C1" w:themeColor="text2"/>
            </w:tcBorders>
            <w:shd w:val="clear" w:color="auto" w:fill="0079C1" w:themeFill="text2"/>
            <w:vAlign w:val="center"/>
          </w:tcPr>
          <w:p w14:paraId="391B26CB"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Post adoption</w:t>
            </w:r>
          </w:p>
        </w:tc>
        <w:tc>
          <w:tcPr>
            <w:tcW w:w="1417" w:type="dxa"/>
            <w:gridSpan w:val="2"/>
            <w:vMerge w:val="restart"/>
            <w:tcBorders>
              <w:top w:val="single" w:sz="4" w:space="0" w:color="0079C1" w:themeColor="text2"/>
            </w:tcBorders>
            <w:shd w:val="clear" w:color="auto" w:fill="0079C1" w:themeFill="text2"/>
            <w:vAlign w:val="center"/>
          </w:tcPr>
          <w:p w14:paraId="61AC0546"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Did not continue</w:t>
            </w:r>
          </w:p>
        </w:tc>
        <w:tc>
          <w:tcPr>
            <w:tcW w:w="1418" w:type="dxa"/>
            <w:gridSpan w:val="2"/>
            <w:vMerge w:val="restart"/>
            <w:tcBorders>
              <w:top w:val="single" w:sz="4" w:space="0" w:color="0079C1" w:themeColor="text2"/>
            </w:tcBorders>
            <w:shd w:val="clear" w:color="auto" w:fill="0079C1" w:themeFill="text2"/>
            <w:vAlign w:val="center"/>
          </w:tcPr>
          <w:p w14:paraId="1F532BDE"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Total</w:t>
            </w:r>
          </w:p>
        </w:tc>
      </w:tr>
      <w:tr w:rsidR="00655E7B" w:rsidRPr="00E61AC8" w14:paraId="3B05B651" w14:textId="77777777" w:rsidTr="008E7495">
        <w:trPr>
          <w:tblHeader/>
        </w:trPr>
        <w:tc>
          <w:tcPr>
            <w:tcW w:w="2302" w:type="dxa"/>
            <w:vMerge/>
            <w:tcBorders>
              <w:top w:val="single" w:sz="4" w:space="0" w:color="0079C1" w:themeColor="text2"/>
            </w:tcBorders>
            <w:shd w:val="clear" w:color="auto" w:fill="0079C1" w:themeFill="text2"/>
          </w:tcPr>
          <w:p w14:paraId="6488F6CD" w14:textId="77777777" w:rsidR="00655E7B" w:rsidRPr="00E61AC8" w:rsidRDefault="00655E7B" w:rsidP="004B28FE">
            <w:pPr>
              <w:keepLines/>
              <w:tabs>
                <w:tab w:val="left" w:pos="318"/>
              </w:tabs>
              <w:spacing w:before="120" w:after="120"/>
              <w:rPr>
                <w:rFonts w:eastAsiaTheme="minorHAnsi" w:cs="Calibri"/>
                <w:b/>
                <w:color w:val="FFFFFF" w:themeColor="background1"/>
                <w:sz w:val="20"/>
                <w:szCs w:val="20"/>
                <w:lang w:eastAsia="en-AU"/>
              </w:rPr>
            </w:pPr>
          </w:p>
        </w:tc>
        <w:tc>
          <w:tcPr>
            <w:tcW w:w="1890" w:type="dxa"/>
            <w:gridSpan w:val="2"/>
            <w:tcBorders>
              <w:top w:val="single" w:sz="4" w:space="0" w:color="0079C1" w:themeColor="text2"/>
              <w:bottom w:val="single" w:sz="4" w:space="0" w:color="BFE7FF" w:themeColor="text2" w:themeTint="33"/>
              <w:right w:val="nil"/>
            </w:tcBorders>
            <w:shd w:val="clear" w:color="auto" w:fill="0079C1" w:themeFill="text2"/>
          </w:tcPr>
          <w:p w14:paraId="7570F6AD"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First time</w:t>
            </w:r>
          </w:p>
        </w:tc>
        <w:tc>
          <w:tcPr>
            <w:tcW w:w="1471" w:type="dxa"/>
            <w:gridSpan w:val="3"/>
            <w:tcBorders>
              <w:top w:val="single" w:sz="4" w:space="0" w:color="0079C1" w:themeColor="text2"/>
              <w:left w:val="nil"/>
              <w:bottom w:val="single" w:sz="4" w:space="0" w:color="BFE7FF" w:themeColor="text2" w:themeTint="33"/>
            </w:tcBorders>
            <w:shd w:val="clear" w:color="auto" w:fill="0079C1" w:themeFill="text2"/>
          </w:tcPr>
          <w:p w14:paraId="09B453BF"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Repeat</w:t>
            </w:r>
          </w:p>
        </w:tc>
        <w:tc>
          <w:tcPr>
            <w:tcW w:w="1459" w:type="dxa"/>
            <w:gridSpan w:val="2"/>
            <w:vMerge/>
            <w:tcBorders>
              <w:bottom w:val="single" w:sz="4" w:space="0" w:color="BFE7FF" w:themeColor="text2" w:themeTint="33"/>
            </w:tcBorders>
            <w:shd w:val="clear" w:color="auto" w:fill="0079C1" w:themeFill="text2"/>
          </w:tcPr>
          <w:p w14:paraId="65FD7477" w14:textId="77777777" w:rsidR="00655E7B" w:rsidRPr="00E61AC8" w:rsidRDefault="00655E7B" w:rsidP="004B28FE">
            <w:pPr>
              <w:keepLines/>
              <w:tabs>
                <w:tab w:val="left" w:pos="318"/>
              </w:tabs>
              <w:spacing w:before="120" w:after="120"/>
              <w:rPr>
                <w:rFonts w:eastAsiaTheme="minorHAnsi" w:cs="Calibri"/>
                <w:b/>
                <w:color w:val="FFFFFF" w:themeColor="background1"/>
                <w:sz w:val="20"/>
                <w:szCs w:val="20"/>
                <w:lang w:eastAsia="en-AU"/>
              </w:rPr>
            </w:pPr>
          </w:p>
        </w:tc>
        <w:tc>
          <w:tcPr>
            <w:tcW w:w="1417" w:type="dxa"/>
            <w:gridSpan w:val="2"/>
            <w:vMerge/>
            <w:tcBorders>
              <w:bottom w:val="single" w:sz="4" w:space="0" w:color="BFE7FF" w:themeColor="text2" w:themeTint="33"/>
            </w:tcBorders>
            <w:shd w:val="clear" w:color="auto" w:fill="0079C1" w:themeFill="text2"/>
          </w:tcPr>
          <w:p w14:paraId="4769EE45" w14:textId="77777777" w:rsidR="00655E7B" w:rsidRPr="00E61AC8" w:rsidRDefault="00655E7B" w:rsidP="004B28FE">
            <w:pPr>
              <w:keepLines/>
              <w:tabs>
                <w:tab w:val="left" w:pos="318"/>
              </w:tabs>
              <w:spacing w:before="120" w:after="120"/>
              <w:rPr>
                <w:rFonts w:eastAsiaTheme="minorHAnsi" w:cs="Calibri"/>
                <w:b/>
                <w:color w:val="FFFFFF" w:themeColor="background1"/>
                <w:sz w:val="20"/>
                <w:szCs w:val="20"/>
                <w:lang w:eastAsia="en-AU"/>
              </w:rPr>
            </w:pPr>
          </w:p>
        </w:tc>
        <w:tc>
          <w:tcPr>
            <w:tcW w:w="1418" w:type="dxa"/>
            <w:gridSpan w:val="2"/>
            <w:vMerge/>
            <w:tcBorders>
              <w:bottom w:val="single" w:sz="4" w:space="0" w:color="BFE7FF" w:themeColor="text2" w:themeTint="33"/>
            </w:tcBorders>
            <w:shd w:val="clear" w:color="auto" w:fill="0079C1" w:themeFill="text2"/>
          </w:tcPr>
          <w:p w14:paraId="45E69C44"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p>
        </w:tc>
      </w:tr>
      <w:tr w:rsidR="00655E7B" w:rsidRPr="00E61AC8" w14:paraId="3C2752EA" w14:textId="77777777" w:rsidTr="008E7495">
        <w:trPr>
          <w:tblHeader/>
        </w:trPr>
        <w:tc>
          <w:tcPr>
            <w:tcW w:w="2302" w:type="dxa"/>
            <w:vMerge/>
          </w:tcPr>
          <w:p w14:paraId="6530248E" w14:textId="77777777" w:rsidR="00655E7B" w:rsidRPr="00E61AC8" w:rsidRDefault="00655E7B" w:rsidP="004B28FE">
            <w:pPr>
              <w:tabs>
                <w:tab w:val="left" w:pos="318"/>
              </w:tabs>
              <w:spacing w:before="60" w:after="60"/>
              <w:rPr>
                <w:rFonts w:cs="Arial"/>
                <w:color w:val="333333"/>
                <w:sz w:val="20"/>
                <w:szCs w:val="20"/>
              </w:rPr>
            </w:pPr>
          </w:p>
        </w:tc>
        <w:tc>
          <w:tcPr>
            <w:tcW w:w="992" w:type="dxa"/>
            <w:tcBorders>
              <w:top w:val="single" w:sz="4" w:space="0" w:color="BFE7FF" w:themeColor="text2" w:themeTint="33"/>
            </w:tcBorders>
            <w:shd w:val="clear" w:color="auto" w:fill="0079C1" w:themeFill="text2"/>
          </w:tcPr>
          <w:p w14:paraId="02F74158"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n</w:t>
            </w:r>
          </w:p>
        </w:tc>
        <w:tc>
          <w:tcPr>
            <w:tcW w:w="948" w:type="dxa"/>
            <w:gridSpan w:val="2"/>
            <w:tcBorders>
              <w:top w:val="single" w:sz="4" w:space="0" w:color="BFE7FF" w:themeColor="text2" w:themeTint="33"/>
            </w:tcBorders>
            <w:shd w:val="clear" w:color="auto" w:fill="0079C1" w:themeFill="text2"/>
          </w:tcPr>
          <w:p w14:paraId="629273B4"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w:t>
            </w:r>
          </w:p>
        </w:tc>
        <w:tc>
          <w:tcPr>
            <w:tcW w:w="612" w:type="dxa"/>
            <w:tcBorders>
              <w:top w:val="single" w:sz="4" w:space="0" w:color="BFE7FF" w:themeColor="text2" w:themeTint="33"/>
            </w:tcBorders>
            <w:shd w:val="clear" w:color="auto" w:fill="0079C1" w:themeFill="text2"/>
          </w:tcPr>
          <w:p w14:paraId="276DBD13"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n</w:t>
            </w:r>
          </w:p>
        </w:tc>
        <w:tc>
          <w:tcPr>
            <w:tcW w:w="809" w:type="dxa"/>
            <w:tcBorders>
              <w:top w:val="single" w:sz="4" w:space="0" w:color="BFE7FF" w:themeColor="text2" w:themeTint="33"/>
            </w:tcBorders>
            <w:shd w:val="clear" w:color="auto" w:fill="0079C1" w:themeFill="text2"/>
          </w:tcPr>
          <w:p w14:paraId="37FB55F9"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w:t>
            </w:r>
          </w:p>
        </w:tc>
        <w:tc>
          <w:tcPr>
            <w:tcW w:w="710" w:type="dxa"/>
            <w:tcBorders>
              <w:top w:val="single" w:sz="4" w:space="0" w:color="BFE7FF" w:themeColor="text2" w:themeTint="33"/>
            </w:tcBorders>
            <w:shd w:val="clear" w:color="auto" w:fill="0079C1" w:themeFill="text2"/>
          </w:tcPr>
          <w:p w14:paraId="401E03A7"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n</w:t>
            </w:r>
          </w:p>
        </w:tc>
        <w:tc>
          <w:tcPr>
            <w:tcW w:w="749" w:type="dxa"/>
            <w:tcBorders>
              <w:top w:val="single" w:sz="4" w:space="0" w:color="BFE7FF" w:themeColor="text2" w:themeTint="33"/>
            </w:tcBorders>
            <w:shd w:val="clear" w:color="auto" w:fill="0079C1" w:themeFill="text2"/>
          </w:tcPr>
          <w:p w14:paraId="5A7F0179"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w:t>
            </w:r>
          </w:p>
        </w:tc>
        <w:tc>
          <w:tcPr>
            <w:tcW w:w="666" w:type="dxa"/>
            <w:tcBorders>
              <w:top w:val="single" w:sz="4" w:space="0" w:color="BFE7FF" w:themeColor="text2" w:themeTint="33"/>
            </w:tcBorders>
            <w:shd w:val="clear" w:color="auto" w:fill="0079C1" w:themeFill="text2"/>
          </w:tcPr>
          <w:p w14:paraId="556856B2"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n</w:t>
            </w:r>
          </w:p>
        </w:tc>
        <w:tc>
          <w:tcPr>
            <w:tcW w:w="751" w:type="dxa"/>
            <w:tcBorders>
              <w:top w:val="single" w:sz="4" w:space="0" w:color="BFE7FF" w:themeColor="text2" w:themeTint="33"/>
            </w:tcBorders>
            <w:shd w:val="clear" w:color="auto" w:fill="0079C1" w:themeFill="text2"/>
          </w:tcPr>
          <w:p w14:paraId="1ED2DF68"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w:t>
            </w:r>
          </w:p>
        </w:tc>
        <w:tc>
          <w:tcPr>
            <w:tcW w:w="661" w:type="dxa"/>
            <w:tcBorders>
              <w:top w:val="single" w:sz="4" w:space="0" w:color="BFE7FF" w:themeColor="text2" w:themeTint="33"/>
              <w:bottom w:val="nil"/>
            </w:tcBorders>
            <w:shd w:val="clear" w:color="auto" w:fill="0079C1" w:themeFill="text2"/>
          </w:tcPr>
          <w:p w14:paraId="1AD14C1C"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n</w:t>
            </w:r>
          </w:p>
        </w:tc>
        <w:tc>
          <w:tcPr>
            <w:tcW w:w="757" w:type="dxa"/>
            <w:tcBorders>
              <w:top w:val="single" w:sz="4" w:space="0" w:color="BFE7FF" w:themeColor="text2" w:themeTint="33"/>
              <w:bottom w:val="nil"/>
            </w:tcBorders>
            <w:shd w:val="clear" w:color="auto" w:fill="0079C1" w:themeFill="text2"/>
          </w:tcPr>
          <w:p w14:paraId="6A6191E8"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w:t>
            </w:r>
          </w:p>
        </w:tc>
      </w:tr>
      <w:tr w:rsidR="00655E7B" w:rsidRPr="00E61AC8" w14:paraId="01904509" w14:textId="77777777" w:rsidTr="00E61AC8">
        <w:tc>
          <w:tcPr>
            <w:tcW w:w="2302" w:type="dxa"/>
            <w:tcBorders>
              <w:top w:val="single" w:sz="4" w:space="0" w:color="0079C1" w:themeColor="text2"/>
              <w:right w:val="single" w:sz="4" w:space="0" w:color="0079C1"/>
            </w:tcBorders>
          </w:tcPr>
          <w:p w14:paraId="4BA4A87C" w14:textId="77777777" w:rsidR="00655E7B" w:rsidRPr="00E61AC8" w:rsidRDefault="00655E7B" w:rsidP="004B28FE">
            <w:pPr>
              <w:tabs>
                <w:tab w:val="left" w:pos="318"/>
              </w:tabs>
              <w:spacing w:before="60" w:after="60"/>
              <w:rPr>
                <w:rFonts w:asciiTheme="minorHAnsi" w:hAnsiTheme="minorHAnsi"/>
                <w:color w:val="000000" w:themeColor="text1"/>
                <w:sz w:val="20"/>
                <w:szCs w:val="20"/>
              </w:rPr>
            </w:pPr>
            <w:r w:rsidRPr="00E61AC8">
              <w:rPr>
                <w:rFonts w:asciiTheme="minorHAnsi" w:hAnsiTheme="minorHAnsi"/>
                <w:sz w:val="20"/>
                <w:szCs w:val="20"/>
              </w:rPr>
              <w:t>Under 3 years old</w:t>
            </w:r>
          </w:p>
        </w:tc>
        <w:tc>
          <w:tcPr>
            <w:tcW w:w="992" w:type="dxa"/>
            <w:tcBorders>
              <w:top w:val="single" w:sz="4" w:space="0" w:color="0079C1" w:themeColor="text2"/>
              <w:left w:val="single" w:sz="4" w:space="0" w:color="0079C1"/>
            </w:tcBorders>
          </w:tcPr>
          <w:p w14:paraId="06E06FD9"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69</w:t>
            </w:r>
          </w:p>
        </w:tc>
        <w:tc>
          <w:tcPr>
            <w:tcW w:w="948" w:type="dxa"/>
            <w:gridSpan w:val="2"/>
            <w:tcBorders>
              <w:top w:val="single" w:sz="4" w:space="0" w:color="0079C1" w:themeColor="text2"/>
              <w:right w:val="single" w:sz="4" w:space="0" w:color="0079C1"/>
            </w:tcBorders>
          </w:tcPr>
          <w:p w14:paraId="6B2F804A"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52.7%</w:t>
            </w:r>
          </w:p>
        </w:tc>
        <w:tc>
          <w:tcPr>
            <w:tcW w:w="612" w:type="dxa"/>
            <w:tcBorders>
              <w:top w:val="single" w:sz="4" w:space="0" w:color="0079C1" w:themeColor="text2"/>
              <w:left w:val="single" w:sz="4" w:space="0" w:color="0079C1"/>
            </w:tcBorders>
          </w:tcPr>
          <w:p w14:paraId="18599A62"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8</w:t>
            </w:r>
          </w:p>
        </w:tc>
        <w:tc>
          <w:tcPr>
            <w:tcW w:w="809" w:type="dxa"/>
            <w:tcBorders>
              <w:top w:val="single" w:sz="4" w:space="0" w:color="0079C1" w:themeColor="text2"/>
              <w:right w:val="single" w:sz="4" w:space="0" w:color="0079C1"/>
            </w:tcBorders>
          </w:tcPr>
          <w:p w14:paraId="4084730D"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32.0%</w:t>
            </w:r>
          </w:p>
        </w:tc>
        <w:tc>
          <w:tcPr>
            <w:tcW w:w="710" w:type="dxa"/>
            <w:tcBorders>
              <w:top w:val="single" w:sz="4" w:space="0" w:color="0079C1" w:themeColor="text2"/>
              <w:left w:val="single" w:sz="4" w:space="0" w:color="0079C1"/>
            </w:tcBorders>
          </w:tcPr>
          <w:p w14:paraId="343E7E35"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47</w:t>
            </w:r>
          </w:p>
        </w:tc>
        <w:tc>
          <w:tcPr>
            <w:tcW w:w="749" w:type="dxa"/>
            <w:tcBorders>
              <w:top w:val="nil"/>
              <w:right w:val="single" w:sz="4" w:space="0" w:color="0079C1"/>
            </w:tcBorders>
          </w:tcPr>
          <w:p w14:paraId="5C7C91D7"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60.3%</w:t>
            </w:r>
          </w:p>
        </w:tc>
        <w:tc>
          <w:tcPr>
            <w:tcW w:w="666" w:type="dxa"/>
            <w:tcBorders>
              <w:top w:val="nil"/>
              <w:left w:val="single" w:sz="4" w:space="0" w:color="0079C1"/>
            </w:tcBorders>
          </w:tcPr>
          <w:p w14:paraId="31F3D619"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15</w:t>
            </w:r>
          </w:p>
        </w:tc>
        <w:tc>
          <w:tcPr>
            <w:tcW w:w="751" w:type="dxa"/>
            <w:tcBorders>
              <w:top w:val="nil"/>
              <w:right w:val="single" w:sz="4" w:space="0" w:color="0079C1"/>
            </w:tcBorders>
          </w:tcPr>
          <w:p w14:paraId="7269539F"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68.2%</w:t>
            </w:r>
          </w:p>
        </w:tc>
        <w:tc>
          <w:tcPr>
            <w:tcW w:w="661" w:type="dxa"/>
            <w:tcBorders>
              <w:top w:val="nil"/>
              <w:left w:val="single" w:sz="4" w:space="0" w:color="0079C1"/>
            </w:tcBorders>
          </w:tcPr>
          <w:p w14:paraId="4DB9F319"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139</w:t>
            </w:r>
          </w:p>
        </w:tc>
        <w:tc>
          <w:tcPr>
            <w:tcW w:w="757" w:type="dxa"/>
            <w:tcBorders>
              <w:top w:val="nil"/>
            </w:tcBorders>
          </w:tcPr>
          <w:p w14:paraId="71AFD521"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54.3%</w:t>
            </w:r>
          </w:p>
        </w:tc>
      </w:tr>
      <w:tr w:rsidR="00655E7B" w:rsidRPr="00E61AC8" w14:paraId="504A858C" w14:textId="77777777" w:rsidTr="00E61AC8">
        <w:tc>
          <w:tcPr>
            <w:tcW w:w="2302" w:type="dxa"/>
            <w:tcBorders>
              <w:right w:val="single" w:sz="4" w:space="0" w:color="0079C1"/>
            </w:tcBorders>
          </w:tcPr>
          <w:p w14:paraId="16B50911" w14:textId="77777777" w:rsidR="00655E7B" w:rsidRPr="00E61AC8" w:rsidRDefault="00655E7B" w:rsidP="004B28FE">
            <w:pPr>
              <w:tabs>
                <w:tab w:val="left" w:pos="318"/>
              </w:tabs>
              <w:spacing w:before="60" w:after="60"/>
              <w:rPr>
                <w:rFonts w:asciiTheme="minorHAnsi" w:hAnsiTheme="minorHAnsi"/>
                <w:color w:val="000000" w:themeColor="text1"/>
                <w:sz w:val="20"/>
                <w:szCs w:val="20"/>
              </w:rPr>
            </w:pPr>
            <w:r w:rsidRPr="00E61AC8">
              <w:rPr>
                <w:rFonts w:asciiTheme="minorHAnsi" w:hAnsiTheme="minorHAnsi"/>
                <w:sz w:val="20"/>
                <w:szCs w:val="20"/>
              </w:rPr>
              <w:t>3 years to under 7 years</w:t>
            </w:r>
          </w:p>
        </w:tc>
        <w:tc>
          <w:tcPr>
            <w:tcW w:w="992" w:type="dxa"/>
            <w:tcBorders>
              <w:left w:val="single" w:sz="4" w:space="0" w:color="0079C1"/>
            </w:tcBorders>
          </w:tcPr>
          <w:p w14:paraId="3A299DC1"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34</w:t>
            </w:r>
          </w:p>
        </w:tc>
        <w:tc>
          <w:tcPr>
            <w:tcW w:w="948" w:type="dxa"/>
            <w:gridSpan w:val="2"/>
            <w:tcBorders>
              <w:right w:val="single" w:sz="4" w:space="0" w:color="0079C1"/>
            </w:tcBorders>
          </w:tcPr>
          <w:p w14:paraId="6995CC84"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26.0%</w:t>
            </w:r>
          </w:p>
        </w:tc>
        <w:tc>
          <w:tcPr>
            <w:tcW w:w="612" w:type="dxa"/>
            <w:tcBorders>
              <w:left w:val="single" w:sz="4" w:space="0" w:color="0079C1"/>
            </w:tcBorders>
          </w:tcPr>
          <w:p w14:paraId="32D3CC8E"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10</w:t>
            </w:r>
          </w:p>
        </w:tc>
        <w:tc>
          <w:tcPr>
            <w:tcW w:w="809" w:type="dxa"/>
            <w:tcBorders>
              <w:right w:val="single" w:sz="4" w:space="0" w:color="0079C1"/>
            </w:tcBorders>
          </w:tcPr>
          <w:p w14:paraId="025B2CF2"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40.0%</w:t>
            </w:r>
          </w:p>
        </w:tc>
        <w:tc>
          <w:tcPr>
            <w:tcW w:w="710" w:type="dxa"/>
            <w:tcBorders>
              <w:left w:val="single" w:sz="4" w:space="0" w:color="0079C1"/>
            </w:tcBorders>
          </w:tcPr>
          <w:p w14:paraId="7ED7ECB8"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16</w:t>
            </w:r>
          </w:p>
        </w:tc>
        <w:tc>
          <w:tcPr>
            <w:tcW w:w="749" w:type="dxa"/>
            <w:tcBorders>
              <w:right w:val="single" w:sz="4" w:space="0" w:color="0079C1"/>
            </w:tcBorders>
          </w:tcPr>
          <w:p w14:paraId="3CA14083"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20.5%</w:t>
            </w:r>
          </w:p>
        </w:tc>
        <w:tc>
          <w:tcPr>
            <w:tcW w:w="666" w:type="dxa"/>
            <w:tcBorders>
              <w:left w:val="single" w:sz="4" w:space="0" w:color="0079C1"/>
            </w:tcBorders>
          </w:tcPr>
          <w:p w14:paraId="1134C120"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3</w:t>
            </w:r>
          </w:p>
        </w:tc>
        <w:tc>
          <w:tcPr>
            <w:tcW w:w="751" w:type="dxa"/>
            <w:tcBorders>
              <w:right w:val="single" w:sz="4" w:space="0" w:color="0079C1"/>
            </w:tcBorders>
          </w:tcPr>
          <w:p w14:paraId="2FE1B2CE"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13.6%</w:t>
            </w:r>
          </w:p>
        </w:tc>
        <w:tc>
          <w:tcPr>
            <w:tcW w:w="661" w:type="dxa"/>
            <w:tcBorders>
              <w:left w:val="single" w:sz="4" w:space="0" w:color="0079C1"/>
            </w:tcBorders>
          </w:tcPr>
          <w:p w14:paraId="00955BF0"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63</w:t>
            </w:r>
          </w:p>
        </w:tc>
        <w:tc>
          <w:tcPr>
            <w:tcW w:w="757" w:type="dxa"/>
          </w:tcPr>
          <w:p w14:paraId="7CF4A428"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24.6%</w:t>
            </w:r>
          </w:p>
        </w:tc>
      </w:tr>
      <w:tr w:rsidR="00655E7B" w:rsidRPr="00E61AC8" w14:paraId="593EAB0B" w14:textId="77777777" w:rsidTr="00E61AC8">
        <w:tc>
          <w:tcPr>
            <w:tcW w:w="2302" w:type="dxa"/>
            <w:tcBorders>
              <w:right w:val="single" w:sz="4" w:space="0" w:color="0079C1"/>
            </w:tcBorders>
          </w:tcPr>
          <w:p w14:paraId="55F22A58" w14:textId="77777777" w:rsidR="00655E7B" w:rsidRPr="00E61AC8" w:rsidRDefault="00655E7B" w:rsidP="004B28FE">
            <w:pPr>
              <w:tabs>
                <w:tab w:val="left" w:pos="318"/>
              </w:tabs>
              <w:spacing w:before="60" w:after="60"/>
              <w:rPr>
                <w:rFonts w:asciiTheme="minorHAnsi" w:hAnsiTheme="minorHAnsi"/>
                <w:color w:val="000000" w:themeColor="text1"/>
                <w:sz w:val="20"/>
                <w:szCs w:val="20"/>
              </w:rPr>
            </w:pPr>
            <w:r w:rsidRPr="00E61AC8">
              <w:rPr>
                <w:rFonts w:asciiTheme="minorHAnsi" w:hAnsiTheme="minorHAnsi"/>
                <w:sz w:val="20"/>
                <w:szCs w:val="20"/>
              </w:rPr>
              <w:t xml:space="preserve">7 years to under 10 years </w:t>
            </w:r>
          </w:p>
        </w:tc>
        <w:tc>
          <w:tcPr>
            <w:tcW w:w="992" w:type="dxa"/>
            <w:tcBorders>
              <w:left w:val="single" w:sz="4" w:space="0" w:color="0079C1"/>
            </w:tcBorders>
          </w:tcPr>
          <w:p w14:paraId="464F4DAE"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5</w:t>
            </w:r>
          </w:p>
        </w:tc>
        <w:tc>
          <w:tcPr>
            <w:tcW w:w="948" w:type="dxa"/>
            <w:gridSpan w:val="2"/>
            <w:tcBorders>
              <w:right w:val="single" w:sz="4" w:space="0" w:color="0079C1"/>
            </w:tcBorders>
          </w:tcPr>
          <w:p w14:paraId="6B63F2A3"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3.8%</w:t>
            </w:r>
          </w:p>
        </w:tc>
        <w:tc>
          <w:tcPr>
            <w:tcW w:w="612" w:type="dxa"/>
            <w:tcBorders>
              <w:left w:val="single" w:sz="4" w:space="0" w:color="0079C1"/>
            </w:tcBorders>
          </w:tcPr>
          <w:p w14:paraId="74603CAA"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2</w:t>
            </w:r>
          </w:p>
        </w:tc>
        <w:tc>
          <w:tcPr>
            <w:tcW w:w="809" w:type="dxa"/>
            <w:tcBorders>
              <w:right w:val="single" w:sz="4" w:space="0" w:color="0079C1"/>
            </w:tcBorders>
          </w:tcPr>
          <w:p w14:paraId="2B0443DD"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8.0%</w:t>
            </w:r>
          </w:p>
        </w:tc>
        <w:tc>
          <w:tcPr>
            <w:tcW w:w="710" w:type="dxa"/>
            <w:tcBorders>
              <w:left w:val="single" w:sz="4" w:space="0" w:color="0079C1"/>
            </w:tcBorders>
          </w:tcPr>
          <w:p w14:paraId="5DAC43BC"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7</w:t>
            </w:r>
          </w:p>
        </w:tc>
        <w:tc>
          <w:tcPr>
            <w:tcW w:w="749" w:type="dxa"/>
            <w:tcBorders>
              <w:right w:val="single" w:sz="4" w:space="0" w:color="0079C1"/>
            </w:tcBorders>
          </w:tcPr>
          <w:p w14:paraId="34AF63F5"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9.0%</w:t>
            </w:r>
          </w:p>
        </w:tc>
        <w:tc>
          <w:tcPr>
            <w:tcW w:w="666" w:type="dxa"/>
            <w:tcBorders>
              <w:left w:val="single" w:sz="4" w:space="0" w:color="0079C1"/>
            </w:tcBorders>
          </w:tcPr>
          <w:p w14:paraId="479A6D9E"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0</w:t>
            </w:r>
          </w:p>
        </w:tc>
        <w:tc>
          <w:tcPr>
            <w:tcW w:w="751" w:type="dxa"/>
            <w:tcBorders>
              <w:right w:val="single" w:sz="4" w:space="0" w:color="0079C1"/>
            </w:tcBorders>
          </w:tcPr>
          <w:p w14:paraId="0A6C2869"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0.0%</w:t>
            </w:r>
          </w:p>
        </w:tc>
        <w:tc>
          <w:tcPr>
            <w:tcW w:w="661" w:type="dxa"/>
            <w:tcBorders>
              <w:left w:val="single" w:sz="4" w:space="0" w:color="0079C1"/>
            </w:tcBorders>
          </w:tcPr>
          <w:p w14:paraId="7256E7BC"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14</w:t>
            </w:r>
          </w:p>
        </w:tc>
        <w:tc>
          <w:tcPr>
            <w:tcW w:w="757" w:type="dxa"/>
          </w:tcPr>
          <w:p w14:paraId="0B04FBDB"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5.5%</w:t>
            </w:r>
          </w:p>
        </w:tc>
      </w:tr>
      <w:tr w:rsidR="00655E7B" w:rsidRPr="00E61AC8" w14:paraId="2C4B933E" w14:textId="77777777" w:rsidTr="00E61AC8">
        <w:tc>
          <w:tcPr>
            <w:tcW w:w="2302" w:type="dxa"/>
            <w:tcBorders>
              <w:right w:val="single" w:sz="4" w:space="0" w:color="0079C1"/>
            </w:tcBorders>
          </w:tcPr>
          <w:p w14:paraId="54349E76" w14:textId="77777777" w:rsidR="00655E7B" w:rsidRPr="00E61AC8" w:rsidRDefault="00655E7B" w:rsidP="004B28FE">
            <w:pPr>
              <w:tabs>
                <w:tab w:val="left" w:pos="318"/>
              </w:tabs>
              <w:spacing w:before="60" w:after="60"/>
              <w:rPr>
                <w:rFonts w:asciiTheme="minorHAnsi" w:hAnsiTheme="minorHAnsi"/>
                <w:color w:val="000000" w:themeColor="text1"/>
                <w:sz w:val="20"/>
                <w:szCs w:val="20"/>
              </w:rPr>
            </w:pPr>
            <w:r w:rsidRPr="00E61AC8">
              <w:rPr>
                <w:rFonts w:asciiTheme="minorHAnsi" w:hAnsiTheme="minorHAnsi"/>
                <w:sz w:val="20"/>
                <w:szCs w:val="20"/>
              </w:rPr>
              <w:t>Older than 10 years</w:t>
            </w:r>
          </w:p>
        </w:tc>
        <w:tc>
          <w:tcPr>
            <w:tcW w:w="992" w:type="dxa"/>
            <w:tcBorders>
              <w:left w:val="single" w:sz="4" w:space="0" w:color="0079C1"/>
            </w:tcBorders>
          </w:tcPr>
          <w:p w14:paraId="01AFEA11"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2</w:t>
            </w:r>
          </w:p>
        </w:tc>
        <w:tc>
          <w:tcPr>
            <w:tcW w:w="948" w:type="dxa"/>
            <w:gridSpan w:val="2"/>
            <w:tcBorders>
              <w:right w:val="single" w:sz="4" w:space="0" w:color="0079C1"/>
            </w:tcBorders>
          </w:tcPr>
          <w:p w14:paraId="54B32F71"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1.5%</w:t>
            </w:r>
          </w:p>
        </w:tc>
        <w:tc>
          <w:tcPr>
            <w:tcW w:w="612" w:type="dxa"/>
            <w:tcBorders>
              <w:left w:val="single" w:sz="4" w:space="0" w:color="0079C1"/>
            </w:tcBorders>
          </w:tcPr>
          <w:p w14:paraId="792FF4C4"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1</w:t>
            </w:r>
          </w:p>
        </w:tc>
        <w:tc>
          <w:tcPr>
            <w:tcW w:w="809" w:type="dxa"/>
            <w:tcBorders>
              <w:right w:val="single" w:sz="4" w:space="0" w:color="0079C1"/>
            </w:tcBorders>
          </w:tcPr>
          <w:p w14:paraId="3FCDF791"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4.0%</w:t>
            </w:r>
          </w:p>
        </w:tc>
        <w:tc>
          <w:tcPr>
            <w:tcW w:w="710" w:type="dxa"/>
            <w:tcBorders>
              <w:left w:val="single" w:sz="4" w:space="0" w:color="0079C1"/>
            </w:tcBorders>
          </w:tcPr>
          <w:p w14:paraId="5B9F52F6"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1</w:t>
            </w:r>
          </w:p>
        </w:tc>
        <w:tc>
          <w:tcPr>
            <w:tcW w:w="749" w:type="dxa"/>
            <w:tcBorders>
              <w:right w:val="single" w:sz="4" w:space="0" w:color="0079C1"/>
            </w:tcBorders>
          </w:tcPr>
          <w:p w14:paraId="0A3E86AE"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1.3%</w:t>
            </w:r>
          </w:p>
        </w:tc>
        <w:tc>
          <w:tcPr>
            <w:tcW w:w="666" w:type="dxa"/>
            <w:tcBorders>
              <w:left w:val="single" w:sz="4" w:space="0" w:color="0079C1"/>
            </w:tcBorders>
          </w:tcPr>
          <w:p w14:paraId="1BC1767D"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0</w:t>
            </w:r>
          </w:p>
        </w:tc>
        <w:tc>
          <w:tcPr>
            <w:tcW w:w="751" w:type="dxa"/>
            <w:tcBorders>
              <w:right w:val="single" w:sz="4" w:space="0" w:color="0079C1"/>
            </w:tcBorders>
          </w:tcPr>
          <w:p w14:paraId="67EB5281"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0.0%</w:t>
            </w:r>
          </w:p>
        </w:tc>
        <w:tc>
          <w:tcPr>
            <w:tcW w:w="661" w:type="dxa"/>
            <w:tcBorders>
              <w:left w:val="single" w:sz="4" w:space="0" w:color="0079C1"/>
            </w:tcBorders>
          </w:tcPr>
          <w:p w14:paraId="49C90870"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4</w:t>
            </w:r>
          </w:p>
        </w:tc>
        <w:tc>
          <w:tcPr>
            <w:tcW w:w="757" w:type="dxa"/>
          </w:tcPr>
          <w:p w14:paraId="405587E8"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1.6%</w:t>
            </w:r>
          </w:p>
        </w:tc>
      </w:tr>
      <w:tr w:rsidR="00655E7B" w:rsidRPr="00E61AC8" w14:paraId="1D80D4DE" w14:textId="77777777" w:rsidTr="00E61AC8">
        <w:tc>
          <w:tcPr>
            <w:tcW w:w="2302" w:type="dxa"/>
            <w:tcBorders>
              <w:right w:val="single" w:sz="4" w:space="0" w:color="0079C1"/>
            </w:tcBorders>
          </w:tcPr>
          <w:p w14:paraId="6A5C81B2" w14:textId="77777777" w:rsidR="00655E7B" w:rsidRPr="00E61AC8" w:rsidRDefault="00655E7B" w:rsidP="004B28FE">
            <w:pPr>
              <w:tabs>
                <w:tab w:val="left" w:pos="318"/>
              </w:tabs>
              <w:spacing w:before="60" w:after="60"/>
              <w:rPr>
                <w:rFonts w:asciiTheme="minorHAnsi" w:hAnsiTheme="minorHAnsi" w:cs="Arial"/>
                <w:color w:val="333333"/>
                <w:sz w:val="20"/>
                <w:szCs w:val="20"/>
              </w:rPr>
            </w:pPr>
            <w:r w:rsidRPr="00E61AC8">
              <w:rPr>
                <w:rFonts w:asciiTheme="minorHAnsi" w:hAnsiTheme="minorHAnsi" w:cs="Arial"/>
                <w:color w:val="333333"/>
                <w:sz w:val="20"/>
                <w:szCs w:val="20"/>
              </w:rPr>
              <w:t xml:space="preserve">No age preference </w:t>
            </w:r>
          </w:p>
        </w:tc>
        <w:tc>
          <w:tcPr>
            <w:tcW w:w="992" w:type="dxa"/>
            <w:tcBorders>
              <w:left w:val="single" w:sz="4" w:space="0" w:color="0079C1"/>
            </w:tcBorders>
          </w:tcPr>
          <w:p w14:paraId="79E87123"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8</w:t>
            </w:r>
          </w:p>
        </w:tc>
        <w:tc>
          <w:tcPr>
            <w:tcW w:w="948" w:type="dxa"/>
            <w:gridSpan w:val="2"/>
            <w:tcBorders>
              <w:right w:val="single" w:sz="4" w:space="0" w:color="0079C1"/>
            </w:tcBorders>
          </w:tcPr>
          <w:p w14:paraId="654945FF"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6.1%</w:t>
            </w:r>
          </w:p>
        </w:tc>
        <w:tc>
          <w:tcPr>
            <w:tcW w:w="612" w:type="dxa"/>
            <w:tcBorders>
              <w:left w:val="single" w:sz="4" w:space="0" w:color="0079C1"/>
            </w:tcBorders>
          </w:tcPr>
          <w:p w14:paraId="470F3242"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3</w:t>
            </w:r>
          </w:p>
        </w:tc>
        <w:tc>
          <w:tcPr>
            <w:tcW w:w="809" w:type="dxa"/>
            <w:tcBorders>
              <w:right w:val="single" w:sz="4" w:space="0" w:color="0079C1"/>
            </w:tcBorders>
          </w:tcPr>
          <w:p w14:paraId="2D07FA06"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12.0%</w:t>
            </w:r>
          </w:p>
        </w:tc>
        <w:tc>
          <w:tcPr>
            <w:tcW w:w="710" w:type="dxa"/>
            <w:tcBorders>
              <w:left w:val="single" w:sz="4" w:space="0" w:color="0079C1"/>
            </w:tcBorders>
          </w:tcPr>
          <w:p w14:paraId="260F8F2C"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0</w:t>
            </w:r>
          </w:p>
        </w:tc>
        <w:tc>
          <w:tcPr>
            <w:tcW w:w="749" w:type="dxa"/>
            <w:tcBorders>
              <w:right w:val="single" w:sz="4" w:space="0" w:color="0079C1"/>
            </w:tcBorders>
          </w:tcPr>
          <w:p w14:paraId="3DF46067"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0.0%</w:t>
            </w:r>
          </w:p>
        </w:tc>
        <w:tc>
          <w:tcPr>
            <w:tcW w:w="666" w:type="dxa"/>
            <w:tcBorders>
              <w:left w:val="single" w:sz="4" w:space="0" w:color="0079C1"/>
            </w:tcBorders>
          </w:tcPr>
          <w:p w14:paraId="63232BF4"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1</w:t>
            </w:r>
          </w:p>
        </w:tc>
        <w:tc>
          <w:tcPr>
            <w:tcW w:w="751" w:type="dxa"/>
            <w:tcBorders>
              <w:right w:val="single" w:sz="4" w:space="0" w:color="0079C1"/>
            </w:tcBorders>
          </w:tcPr>
          <w:p w14:paraId="575A15FE"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4.5%</w:t>
            </w:r>
          </w:p>
        </w:tc>
        <w:tc>
          <w:tcPr>
            <w:tcW w:w="661" w:type="dxa"/>
            <w:tcBorders>
              <w:left w:val="single" w:sz="4" w:space="0" w:color="0079C1"/>
            </w:tcBorders>
          </w:tcPr>
          <w:p w14:paraId="360A8FC2"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12</w:t>
            </w:r>
          </w:p>
        </w:tc>
        <w:tc>
          <w:tcPr>
            <w:tcW w:w="757" w:type="dxa"/>
          </w:tcPr>
          <w:p w14:paraId="4E39E130"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4.7%</w:t>
            </w:r>
          </w:p>
        </w:tc>
      </w:tr>
      <w:tr w:rsidR="00655E7B" w:rsidRPr="00E61AC8" w14:paraId="4F506CA1" w14:textId="77777777" w:rsidTr="00E61AC8">
        <w:tc>
          <w:tcPr>
            <w:tcW w:w="2302" w:type="dxa"/>
            <w:tcBorders>
              <w:bottom w:val="single" w:sz="4" w:space="0" w:color="0079C1"/>
              <w:right w:val="single" w:sz="4" w:space="0" w:color="0079C1"/>
            </w:tcBorders>
            <w:shd w:val="clear" w:color="auto" w:fill="auto"/>
          </w:tcPr>
          <w:p w14:paraId="727307BC" w14:textId="77777777" w:rsidR="00655E7B" w:rsidRPr="00E61AC8" w:rsidRDefault="00655E7B" w:rsidP="004B28FE">
            <w:pPr>
              <w:tabs>
                <w:tab w:val="left" w:pos="318"/>
              </w:tabs>
              <w:spacing w:before="60" w:after="60"/>
              <w:rPr>
                <w:rFonts w:asciiTheme="minorHAnsi" w:hAnsiTheme="minorHAnsi" w:cs="Arial"/>
                <w:color w:val="333333"/>
                <w:sz w:val="20"/>
                <w:szCs w:val="20"/>
              </w:rPr>
            </w:pPr>
            <w:r w:rsidRPr="00E61AC8">
              <w:rPr>
                <w:rFonts w:asciiTheme="minorHAnsi" w:hAnsiTheme="minorHAnsi" w:cs="Arial"/>
                <w:color w:val="333333"/>
                <w:sz w:val="20"/>
                <w:szCs w:val="20"/>
              </w:rPr>
              <w:t>Not stated</w:t>
            </w:r>
          </w:p>
        </w:tc>
        <w:tc>
          <w:tcPr>
            <w:tcW w:w="992" w:type="dxa"/>
            <w:tcBorders>
              <w:left w:val="single" w:sz="4" w:space="0" w:color="0079C1"/>
              <w:bottom w:val="single" w:sz="4" w:space="0" w:color="0079C1"/>
            </w:tcBorders>
            <w:shd w:val="clear" w:color="auto" w:fill="auto"/>
          </w:tcPr>
          <w:p w14:paraId="41FCB540" w14:textId="77777777" w:rsidR="00655E7B" w:rsidRPr="00E61AC8" w:rsidRDefault="00655E7B" w:rsidP="004B28FE">
            <w:pPr>
              <w:tabs>
                <w:tab w:val="left" w:pos="318"/>
              </w:tabs>
              <w:spacing w:before="60" w:after="60"/>
              <w:jc w:val="center"/>
              <w:rPr>
                <w:rFonts w:asciiTheme="minorHAnsi" w:hAnsiTheme="minorHAnsi"/>
                <w:color w:val="333333"/>
                <w:sz w:val="20"/>
                <w:szCs w:val="20"/>
              </w:rPr>
            </w:pPr>
            <w:r w:rsidRPr="00E61AC8">
              <w:rPr>
                <w:rFonts w:asciiTheme="minorHAnsi" w:hAnsiTheme="minorHAnsi"/>
                <w:sz w:val="20"/>
                <w:szCs w:val="20"/>
              </w:rPr>
              <w:t>13</w:t>
            </w:r>
          </w:p>
        </w:tc>
        <w:tc>
          <w:tcPr>
            <w:tcW w:w="948" w:type="dxa"/>
            <w:gridSpan w:val="2"/>
            <w:tcBorders>
              <w:bottom w:val="single" w:sz="4" w:space="0" w:color="0079C1"/>
              <w:right w:val="single" w:sz="4" w:space="0" w:color="0079C1"/>
            </w:tcBorders>
            <w:shd w:val="clear" w:color="auto" w:fill="auto"/>
          </w:tcPr>
          <w:p w14:paraId="16C23F21"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9.9%</w:t>
            </w:r>
          </w:p>
        </w:tc>
        <w:tc>
          <w:tcPr>
            <w:tcW w:w="612" w:type="dxa"/>
            <w:tcBorders>
              <w:left w:val="single" w:sz="4" w:space="0" w:color="0079C1"/>
              <w:bottom w:val="single" w:sz="4" w:space="0" w:color="0079C1"/>
            </w:tcBorders>
            <w:shd w:val="clear" w:color="auto" w:fill="auto"/>
          </w:tcPr>
          <w:p w14:paraId="34FC9787" w14:textId="77777777" w:rsidR="00655E7B" w:rsidRPr="00E61AC8" w:rsidRDefault="00655E7B" w:rsidP="004B28FE">
            <w:pPr>
              <w:tabs>
                <w:tab w:val="left" w:pos="318"/>
              </w:tabs>
              <w:spacing w:before="60" w:after="60"/>
              <w:jc w:val="center"/>
              <w:rPr>
                <w:rFonts w:asciiTheme="minorHAnsi" w:hAnsiTheme="minorHAnsi"/>
                <w:color w:val="333333"/>
                <w:sz w:val="20"/>
                <w:szCs w:val="20"/>
              </w:rPr>
            </w:pPr>
            <w:r w:rsidRPr="00E61AC8">
              <w:rPr>
                <w:rFonts w:asciiTheme="minorHAnsi" w:hAnsiTheme="minorHAnsi"/>
                <w:sz w:val="20"/>
                <w:szCs w:val="20"/>
              </w:rPr>
              <w:t>1</w:t>
            </w:r>
          </w:p>
        </w:tc>
        <w:tc>
          <w:tcPr>
            <w:tcW w:w="809" w:type="dxa"/>
            <w:tcBorders>
              <w:bottom w:val="single" w:sz="4" w:space="0" w:color="0079C1"/>
              <w:right w:val="single" w:sz="4" w:space="0" w:color="0079C1"/>
            </w:tcBorders>
            <w:shd w:val="clear" w:color="auto" w:fill="auto"/>
          </w:tcPr>
          <w:p w14:paraId="594DD4E8"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4.0%</w:t>
            </w:r>
          </w:p>
        </w:tc>
        <w:tc>
          <w:tcPr>
            <w:tcW w:w="710" w:type="dxa"/>
            <w:tcBorders>
              <w:left w:val="single" w:sz="4" w:space="0" w:color="0079C1"/>
              <w:bottom w:val="single" w:sz="4" w:space="0" w:color="0079C1"/>
            </w:tcBorders>
            <w:shd w:val="clear" w:color="auto" w:fill="auto"/>
          </w:tcPr>
          <w:p w14:paraId="19EDB155" w14:textId="77777777" w:rsidR="00655E7B" w:rsidRPr="00E61AC8" w:rsidRDefault="00655E7B" w:rsidP="004B28FE">
            <w:pPr>
              <w:tabs>
                <w:tab w:val="left" w:pos="318"/>
              </w:tabs>
              <w:spacing w:before="60" w:after="60"/>
              <w:jc w:val="center"/>
              <w:rPr>
                <w:rFonts w:asciiTheme="minorHAnsi" w:hAnsiTheme="minorHAnsi"/>
                <w:color w:val="333333"/>
                <w:sz w:val="20"/>
                <w:szCs w:val="20"/>
              </w:rPr>
            </w:pPr>
            <w:r w:rsidRPr="00E61AC8">
              <w:rPr>
                <w:rFonts w:asciiTheme="minorHAnsi" w:hAnsiTheme="minorHAnsi"/>
                <w:sz w:val="20"/>
                <w:szCs w:val="20"/>
              </w:rPr>
              <w:t>7</w:t>
            </w:r>
          </w:p>
        </w:tc>
        <w:tc>
          <w:tcPr>
            <w:tcW w:w="749" w:type="dxa"/>
            <w:tcBorders>
              <w:bottom w:val="single" w:sz="4" w:space="0" w:color="0079C1"/>
              <w:right w:val="single" w:sz="4" w:space="0" w:color="0079C1"/>
            </w:tcBorders>
            <w:shd w:val="clear" w:color="auto" w:fill="auto"/>
          </w:tcPr>
          <w:p w14:paraId="4EB8D6AE"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9.0%</w:t>
            </w:r>
          </w:p>
        </w:tc>
        <w:tc>
          <w:tcPr>
            <w:tcW w:w="666" w:type="dxa"/>
            <w:tcBorders>
              <w:left w:val="single" w:sz="4" w:space="0" w:color="0079C1"/>
              <w:bottom w:val="single" w:sz="4" w:space="0" w:color="0079C1"/>
            </w:tcBorders>
            <w:shd w:val="clear" w:color="auto" w:fill="auto"/>
          </w:tcPr>
          <w:p w14:paraId="2410B205" w14:textId="77777777" w:rsidR="00655E7B" w:rsidRPr="00E61AC8" w:rsidRDefault="00655E7B" w:rsidP="004B28FE">
            <w:pPr>
              <w:tabs>
                <w:tab w:val="left" w:pos="318"/>
              </w:tabs>
              <w:spacing w:before="60" w:after="60"/>
              <w:jc w:val="center"/>
              <w:rPr>
                <w:rFonts w:asciiTheme="minorHAnsi" w:hAnsiTheme="minorHAnsi"/>
                <w:color w:val="333333"/>
                <w:sz w:val="20"/>
                <w:szCs w:val="20"/>
              </w:rPr>
            </w:pPr>
            <w:r w:rsidRPr="00E61AC8">
              <w:rPr>
                <w:rFonts w:asciiTheme="minorHAnsi" w:hAnsiTheme="minorHAnsi"/>
                <w:sz w:val="20"/>
                <w:szCs w:val="20"/>
              </w:rPr>
              <w:t>3</w:t>
            </w:r>
          </w:p>
        </w:tc>
        <w:tc>
          <w:tcPr>
            <w:tcW w:w="751" w:type="dxa"/>
            <w:tcBorders>
              <w:bottom w:val="single" w:sz="4" w:space="0" w:color="0079C1"/>
              <w:right w:val="single" w:sz="4" w:space="0" w:color="0079C1"/>
            </w:tcBorders>
            <w:shd w:val="clear" w:color="auto" w:fill="auto"/>
          </w:tcPr>
          <w:p w14:paraId="2F8A375E"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sz w:val="20"/>
                <w:szCs w:val="20"/>
              </w:rPr>
              <w:t>13.6%</w:t>
            </w:r>
          </w:p>
        </w:tc>
        <w:tc>
          <w:tcPr>
            <w:tcW w:w="661" w:type="dxa"/>
            <w:tcBorders>
              <w:left w:val="single" w:sz="4" w:space="0" w:color="0079C1"/>
              <w:bottom w:val="single" w:sz="4" w:space="0" w:color="0079C1"/>
            </w:tcBorders>
            <w:shd w:val="clear" w:color="auto" w:fill="auto"/>
          </w:tcPr>
          <w:p w14:paraId="647AEAE9"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24</w:t>
            </w:r>
          </w:p>
        </w:tc>
        <w:tc>
          <w:tcPr>
            <w:tcW w:w="757" w:type="dxa"/>
            <w:tcBorders>
              <w:bottom w:val="single" w:sz="4" w:space="0" w:color="0079C1"/>
            </w:tcBorders>
            <w:shd w:val="clear" w:color="auto" w:fill="auto"/>
          </w:tcPr>
          <w:p w14:paraId="5A92DDB6"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9.4%</w:t>
            </w:r>
          </w:p>
        </w:tc>
      </w:tr>
      <w:tr w:rsidR="00655E7B" w:rsidRPr="00E61AC8" w14:paraId="03CD409F" w14:textId="77777777" w:rsidTr="00E61AC8">
        <w:tc>
          <w:tcPr>
            <w:tcW w:w="2302" w:type="dxa"/>
            <w:tcBorders>
              <w:top w:val="single" w:sz="4" w:space="0" w:color="0079C1"/>
              <w:right w:val="single" w:sz="4" w:space="0" w:color="0079C1"/>
            </w:tcBorders>
            <w:shd w:val="clear" w:color="auto" w:fill="E2F4FF" w:themeFill="accent1" w:themeFillTint="33"/>
          </w:tcPr>
          <w:p w14:paraId="5B642A56" w14:textId="77777777" w:rsidR="00655E7B" w:rsidRPr="00E61AC8" w:rsidRDefault="00655E7B" w:rsidP="004B28FE">
            <w:pPr>
              <w:tabs>
                <w:tab w:val="left" w:pos="318"/>
              </w:tabs>
              <w:spacing w:before="60" w:after="60"/>
              <w:rPr>
                <w:rStyle w:val="Strong"/>
                <w:sz w:val="20"/>
                <w:szCs w:val="20"/>
              </w:rPr>
            </w:pPr>
            <w:r w:rsidRPr="00E61AC8">
              <w:rPr>
                <w:rStyle w:val="Strong"/>
                <w:sz w:val="20"/>
                <w:szCs w:val="20"/>
              </w:rPr>
              <w:t xml:space="preserve">Total </w:t>
            </w:r>
          </w:p>
        </w:tc>
        <w:tc>
          <w:tcPr>
            <w:tcW w:w="992" w:type="dxa"/>
            <w:tcBorders>
              <w:top w:val="single" w:sz="4" w:space="0" w:color="0079C1"/>
              <w:left w:val="single" w:sz="4" w:space="0" w:color="0079C1"/>
            </w:tcBorders>
            <w:shd w:val="clear" w:color="auto" w:fill="E2F4FF" w:themeFill="accent1" w:themeFillTint="33"/>
          </w:tcPr>
          <w:p w14:paraId="2CB91AE2"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131</w:t>
            </w:r>
          </w:p>
        </w:tc>
        <w:tc>
          <w:tcPr>
            <w:tcW w:w="948" w:type="dxa"/>
            <w:gridSpan w:val="2"/>
            <w:tcBorders>
              <w:top w:val="single" w:sz="4" w:space="0" w:color="0079C1"/>
              <w:right w:val="single" w:sz="4" w:space="0" w:color="0079C1"/>
            </w:tcBorders>
            <w:shd w:val="clear" w:color="auto" w:fill="E2F4FF" w:themeFill="accent1" w:themeFillTint="33"/>
          </w:tcPr>
          <w:p w14:paraId="54490A52" w14:textId="44AE1CF0" w:rsidR="00655E7B" w:rsidRPr="00E61AC8" w:rsidRDefault="009B2FA2"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100</w:t>
            </w:r>
            <w:r w:rsidR="00655E7B" w:rsidRPr="00E61AC8">
              <w:rPr>
                <w:rStyle w:val="Strong"/>
                <w:rFonts w:asciiTheme="minorHAnsi" w:hAnsiTheme="minorHAnsi"/>
                <w:sz w:val="20"/>
                <w:szCs w:val="20"/>
              </w:rPr>
              <w:t>%</w:t>
            </w:r>
          </w:p>
        </w:tc>
        <w:tc>
          <w:tcPr>
            <w:tcW w:w="612" w:type="dxa"/>
            <w:tcBorders>
              <w:top w:val="single" w:sz="4" w:space="0" w:color="0079C1"/>
              <w:left w:val="single" w:sz="4" w:space="0" w:color="0079C1"/>
            </w:tcBorders>
            <w:shd w:val="clear" w:color="auto" w:fill="E2F4FF" w:themeFill="accent1" w:themeFillTint="33"/>
          </w:tcPr>
          <w:p w14:paraId="111DCACD"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25</w:t>
            </w:r>
          </w:p>
        </w:tc>
        <w:tc>
          <w:tcPr>
            <w:tcW w:w="809" w:type="dxa"/>
            <w:tcBorders>
              <w:top w:val="single" w:sz="4" w:space="0" w:color="0079C1"/>
              <w:right w:val="single" w:sz="4" w:space="0" w:color="0079C1"/>
            </w:tcBorders>
            <w:shd w:val="clear" w:color="auto" w:fill="E2F4FF" w:themeFill="accent1" w:themeFillTint="33"/>
          </w:tcPr>
          <w:p w14:paraId="3EF9DA3D" w14:textId="32F91534" w:rsidR="00655E7B" w:rsidRPr="00E61AC8" w:rsidRDefault="009B2FA2"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100</w:t>
            </w:r>
            <w:r w:rsidR="00655E7B" w:rsidRPr="00E61AC8">
              <w:rPr>
                <w:rStyle w:val="Strong"/>
                <w:rFonts w:asciiTheme="minorHAnsi" w:hAnsiTheme="minorHAnsi"/>
                <w:sz w:val="20"/>
                <w:szCs w:val="20"/>
              </w:rPr>
              <w:t>%</w:t>
            </w:r>
          </w:p>
        </w:tc>
        <w:tc>
          <w:tcPr>
            <w:tcW w:w="710" w:type="dxa"/>
            <w:tcBorders>
              <w:top w:val="single" w:sz="4" w:space="0" w:color="0079C1"/>
              <w:left w:val="single" w:sz="4" w:space="0" w:color="0079C1"/>
            </w:tcBorders>
            <w:shd w:val="clear" w:color="auto" w:fill="E2F4FF" w:themeFill="accent1" w:themeFillTint="33"/>
          </w:tcPr>
          <w:p w14:paraId="12361FBE"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78</w:t>
            </w:r>
          </w:p>
        </w:tc>
        <w:tc>
          <w:tcPr>
            <w:tcW w:w="749" w:type="dxa"/>
            <w:tcBorders>
              <w:top w:val="single" w:sz="4" w:space="0" w:color="0079C1"/>
              <w:right w:val="single" w:sz="4" w:space="0" w:color="0079C1"/>
            </w:tcBorders>
            <w:shd w:val="clear" w:color="auto" w:fill="E2F4FF" w:themeFill="accent1" w:themeFillTint="33"/>
          </w:tcPr>
          <w:p w14:paraId="416C7DBC" w14:textId="22A3CA9A" w:rsidR="00655E7B" w:rsidRPr="00E61AC8" w:rsidRDefault="009B2FA2"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100</w:t>
            </w:r>
            <w:r w:rsidR="00655E7B" w:rsidRPr="00E61AC8">
              <w:rPr>
                <w:rStyle w:val="Strong"/>
                <w:rFonts w:asciiTheme="minorHAnsi" w:hAnsiTheme="minorHAnsi"/>
                <w:sz w:val="20"/>
                <w:szCs w:val="20"/>
              </w:rPr>
              <w:t>%</w:t>
            </w:r>
          </w:p>
        </w:tc>
        <w:tc>
          <w:tcPr>
            <w:tcW w:w="666" w:type="dxa"/>
            <w:tcBorders>
              <w:top w:val="single" w:sz="4" w:space="0" w:color="0079C1"/>
              <w:left w:val="single" w:sz="4" w:space="0" w:color="0079C1"/>
            </w:tcBorders>
            <w:shd w:val="clear" w:color="auto" w:fill="E2F4FF" w:themeFill="accent1" w:themeFillTint="33"/>
          </w:tcPr>
          <w:p w14:paraId="7A207A99"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22</w:t>
            </w:r>
          </w:p>
        </w:tc>
        <w:tc>
          <w:tcPr>
            <w:tcW w:w="751" w:type="dxa"/>
            <w:tcBorders>
              <w:top w:val="single" w:sz="4" w:space="0" w:color="0079C1"/>
              <w:right w:val="single" w:sz="4" w:space="0" w:color="0079C1"/>
            </w:tcBorders>
            <w:shd w:val="clear" w:color="auto" w:fill="E2F4FF" w:themeFill="accent1" w:themeFillTint="33"/>
          </w:tcPr>
          <w:p w14:paraId="4B0C2F99" w14:textId="6A9CF235" w:rsidR="00655E7B" w:rsidRPr="00E61AC8" w:rsidRDefault="009B2FA2"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100</w:t>
            </w:r>
            <w:r w:rsidR="00655E7B" w:rsidRPr="00E61AC8">
              <w:rPr>
                <w:rStyle w:val="Strong"/>
                <w:rFonts w:asciiTheme="minorHAnsi" w:hAnsiTheme="minorHAnsi"/>
                <w:sz w:val="20"/>
                <w:szCs w:val="20"/>
              </w:rPr>
              <w:t>%</w:t>
            </w:r>
          </w:p>
        </w:tc>
        <w:tc>
          <w:tcPr>
            <w:tcW w:w="661" w:type="dxa"/>
            <w:tcBorders>
              <w:top w:val="single" w:sz="4" w:space="0" w:color="0079C1"/>
              <w:left w:val="single" w:sz="4" w:space="0" w:color="0079C1"/>
            </w:tcBorders>
            <w:shd w:val="clear" w:color="auto" w:fill="E2F4FF" w:themeFill="accent1" w:themeFillTint="33"/>
          </w:tcPr>
          <w:p w14:paraId="2D8AEFB4"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256</w:t>
            </w:r>
          </w:p>
        </w:tc>
        <w:tc>
          <w:tcPr>
            <w:tcW w:w="757" w:type="dxa"/>
            <w:tcBorders>
              <w:top w:val="single" w:sz="4" w:space="0" w:color="0079C1"/>
            </w:tcBorders>
            <w:shd w:val="clear" w:color="auto" w:fill="E2F4FF" w:themeFill="accent1" w:themeFillTint="33"/>
          </w:tcPr>
          <w:p w14:paraId="461A8E2D" w14:textId="1B629E90" w:rsidR="00655E7B" w:rsidRPr="00E61AC8" w:rsidRDefault="009B2FA2"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100</w:t>
            </w:r>
            <w:r w:rsidR="00655E7B" w:rsidRPr="00E61AC8">
              <w:rPr>
                <w:rStyle w:val="Strong"/>
                <w:rFonts w:asciiTheme="minorHAnsi" w:hAnsiTheme="minorHAnsi"/>
                <w:sz w:val="20"/>
                <w:szCs w:val="20"/>
              </w:rPr>
              <w:t>%</w:t>
            </w:r>
          </w:p>
        </w:tc>
      </w:tr>
    </w:tbl>
    <w:p w14:paraId="7434D94B" w14:textId="77777777" w:rsidR="00655E7B" w:rsidRPr="009606CF" w:rsidRDefault="00655E7B" w:rsidP="00655E7B">
      <w:pPr>
        <w:rPr>
          <w:sz w:val="18"/>
          <w:szCs w:val="18"/>
        </w:rPr>
      </w:pPr>
      <w:r w:rsidRPr="009606CF">
        <w:rPr>
          <w:sz w:val="18"/>
          <w:szCs w:val="18"/>
        </w:rPr>
        <w:t>*  Multiple responses permitted, hence total exceed 220.</w:t>
      </w:r>
    </w:p>
    <w:p w14:paraId="2A8101AB" w14:textId="77777777" w:rsidR="00655E7B" w:rsidRPr="002B5E7B" w:rsidRDefault="00655E7B" w:rsidP="00443759">
      <w:pPr>
        <w:pStyle w:val="Heading10"/>
      </w:pPr>
      <w:r>
        <w:t>Preferred n</w:t>
      </w:r>
      <w:r w:rsidRPr="002B5E7B">
        <w:t>umber of children</w:t>
      </w:r>
    </w:p>
    <w:p w14:paraId="3229B47F" w14:textId="0AFCDF16" w:rsidR="00655E7B" w:rsidRDefault="00655E7B" w:rsidP="00655E7B">
      <w:pPr>
        <w:spacing w:before="240" w:after="240" w:line="264" w:lineRule="auto"/>
        <w:rPr>
          <w:lang w:eastAsia="en-AU"/>
        </w:rPr>
      </w:pPr>
      <w:r>
        <w:rPr>
          <w:lang w:eastAsia="en-AU"/>
        </w:rPr>
        <w:t>Overall,</w:t>
      </w:r>
      <w:r w:rsidRPr="00005F9E">
        <w:rPr>
          <w:lang w:eastAsia="en-AU"/>
        </w:rPr>
        <w:t xml:space="preserve"> </w:t>
      </w:r>
      <w:r>
        <w:rPr>
          <w:lang w:eastAsia="en-AU"/>
        </w:rPr>
        <w:t>t</w:t>
      </w:r>
      <w:r w:rsidRPr="00005F9E">
        <w:rPr>
          <w:lang w:eastAsia="en-AU"/>
        </w:rPr>
        <w:t>he majority of respondents</w:t>
      </w:r>
      <w:r>
        <w:rPr>
          <w:lang w:eastAsia="en-AU"/>
        </w:rPr>
        <w:t xml:space="preserve"> (51.8%) indicated a preference for adopting a single child (</w:t>
      </w:r>
      <w:r w:rsidR="005C159A" w:rsidRPr="005C159A">
        <w:rPr>
          <w:rStyle w:val="Emphasis"/>
        </w:rPr>
        <w:t>Table B-8</w:t>
      </w:r>
      <w:r w:rsidR="005C159A">
        <w:t>)</w:t>
      </w:r>
      <w:r>
        <w:rPr>
          <w:lang w:eastAsia="en-AU"/>
        </w:rPr>
        <w:t xml:space="preserve">.  </w:t>
      </w:r>
    </w:p>
    <w:p w14:paraId="04FE2888" w14:textId="77777777" w:rsidR="00655E7B" w:rsidRDefault="00655E7B" w:rsidP="00655E7B">
      <w:pPr>
        <w:spacing w:before="240" w:after="240" w:line="264" w:lineRule="auto"/>
        <w:rPr>
          <w:lang w:eastAsia="en-AU"/>
        </w:rPr>
      </w:pPr>
      <w:r>
        <w:rPr>
          <w:lang w:eastAsia="en-AU"/>
        </w:rPr>
        <w:t xml:space="preserve">Among those currently wanting to adopt, first-time ICA parents were interested in either a single child (42.6%) or a sibling group of two (26.9%).  While respondents who wanted to adopt another child through ICA processes were also largely one-child oriented (31.6%), more than one in four of this group (26.3%) indicated they had no preference. </w:t>
      </w:r>
    </w:p>
    <w:p w14:paraId="2565AC52" w14:textId="77777777" w:rsidR="00655E7B" w:rsidRPr="002B5E7B" w:rsidRDefault="00655E7B" w:rsidP="00655E7B">
      <w:pPr>
        <w:spacing w:before="240" w:after="240" w:line="264" w:lineRule="auto"/>
        <w:rPr>
          <w:lang w:eastAsia="en-AU"/>
        </w:rPr>
      </w:pPr>
      <w:r>
        <w:rPr>
          <w:lang w:eastAsia="en-AU"/>
        </w:rPr>
        <w:t xml:space="preserve">Almost three-quarters of those </w:t>
      </w:r>
      <w:r w:rsidRPr="003C3DF3">
        <w:rPr>
          <w:lang w:eastAsia="en-AU"/>
        </w:rPr>
        <w:t xml:space="preserve">who had </w:t>
      </w:r>
      <w:r>
        <w:rPr>
          <w:lang w:eastAsia="en-AU"/>
        </w:rPr>
        <w:t xml:space="preserve">already </w:t>
      </w:r>
      <w:r w:rsidRPr="003C3DF3">
        <w:rPr>
          <w:lang w:eastAsia="en-AU"/>
        </w:rPr>
        <w:t>adopted a child</w:t>
      </w:r>
      <w:r>
        <w:rPr>
          <w:lang w:eastAsia="en-AU"/>
        </w:rPr>
        <w:t xml:space="preserve"> (</w:t>
      </w:r>
      <w:r w:rsidRPr="00A47E05">
        <w:rPr>
          <w:lang w:eastAsia="en-AU"/>
        </w:rPr>
        <w:t>71.2%</w:t>
      </w:r>
      <w:r>
        <w:rPr>
          <w:lang w:eastAsia="en-AU"/>
        </w:rPr>
        <w:t xml:space="preserve">) had </w:t>
      </w:r>
      <w:r w:rsidRPr="003C3DF3">
        <w:rPr>
          <w:lang w:eastAsia="en-AU"/>
        </w:rPr>
        <w:t>adopt</w:t>
      </w:r>
      <w:r>
        <w:rPr>
          <w:lang w:eastAsia="en-AU"/>
        </w:rPr>
        <w:t>ed</w:t>
      </w:r>
      <w:r w:rsidRPr="003C3DF3">
        <w:rPr>
          <w:lang w:eastAsia="en-AU"/>
        </w:rPr>
        <w:t xml:space="preserve"> one child.</w:t>
      </w:r>
    </w:p>
    <w:p w14:paraId="4AF7CAD2" w14:textId="38B8DAA2" w:rsidR="0084213E" w:rsidRPr="0084213E" w:rsidRDefault="0084213E" w:rsidP="0084213E">
      <w:pPr>
        <w:pStyle w:val="Caption"/>
      </w:pPr>
      <w:r>
        <w:t xml:space="preserve">Table </w:t>
      </w:r>
      <w:r>
        <w:fldChar w:fldCharType="begin"/>
      </w:r>
      <w:r>
        <w:instrText xml:space="preserve"> STYLEREF 7 \s </w:instrText>
      </w:r>
      <w:r>
        <w:fldChar w:fldCharType="separate"/>
      </w:r>
      <w:r w:rsidR="00487073">
        <w:rPr>
          <w:noProof/>
        </w:rPr>
        <w:t>C</w:t>
      </w:r>
      <w:r>
        <w:fldChar w:fldCharType="end"/>
      </w:r>
      <w:r>
        <w:noBreakHyphen/>
      </w:r>
      <w:r>
        <w:fldChar w:fldCharType="begin"/>
      </w:r>
      <w:r>
        <w:instrText xml:space="preserve"> SEQ Table_Apx \* ARABIC \s 7 </w:instrText>
      </w:r>
      <w:r>
        <w:fldChar w:fldCharType="separate"/>
      </w:r>
      <w:r w:rsidR="00487073">
        <w:rPr>
          <w:noProof/>
        </w:rPr>
        <w:t>8</w:t>
      </w:r>
      <w:r>
        <w:fldChar w:fldCharType="end"/>
      </w:r>
      <w:r>
        <w:t>:</w:t>
      </w:r>
      <w:r>
        <w:tab/>
        <w:t>Preferred n</w:t>
      </w:r>
      <w:r w:rsidRPr="00E94BE9">
        <w:t xml:space="preserve">umber of </w:t>
      </w:r>
      <w:r>
        <w:t xml:space="preserve">adoptive </w:t>
      </w:r>
      <w:r w:rsidRPr="00E94BE9">
        <w:t>children</w:t>
      </w:r>
    </w:p>
    <w:tbl>
      <w:tblPr>
        <w:tblStyle w:val="TableGrid"/>
        <w:tblW w:w="10098" w:type="dxa"/>
        <w:tblInd w:w="108"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Description w:val="Table C 8: Preferred number of adoptive children"/>
      </w:tblPr>
      <w:tblGrid>
        <w:gridCol w:w="1877"/>
        <w:gridCol w:w="850"/>
        <w:gridCol w:w="851"/>
        <w:gridCol w:w="600"/>
        <w:gridCol w:w="109"/>
        <w:gridCol w:w="944"/>
        <w:gridCol w:w="7"/>
        <w:gridCol w:w="608"/>
        <w:gridCol w:w="949"/>
        <w:gridCol w:w="779"/>
        <w:gridCol w:w="933"/>
        <w:gridCol w:w="620"/>
        <w:gridCol w:w="17"/>
        <w:gridCol w:w="954"/>
      </w:tblGrid>
      <w:tr w:rsidR="00655E7B" w:rsidRPr="00E61AC8" w14:paraId="52062C4A" w14:textId="77777777" w:rsidTr="008E7495">
        <w:trPr>
          <w:tblHeader/>
        </w:trPr>
        <w:tc>
          <w:tcPr>
            <w:tcW w:w="1877" w:type="dxa"/>
            <w:vMerge w:val="restart"/>
            <w:tcBorders>
              <w:top w:val="single" w:sz="4" w:space="0" w:color="0079C1" w:themeColor="text2"/>
            </w:tcBorders>
            <w:shd w:val="clear" w:color="auto" w:fill="0079C1" w:themeFill="text2"/>
            <w:vAlign w:val="center"/>
          </w:tcPr>
          <w:p w14:paraId="6AB6C9CB" w14:textId="77777777" w:rsidR="00655E7B" w:rsidRPr="00E61AC8" w:rsidRDefault="00655E7B" w:rsidP="004B28FE">
            <w:pPr>
              <w:keepLines/>
              <w:tabs>
                <w:tab w:val="left" w:pos="318"/>
              </w:tabs>
              <w:spacing w:before="120" w:after="120"/>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Preferred number of adoptive children</w:t>
            </w:r>
          </w:p>
        </w:tc>
        <w:tc>
          <w:tcPr>
            <w:tcW w:w="3361" w:type="dxa"/>
            <w:gridSpan w:val="6"/>
            <w:tcBorders>
              <w:top w:val="single" w:sz="4" w:space="0" w:color="0079C1" w:themeColor="text2"/>
              <w:bottom w:val="single" w:sz="4" w:space="0" w:color="BFE7FF" w:themeColor="text2" w:themeTint="33"/>
            </w:tcBorders>
            <w:shd w:val="clear" w:color="auto" w:fill="0079C1" w:themeFill="text2"/>
          </w:tcPr>
          <w:p w14:paraId="016865CA"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Wanting to adopt</w:t>
            </w:r>
          </w:p>
        </w:tc>
        <w:tc>
          <w:tcPr>
            <w:tcW w:w="1557" w:type="dxa"/>
            <w:gridSpan w:val="2"/>
            <w:vMerge w:val="restart"/>
            <w:tcBorders>
              <w:top w:val="single" w:sz="4" w:space="0" w:color="0079C1" w:themeColor="text2"/>
            </w:tcBorders>
            <w:shd w:val="clear" w:color="auto" w:fill="0079C1" w:themeFill="text2"/>
            <w:vAlign w:val="center"/>
          </w:tcPr>
          <w:p w14:paraId="1D159F39"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Post adoption</w:t>
            </w:r>
          </w:p>
        </w:tc>
        <w:tc>
          <w:tcPr>
            <w:tcW w:w="1712" w:type="dxa"/>
            <w:gridSpan w:val="2"/>
            <w:vMerge w:val="restart"/>
            <w:tcBorders>
              <w:top w:val="single" w:sz="4" w:space="0" w:color="0079C1" w:themeColor="text2"/>
            </w:tcBorders>
            <w:shd w:val="clear" w:color="auto" w:fill="0079C1" w:themeFill="text2"/>
            <w:vAlign w:val="center"/>
          </w:tcPr>
          <w:p w14:paraId="618A00F5"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Did not continue</w:t>
            </w:r>
          </w:p>
        </w:tc>
        <w:tc>
          <w:tcPr>
            <w:tcW w:w="1591" w:type="dxa"/>
            <w:gridSpan w:val="3"/>
            <w:vMerge w:val="restart"/>
            <w:tcBorders>
              <w:top w:val="single" w:sz="4" w:space="0" w:color="0079C1" w:themeColor="text2"/>
            </w:tcBorders>
            <w:shd w:val="clear" w:color="auto" w:fill="0079C1" w:themeFill="text2"/>
            <w:vAlign w:val="center"/>
          </w:tcPr>
          <w:p w14:paraId="0653A5A4"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Total</w:t>
            </w:r>
          </w:p>
        </w:tc>
      </w:tr>
      <w:tr w:rsidR="00655E7B" w:rsidRPr="00E61AC8" w14:paraId="3C220BA1" w14:textId="77777777" w:rsidTr="008E7495">
        <w:trPr>
          <w:tblHeader/>
        </w:trPr>
        <w:tc>
          <w:tcPr>
            <w:tcW w:w="1877" w:type="dxa"/>
            <w:vMerge/>
            <w:tcBorders>
              <w:top w:val="single" w:sz="4" w:space="0" w:color="0079C1" w:themeColor="text2"/>
            </w:tcBorders>
            <w:shd w:val="clear" w:color="auto" w:fill="0079C1" w:themeFill="text2"/>
          </w:tcPr>
          <w:p w14:paraId="51DDF710" w14:textId="77777777" w:rsidR="00655E7B" w:rsidRPr="00E61AC8" w:rsidRDefault="00655E7B" w:rsidP="004B28FE">
            <w:pPr>
              <w:keepLines/>
              <w:tabs>
                <w:tab w:val="left" w:pos="318"/>
              </w:tabs>
              <w:spacing w:before="120" w:after="120"/>
              <w:rPr>
                <w:rFonts w:eastAsiaTheme="minorHAnsi" w:cs="Calibri"/>
                <w:b/>
                <w:color w:val="FFFFFF" w:themeColor="background1"/>
                <w:sz w:val="20"/>
                <w:szCs w:val="20"/>
                <w:lang w:eastAsia="en-AU"/>
              </w:rPr>
            </w:pPr>
          </w:p>
        </w:tc>
        <w:tc>
          <w:tcPr>
            <w:tcW w:w="2301" w:type="dxa"/>
            <w:gridSpan w:val="3"/>
            <w:tcBorders>
              <w:top w:val="nil"/>
              <w:bottom w:val="single" w:sz="4" w:space="0" w:color="BFE7FF" w:themeColor="text2" w:themeTint="33"/>
              <w:right w:val="nil"/>
            </w:tcBorders>
            <w:shd w:val="clear" w:color="auto" w:fill="0079C1" w:themeFill="text2"/>
          </w:tcPr>
          <w:p w14:paraId="4B5BF508"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First time</w:t>
            </w:r>
          </w:p>
        </w:tc>
        <w:tc>
          <w:tcPr>
            <w:tcW w:w="1060" w:type="dxa"/>
            <w:gridSpan w:val="3"/>
            <w:tcBorders>
              <w:top w:val="nil"/>
              <w:left w:val="nil"/>
              <w:bottom w:val="single" w:sz="4" w:space="0" w:color="BFE7FF" w:themeColor="text2" w:themeTint="33"/>
            </w:tcBorders>
            <w:shd w:val="clear" w:color="auto" w:fill="0079C1" w:themeFill="text2"/>
          </w:tcPr>
          <w:p w14:paraId="21D4140B"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Repeat</w:t>
            </w:r>
          </w:p>
        </w:tc>
        <w:tc>
          <w:tcPr>
            <w:tcW w:w="1557" w:type="dxa"/>
            <w:gridSpan w:val="2"/>
            <w:vMerge/>
            <w:tcBorders>
              <w:bottom w:val="single" w:sz="4" w:space="0" w:color="BFE7FF" w:themeColor="text2" w:themeTint="33"/>
            </w:tcBorders>
            <w:shd w:val="clear" w:color="auto" w:fill="0079C1" w:themeFill="text2"/>
          </w:tcPr>
          <w:p w14:paraId="60119F32" w14:textId="77777777" w:rsidR="00655E7B" w:rsidRPr="00E61AC8" w:rsidRDefault="00655E7B" w:rsidP="004B28FE">
            <w:pPr>
              <w:keepLines/>
              <w:tabs>
                <w:tab w:val="left" w:pos="318"/>
              </w:tabs>
              <w:spacing w:before="120" w:after="120"/>
              <w:rPr>
                <w:rFonts w:eastAsiaTheme="minorHAnsi" w:cs="Calibri"/>
                <w:b/>
                <w:color w:val="FFFFFF" w:themeColor="background1"/>
                <w:sz w:val="20"/>
                <w:szCs w:val="20"/>
                <w:lang w:eastAsia="en-AU"/>
              </w:rPr>
            </w:pPr>
          </w:p>
        </w:tc>
        <w:tc>
          <w:tcPr>
            <w:tcW w:w="1712" w:type="dxa"/>
            <w:gridSpan w:val="2"/>
            <w:vMerge/>
            <w:tcBorders>
              <w:bottom w:val="single" w:sz="4" w:space="0" w:color="BFE7FF" w:themeColor="text2" w:themeTint="33"/>
            </w:tcBorders>
            <w:shd w:val="clear" w:color="auto" w:fill="0079C1" w:themeFill="text2"/>
          </w:tcPr>
          <w:p w14:paraId="1F1519A8" w14:textId="77777777" w:rsidR="00655E7B" w:rsidRPr="00E61AC8" w:rsidRDefault="00655E7B" w:rsidP="004B28FE">
            <w:pPr>
              <w:keepLines/>
              <w:tabs>
                <w:tab w:val="left" w:pos="318"/>
              </w:tabs>
              <w:spacing w:before="120" w:after="120"/>
              <w:rPr>
                <w:rFonts w:eastAsiaTheme="minorHAnsi" w:cs="Calibri"/>
                <w:b/>
                <w:color w:val="FFFFFF" w:themeColor="background1"/>
                <w:sz w:val="20"/>
                <w:szCs w:val="20"/>
                <w:lang w:eastAsia="en-AU"/>
              </w:rPr>
            </w:pPr>
          </w:p>
        </w:tc>
        <w:tc>
          <w:tcPr>
            <w:tcW w:w="1591" w:type="dxa"/>
            <w:gridSpan w:val="3"/>
            <w:vMerge/>
            <w:tcBorders>
              <w:bottom w:val="single" w:sz="4" w:space="0" w:color="BFE7FF" w:themeColor="text2" w:themeTint="33"/>
            </w:tcBorders>
            <w:shd w:val="clear" w:color="auto" w:fill="0079C1" w:themeFill="text2"/>
          </w:tcPr>
          <w:p w14:paraId="0786095E"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p>
        </w:tc>
      </w:tr>
      <w:tr w:rsidR="00655E7B" w:rsidRPr="00E61AC8" w14:paraId="4590C14F" w14:textId="77777777" w:rsidTr="008E7495">
        <w:trPr>
          <w:tblHeader/>
        </w:trPr>
        <w:tc>
          <w:tcPr>
            <w:tcW w:w="1877" w:type="dxa"/>
            <w:vMerge/>
          </w:tcPr>
          <w:p w14:paraId="0124E6F9" w14:textId="77777777" w:rsidR="00655E7B" w:rsidRPr="00E61AC8" w:rsidRDefault="00655E7B" w:rsidP="004B28FE">
            <w:pPr>
              <w:tabs>
                <w:tab w:val="left" w:pos="318"/>
              </w:tabs>
              <w:spacing w:before="60" w:after="60"/>
              <w:rPr>
                <w:rFonts w:cs="Arial"/>
                <w:color w:val="333333"/>
                <w:sz w:val="20"/>
                <w:szCs w:val="20"/>
              </w:rPr>
            </w:pPr>
          </w:p>
        </w:tc>
        <w:tc>
          <w:tcPr>
            <w:tcW w:w="850" w:type="dxa"/>
            <w:tcBorders>
              <w:top w:val="single" w:sz="4" w:space="0" w:color="BFE7FF" w:themeColor="text2" w:themeTint="33"/>
            </w:tcBorders>
            <w:shd w:val="clear" w:color="auto" w:fill="0079C1" w:themeFill="text2"/>
          </w:tcPr>
          <w:p w14:paraId="7FBD9CDE"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n</w:t>
            </w:r>
          </w:p>
        </w:tc>
        <w:tc>
          <w:tcPr>
            <w:tcW w:w="851" w:type="dxa"/>
            <w:tcBorders>
              <w:top w:val="single" w:sz="4" w:space="0" w:color="BFE7FF" w:themeColor="text2" w:themeTint="33"/>
            </w:tcBorders>
            <w:shd w:val="clear" w:color="auto" w:fill="0079C1" w:themeFill="text2"/>
          </w:tcPr>
          <w:p w14:paraId="2837FC9E"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w:t>
            </w:r>
          </w:p>
        </w:tc>
        <w:tc>
          <w:tcPr>
            <w:tcW w:w="709" w:type="dxa"/>
            <w:gridSpan w:val="2"/>
            <w:tcBorders>
              <w:top w:val="single" w:sz="4" w:space="0" w:color="BFE7FF" w:themeColor="text2" w:themeTint="33"/>
            </w:tcBorders>
            <w:shd w:val="clear" w:color="auto" w:fill="0079C1" w:themeFill="text2"/>
          </w:tcPr>
          <w:p w14:paraId="06E3041B"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n</w:t>
            </w:r>
          </w:p>
        </w:tc>
        <w:tc>
          <w:tcPr>
            <w:tcW w:w="944" w:type="dxa"/>
            <w:tcBorders>
              <w:top w:val="single" w:sz="4" w:space="0" w:color="BFE7FF" w:themeColor="text2" w:themeTint="33"/>
            </w:tcBorders>
            <w:shd w:val="clear" w:color="auto" w:fill="0079C1" w:themeFill="text2"/>
          </w:tcPr>
          <w:p w14:paraId="4E2136F5"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w:t>
            </w:r>
          </w:p>
        </w:tc>
        <w:tc>
          <w:tcPr>
            <w:tcW w:w="615" w:type="dxa"/>
            <w:gridSpan w:val="2"/>
            <w:tcBorders>
              <w:top w:val="single" w:sz="4" w:space="0" w:color="BFE7FF" w:themeColor="text2" w:themeTint="33"/>
            </w:tcBorders>
            <w:shd w:val="clear" w:color="auto" w:fill="0079C1" w:themeFill="text2"/>
          </w:tcPr>
          <w:p w14:paraId="6B4622DA"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n</w:t>
            </w:r>
          </w:p>
        </w:tc>
        <w:tc>
          <w:tcPr>
            <w:tcW w:w="949" w:type="dxa"/>
            <w:tcBorders>
              <w:top w:val="single" w:sz="4" w:space="0" w:color="BFE7FF" w:themeColor="text2" w:themeTint="33"/>
            </w:tcBorders>
            <w:shd w:val="clear" w:color="auto" w:fill="0079C1" w:themeFill="text2"/>
          </w:tcPr>
          <w:p w14:paraId="7CB3FAD4"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w:t>
            </w:r>
          </w:p>
        </w:tc>
        <w:tc>
          <w:tcPr>
            <w:tcW w:w="779" w:type="dxa"/>
            <w:tcBorders>
              <w:top w:val="single" w:sz="4" w:space="0" w:color="BFE7FF" w:themeColor="text2" w:themeTint="33"/>
            </w:tcBorders>
            <w:shd w:val="clear" w:color="auto" w:fill="0079C1" w:themeFill="text2"/>
          </w:tcPr>
          <w:p w14:paraId="1FAA9E1D"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n</w:t>
            </w:r>
          </w:p>
        </w:tc>
        <w:tc>
          <w:tcPr>
            <w:tcW w:w="933" w:type="dxa"/>
            <w:tcBorders>
              <w:top w:val="single" w:sz="4" w:space="0" w:color="BFE7FF" w:themeColor="text2" w:themeTint="33"/>
            </w:tcBorders>
            <w:shd w:val="clear" w:color="auto" w:fill="0079C1" w:themeFill="text2"/>
          </w:tcPr>
          <w:p w14:paraId="6F808531"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w:t>
            </w:r>
          </w:p>
        </w:tc>
        <w:tc>
          <w:tcPr>
            <w:tcW w:w="620" w:type="dxa"/>
            <w:tcBorders>
              <w:top w:val="single" w:sz="4" w:space="0" w:color="BFE7FF" w:themeColor="text2" w:themeTint="33"/>
              <w:bottom w:val="nil"/>
            </w:tcBorders>
            <w:shd w:val="clear" w:color="auto" w:fill="0079C1" w:themeFill="text2"/>
          </w:tcPr>
          <w:p w14:paraId="30828DA8"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n</w:t>
            </w:r>
          </w:p>
        </w:tc>
        <w:tc>
          <w:tcPr>
            <w:tcW w:w="971" w:type="dxa"/>
            <w:gridSpan w:val="2"/>
            <w:tcBorders>
              <w:top w:val="single" w:sz="4" w:space="0" w:color="BFE7FF" w:themeColor="text2" w:themeTint="33"/>
              <w:bottom w:val="nil"/>
            </w:tcBorders>
            <w:shd w:val="clear" w:color="auto" w:fill="0079C1" w:themeFill="text2"/>
          </w:tcPr>
          <w:p w14:paraId="1B812C64" w14:textId="77777777" w:rsidR="00655E7B" w:rsidRPr="00E61AC8"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E61AC8">
              <w:rPr>
                <w:rFonts w:eastAsiaTheme="minorHAnsi" w:cs="Calibri"/>
                <w:b/>
                <w:color w:val="FFFFFF" w:themeColor="background1"/>
                <w:sz w:val="20"/>
                <w:szCs w:val="20"/>
                <w:lang w:eastAsia="en-AU"/>
              </w:rPr>
              <w:t>%</w:t>
            </w:r>
          </w:p>
        </w:tc>
      </w:tr>
      <w:tr w:rsidR="00655E7B" w:rsidRPr="00E61AC8" w14:paraId="24BF4F0C" w14:textId="77777777" w:rsidTr="00E61AC8">
        <w:tc>
          <w:tcPr>
            <w:tcW w:w="1877" w:type="dxa"/>
            <w:tcBorders>
              <w:top w:val="single" w:sz="4" w:space="0" w:color="0079C1" w:themeColor="text2"/>
              <w:right w:val="single" w:sz="4" w:space="0" w:color="0079C1"/>
            </w:tcBorders>
          </w:tcPr>
          <w:p w14:paraId="5D54CA64" w14:textId="77777777" w:rsidR="00655E7B" w:rsidRPr="00E61AC8" w:rsidRDefault="00655E7B" w:rsidP="004B28FE">
            <w:pPr>
              <w:tabs>
                <w:tab w:val="left" w:pos="318"/>
              </w:tabs>
              <w:spacing w:before="60" w:after="60"/>
              <w:rPr>
                <w:rFonts w:asciiTheme="minorHAnsi" w:hAnsiTheme="minorHAnsi"/>
                <w:color w:val="000000" w:themeColor="text1"/>
                <w:sz w:val="20"/>
                <w:szCs w:val="20"/>
              </w:rPr>
            </w:pPr>
            <w:r w:rsidRPr="00E61AC8">
              <w:rPr>
                <w:rFonts w:asciiTheme="minorHAnsi" w:hAnsiTheme="minorHAnsi"/>
                <w:color w:val="333333"/>
                <w:sz w:val="20"/>
                <w:szCs w:val="20"/>
              </w:rPr>
              <w:t>Single child</w:t>
            </w:r>
          </w:p>
        </w:tc>
        <w:tc>
          <w:tcPr>
            <w:tcW w:w="850" w:type="dxa"/>
            <w:tcBorders>
              <w:top w:val="single" w:sz="4" w:space="0" w:color="0079C1" w:themeColor="text2"/>
              <w:left w:val="single" w:sz="4" w:space="0" w:color="0079C1"/>
            </w:tcBorders>
            <w:vAlign w:val="center"/>
          </w:tcPr>
          <w:p w14:paraId="18E53E3D"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46</w:t>
            </w:r>
          </w:p>
        </w:tc>
        <w:tc>
          <w:tcPr>
            <w:tcW w:w="851" w:type="dxa"/>
            <w:tcBorders>
              <w:top w:val="single" w:sz="4" w:space="0" w:color="0079C1" w:themeColor="text2"/>
              <w:right w:val="single" w:sz="4" w:space="0" w:color="0079C1"/>
            </w:tcBorders>
            <w:vAlign w:val="center"/>
          </w:tcPr>
          <w:p w14:paraId="2D9170D2"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42.6%</w:t>
            </w:r>
          </w:p>
        </w:tc>
        <w:tc>
          <w:tcPr>
            <w:tcW w:w="709" w:type="dxa"/>
            <w:gridSpan w:val="2"/>
            <w:tcBorders>
              <w:top w:val="single" w:sz="4" w:space="0" w:color="0079C1" w:themeColor="text2"/>
              <w:left w:val="single" w:sz="4" w:space="0" w:color="0079C1"/>
            </w:tcBorders>
            <w:vAlign w:val="center"/>
          </w:tcPr>
          <w:p w14:paraId="3FA1E6C8"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6</w:t>
            </w:r>
          </w:p>
        </w:tc>
        <w:tc>
          <w:tcPr>
            <w:tcW w:w="944" w:type="dxa"/>
            <w:tcBorders>
              <w:top w:val="single" w:sz="4" w:space="0" w:color="0079C1" w:themeColor="text2"/>
              <w:right w:val="single" w:sz="4" w:space="0" w:color="0079C1"/>
            </w:tcBorders>
            <w:vAlign w:val="center"/>
          </w:tcPr>
          <w:p w14:paraId="411F4CDD"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31.6%</w:t>
            </w:r>
          </w:p>
        </w:tc>
        <w:tc>
          <w:tcPr>
            <w:tcW w:w="615" w:type="dxa"/>
            <w:gridSpan w:val="2"/>
            <w:tcBorders>
              <w:top w:val="single" w:sz="4" w:space="0" w:color="0079C1" w:themeColor="text2"/>
              <w:left w:val="single" w:sz="4" w:space="0" w:color="0079C1"/>
            </w:tcBorders>
            <w:vAlign w:val="center"/>
          </w:tcPr>
          <w:p w14:paraId="68D49BB1"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52</w:t>
            </w:r>
          </w:p>
        </w:tc>
        <w:tc>
          <w:tcPr>
            <w:tcW w:w="949" w:type="dxa"/>
            <w:tcBorders>
              <w:top w:val="nil"/>
              <w:right w:val="single" w:sz="4" w:space="0" w:color="0079C1"/>
            </w:tcBorders>
            <w:vAlign w:val="center"/>
          </w:tcPr>
          <w:p w14:paraId="3F65B43C"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71.2%</w:t>
            </w:r>
          </w:p>
        </w:tc>
        <w:tc>
          <w:tcPr>
            <w:tcW w:w="779" w:type="dxa"/>
            <w:tcBorders>
              <w:top w:val="nil"/>
              <w:left w:val="single" w:sz="4" w:space="0" w:color="0079C1"/>
            </w:tcBorders>
            <w:vAlign w:val="center"/>
          </w:tcPr>
          <w:p w14:paraId="3BC040F5"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10</w:t>
            </w:r>
          </w:p>
        </w:tc>
        <w:tc>
          <w:tcPr>
            <w:tcW w:w="933" w:type="dxa"/>
            <w:tcBorders>
              <w:top w:val="nil"/>
              <w:right w:val="single" w:sz="4" w:space="0" w:color="0079C1"/>
            </w:tcBorders>
            <w:vAlign w:val="center"/>
          </w:tcPr>
          <w:p w14:paraId="5988C4B4"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50.0%</w:t>
            </w:r>
          </w:p>
        </w:tc>
        <w:tc>
          <w:tcPr>
            <w:tcW w:w="620" w:type="dxa"/>
            <w:tcBorders>
              <w:top w:val="nil"/>
              <w:left w:val="single" w:sz="4" w:space="0" w:color="0079C1"/>
            </w:tcBorders>
            <w:vAlign w:val="center"/>
          </w:tcPr>
          <w:p w14:paraId="6EEF1517"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000000" w:themeColor="text1"/>
                <w:sz w:val="20"/>
                <w:szCs w:val="20"/>
              </w:rPr>
              <w:t>114</w:t>
            </w:r>
          </w:p>
        </w:tc>
        <w:tc>
          <w:tcPr>
            <w:tcW w:w="971" w:type="dxa"/>
            <w:gridSpan w:val="2"/>
            <w:tcBorders>
              <w:top w:val="nil"/>
            </w:tcBorders>
            <w:vAlign w:val="center"/>
          </w:tcPr>
          <w:p w14:paraId="6508FC2E" w14:textId="77777777" w:rsidR="00655E7B" w:rsidRPr="00E61AC8" w:rsidRDefault="00655E7B" w:rsidP="004B28FE">
            <w:pPr>
              <w:tabs>
                <w:tab w:val="left" w:pos="318"/>
              </w:tabs>
              <w:spacing w:before="60" w:after="60"/>
              <w:jc w:val="center"/>
              <w:rPr>
                <w:rStyle w:val="Strong"/>
                <w:sz w:val="20"/>
                <w:szCs w:val="20"/>
              </w:rPr>
            </w:pPr>
            <w:r w:rsidRPr="00E61AC8">
              <w:rPr>
                <w:rStyle w:val="Strong"/>
                <w:sz w:val="20"/>
                <w:szCs w:val="20"/>
              </w:rPr>
              <w:t>51.8%</w:t>
            </w:r>
          </w:p>
        </w:tc>
      </w:tr>
      <w:tr w:rsidR="00655E7B" w:rsidRPr="00E61AC8" w14:paraId="4CFBA910" w14:textId="77777777" w:rsidTr="00E61AC8">
        <w:tc>
          <w:tcPr>
            <w:tcW w:w="1877" w:type="dxa"/>
            <w:tcBorders>
              <w:right w:val="single" w:sz="4" w:space="0" w:color="0079C1"/>
            </w:tcBorders>
          </w:tcPr>
          <w:p w14:paraId="5A484D22" w14:textId="77777777" w:rsidR="00655E7B" w:rsidRPr="00E61AC8" w:rsidRDefault="00655E7B" w:rsidP="004B28FE">
            <w:pPr>
              <w:tabs>
                <w:tab w:val="left" w:pos="318"/>
              </w:tabs>
              <w:spacing w:before="60" w:after="60"/>
              <w:rPr>
                <w:rFonts w:asciiTheme="minorHAnsi" w:hAnsiTheme="minorHAnsi"/>
                <w:color w:val="000000" w:themeColor="text1"/>
                <w:sz w:val="20"/>
                <w:szCs w:val="20"/>
              </w:rPr>
            </w:pPr>
            <w:r w:rsidRPr="00E61AC8">
              <w:rPr>
                <w:rFonts w:asciiTheme="minorHAnsi" w:hAnsiTheme="minorHAnsi"/>
                <w:color w:val="333333"/>
                <w:sz w:val="20"/>
                <w:szCs w:val="20"/>
              </w:rPr>
              <w:t>Sibling group of two</w:t>
            </w:r>
          </w:p>
        </w:tc>
        <w:tc>
          <w:tcPr>
            <w:tcW w:w="850" w:type="dxa"/>
            <w:tcBorders>
              <w:left w:val="single" w:sz="4" w:space="0" w:color="0079C1"/>
            </w:tcBorders>
            <w:vAlign w:val="center"/>
          </w:tcPr>
          <w:p w14:paraId="22C40006"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29</w:t>
            </w:r>
          </w:p>
        </w:tc>
        <w:tc>
          <w:tcPr>
            <w:tcW w:w="851" w:type="dxa"/>
            <w:tcBorders>
              <w:right w:val="single" w:sz="4" w:space="0" w:color="0079C1"/>
            </w:tcBorders>
            <w:vAlign w:val="center"/>
          </w:tcPr>
          <w:p w14:paraId="5441A485"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26.9%</w:t>
            </w:r>
          </w:p>
        </w:tc>
        <w:tc>
          <w:tcPr>
            <w:tcW w:w="709" w:type="dxa"/>
            <w:gridSpan w:val="2"/>
            <w:tcBorders>
              <w:left w:val="single" w:sz="4" w:space="0" w:color="0079C1"/>
            </w:tcBorders>
            <w:vAlign w:val="center"/>
          </w:tcPr>
          <w:p w14:paraId="755160F3"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2</w:t>
            </w:r>
          </w:p>
        </w:tc>
        <w:tc>
          <w:tcPr>
            <w:tcW w:w="944" w:type="dxa"/>
            <w:tcBorders>
              <w:right w:val="single" w:sz="4" w:space="0" w:color="0079C1"/>
            </w:tcBorders>
            <w:vAlign w:val="center"/>
          </w:tcPr>
          <w:p w14:paraId="4E0133ED"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10.5%</w:t>
            </w:r>
          </w:p>
        </w:tc>
        <w:tc>
          <w:tcPr>
            <w:tcW w:w="615" w:type="dxa"/>
            <w:gridSpan w:val="2"/>
            <w:tcBorders>
              <w:left w:val="single" w:sz="4" w:space="0" w:color="0079C1"/>
            </w:tcBorders>
            <w:vAlign w:val="center"/>
          </w:tcPr>
          <w:p w14:paraId="1F31E96F"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3</w:t>
            </w:r>
          </w:p>
        </w:tc>
        <w:tc>
          <w:tcPr>
            <w:tcW w:w="949" w:type="dxa"/>
            <w:tcBorders>
              <w:right w:val="single" w:sz="4" w:space="0" w:color="0079C1"/>
            </w:tcBorders>
            <w:vAlign w:val="center"/>
          </w:tcPr>
          <w:p w14:paraId="58D51519"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4.1%</w:t>
            </w:r>
          </w:p>
        </w:tc>
        <w:tc>
          <w:tcPr>
            <w:tcW w:w="779" w:type="dxa"/>
            <w:tcBorders>
              <w:left w:val="single" w:sz="4" w:space="0" w:color="0079C1"/>
            </w:tcBorders>
            <w:vAlign w:val="center"/>
          </w:tcPr>
          <w:p w14:paraId="01974EC1"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1</w:t>
            </w:r>
          </w:p>
        </w:tc>
        <w:tc>
          <w:tcPr>
            <w:tcW w:w="933" w:type="dxa"/>
            <w:tcBorders>
              <w:right w:val="single" w:sz="4" w:space="0" w:color="0079C1"/>
            </w:tcBorders>
            <w:vAlign w:val="center"/>
          </w:tcPr>
          <w:p w14:paraId="24B50075"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5.0%</w:t>
            </w:r>
          </w:p>
        </w:tc>
        <w:tc>
          <w:tcPr>
            <w:tcW w:w="620" w:type="dxa"/>
            <w:tcBorders>
              <w:left w:val="single" w:sz="4" w:space="0" w:color="0079C1"/>
            </w:tcBorders>
            <w:vAlign w:val="center"/>
          </w:tcPr>
          <w:p w14:paraId="4EDF40C7"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000000" w:themeColor="text1"/>
                <w:sz w:val="20"/>
                <w:szCs w:val="20"/>
              </w:rPr>
              <w:t>35</w:t>
            </w:r>
          </w:p>
        </w:tc>
        <w:tc>
          <w:tcPr>
            <w:tcW w:w="971" w:type="dxa"/>
            <w:gridSpan w:val="2"/>
            <w:vAlign w:val="center"/>
          </w:tcPr>
          <w:p w14:paraId="65C4E114" w14:textId="77777777" w:rsidR="00655E7B" w:rsidRPr="00E61AC8" w:rsidRDefault="00655E7B" w:rsidP="004B28FE">
            <w:pPr>
              <w:tabs>
                <w:tab w:val="left" w:pos="318"/>
              </w:tabs>
              <w:spacing w:before="60" w:after="60"/>
              <w:jc w:val="center"/>
              <w:rPr>
                <w:rStyle w:val="Strong"/>
                <w:sz w:val="20"/>
                <w:szCs w:val="20"/>
              </w:rPr>
            </w:pPr>
            <w:r w:rsidRPr="00E61AC8">
              <w:rPr>
                <w:rStyle w:val="Strong"/>
                <w:sz w:val="20"/>
                <w:szCs w:val="20"/>
              </w:rPr>
              <w:t>15.9%</w:t>
            </w:r>
          </w:p>
        </w:tc>
      </w:tr>
      <w:tr w:rsidR="00655E7B" w:rsidRPr="00E61AC8" w14:paraId="760C3F8F" w14:textId="77777777" w:rsidTr="00E61AC8">
        <w:tc>
          <w:tcPr>
            <w:tcW w:w="1877" w:type="dxa"/>
            <w:tcBorders>
              <w:right w:val="single" w:sz="4" w:space="0" w:color="0079C1"/>
            </w:tcBorders>
          </w:tcPr>
          <w:p w14:paraId="6D919AC2" w14:textId="77777777" w:rsidR="00655E7B" w:rsidRPr="00E61AC8" w:rsidRDefault="00655E7B" w:rsidP="004B28FE">
            <w:pPr>
              <w:tabs>
                <w:tab w:val="left" w:pos="318"/>
              </w:tabs>
              <w:spacing w:before="60" w:after="60"/>
              <w:rPr>
                <w:rFonts w:asciiTheme="minorHAnsi" w:hAnsiTheme="minorHAnsi"/>
                <w:color w:val="000000" w:themeColor="text1"/>
                <w:sz w:val="20"/>
                <w:szCs w:val="20"/>
              </w:rPr>
            </w:pPr>
            <w:r w:rsidRPr="00E61AC8">
              <w:rPr>
                <w:rFonts w:asciiTheme="minorHAnsi" w:hAnsiTheme="minorHAnsi"/>
                <w:color w:val="333333"/>
                <w:sz w:val="20"/>
                <w:szCs w:val="20"/>
              </w:rPr>
              <w:t>Sibling group of three or more</w:t>
            </w:r>
          </w:p>
        </w:tc>
        <w:tc>
          <w:tcPr>
            <w:tcW w:w="850" w:type="dxa"/>
            <w:tcBorders>
              <w:left w:val="single" w:sz="4" w:space="0" w:color="0079C1"/>
            </w:tcBorders>
            <w:vAlign w:val="center"/>
          </w:tcPr>
          <w:p w14:paraId="05EAFD6A"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1</w:t>
            </w:r>
          </w:p>
        </w:tc>
        <w:tc>
          <w:tcPr>
            <w:tcW w:w="851" w:type="dxa"/>
            <w:tcBorders>
              <w:right w:val="single" w:sz="4" w:space="0" w:color="0079C1"/>
            </w:tcBorders>
            <w:vAlign w:val="center"/>
          </w:tcPr>
          <w:p w14:paraId="23088594"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0.9%</w:t>
            </w:r>
          </w:p>
        </w:tc>
        <w:tc>
          <w:tcPr>
            <w:tcW w:w="709" w:type="dxa"/>
            <w:gridSpan w:val="2"/>
            <w:tcBorders>
              <w:left w:val="single" w:sz="4" w:space="0" w:color="0079C1"/>
            </w:tcBorders>
            <w:vAlign w:val="center"/>
          </w:tcPr>
          <w:p w14:paraId="18F94FD7"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2</w:t>
            </w:r>
          </w:p>
        </w:tc>
        <w:tc>
          <w:tcPr>
            <w:tcW w:w="944" w:type="dxa"/>
            <w:tcBorders>
              <w:right w:val="single" w:sz="4" w:space="0" w:color="0079C1"/>
            </w:tcBorders>
            <w:vAlign w:val="center"/>
          </w:tcPr>
          <w:p w14:paraId="2F78B31D"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10.5%</w:t>
            </w:r>
          </w:p>
        </w:tc>
        <w:tc>
          <w:tcPr>
            <w:tcW w:w="615" w:type="dxa"/>
            <w:gridSpan w:val="2"/>
            <w:tcBorders>
              <w:left w:val="single" w:sz="4" w:space="0" w:color="0079C1"/>
            </w:tcBorders>
            <w:vAlign w:val="center"/>
          </w:tcPr>
          <w:p w14:paraId="447C285E"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949" w:type="dxa"/>
            <w:tcBorders>
              <w:right w:val="single" w:sz="4" w:space="0" w:color="0079C1"/>
            </w:tcBorders>
            <w:vAlign w:val="center"/>
          </w:tcPr>
          <w:p w14:paraId="6A2566E7"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w:t>
            </w:r>
          </w:p>
        </w:tc>
        <w:tc>
          <w:tcPr>
            <w:tcW w:w="779" w:type="dxa"/>
            <w:tcBorders>
              <w:left w:val="single" w:sz="4" w:space="0" w:color="0079C1"/>
            </w:tcBorders>
            <w:vAlign w:val="center"/>
          </w:tcPr>
          <w:p w14:paraId="37E99412"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933" w:type="dxa"/>
            <w:tcBorders>
              <w:right w:val="single" w:sz="4" w:space="0" w:color="0079C1"/>
            </w:tcBorders>
            <w:vAlign w:val="center"/>
          </w:tcPr>
          <w:p w14:paraId="16E23C73"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w:t>
            </w:r>
          </w:p>
        </w:tc>
        <w:tc>
          <w:tcPr>
            <w:tcW w:w="620" w:type="dxa"/>
            <w:tcBorders>
              <w:left w:val="single" w:sz="4" w:space="0" w:color="0079C1"/>
            </w:tcBorders>
            <w:vAlign w:val="center"/>
          </w:tcPr>
          <w:p w14:paraId="0035CD51"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000000" w:themeColor="text1"/>
                <w:sz w:val="20"/>
                <w:szCs w:val="20"/>
              </w:rPr>
              <w:t>3</w:t>
            </w:r>
          </w:p>
        </w:tc>
        <w:tc>
          <w:tcPr>
            <w:tcW w:w="971" w:type="dxa"/>
            <w:gridSpan w:val="2"/>
            <w:vAlign w:val="center"/>
          </w:tcPr>
          <w:p w14:paraId="2B123F1F" w14:textId="77777777" w:rsidR="00655E7B" w:rsidRPr="00E61AC8" w:rsidRDefault="00655E7B" w:rsidP="004B28FE">
            <w:pPr>
              <w:tabs>
                <w:tab w:val="left" w:pos="318"/>
              </w:tabs>
              <w:spacing w:before="60" w:after="60"/>
              <w:jc w:val="center"/>
              <w:rPr>
                <w:rStyle w:val="Strong"/>
                <w:sz w:val="20"/>
                <w:szCs w:val="20"/>
              </w:rPr>
            </w:pPr>
            <w:r w:rsidRPr="00E61AC8">
              <w:rPr>
                <w:rStyle w:val="Strong"/>
                <w:sz w:val="20"/>
                <w:szCs w:val="20"/>
              </w:rPr>
              <w:t>1.4%</w:t>
            </w:r>
          </w:p>
        </w:tc>
      </w:tr>
      <w:tr w:rsidR="00655E7B" w:rsidRPr="00E61AC8" w14:paraId="312DC8EC" w14:textId="77777777" w:rsidTr="00E61AC8">
        <w:tc>
          <w:tcPr>
            <w:tcW w:w="1877" w:type="dxa"/>
            <w:tcBorders>
              <w:right w:val="single" w:sz="4" w:space="0" w:color="0079C1"/>
            </w:tcBorders>
          </w:tcPr>
          <w:p w14:paraId="4EEF3B1F" w14:textId="77777777" w:rsidR="00655E7B" w:rsidRPr="00E61AC8" w:rsidRDefault="00655E7B" w:rsidP="004B28FE">
            <w:pPr>
              <w:tabs>
                <w:tab w:val="left" w:pos="318"/>
              </w:tabs>
              <w:spacing w:before="60" w:after="60"/>
              <w:rPr>
                <w:rFonts w:asciiTheme="minorHAnsi" w:hAnsiTheme="minorHAnsi"/>
                <w:color w:val="000000" w:themeColor="text1"/>
                <w:sz w:val="20"/>
                <w:szCs w:val="20"/>
              </w:rPr>
            </w:pPr>
            <w:r w:rsidRPr="00E61AC8">
              <w:rPr>
                <w:rFonts w:asciiTheme="minorHAnsi" w:hAnsiTheme="minorHAnsi"/>
                <w:color w:val="333333"/>
                <w:sz w:val="20"/>
                <w:szCs w:val="20"/>
              </w:rPr>
              <w:t>No preference</w:t>
            </w:r>
          </w:p>
        </w:tc>
        <w:tc>
          <w:tcPr>
            <w:tcW w:w="850" w:type="dxa"/>
            <w:tcBorders>
              <w:left w:val="single" w:sz="4" w:space="0" w:color="0079C1"/>
            </w:tcBorders>
            <w:vAlign w:val="center"/>
          </w:tcPr>
          <w:p w14:paraId="4ABBFCF0"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18</w:t>
            </w:r>
          </w:p>
        </w:tc>
        <w:tc>
          <w:tcPr>
            <w:tcW w:w="851" w:type="dxa"/>
            <w:tcBorders>
              <w:right w:val="single" w:sz="4" w:space="0" w:color="0079C1"/>
            </w:tcBorders>
            <w:vAlign w:val="center"/>
          </w:tcPr>
          <w:p w14:paraId="28E35383"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16.7%</w:t>
            </w:r>
          </w:p>
        </w:tc>
        <w:tc>
          <w:tcPr>
            <w:tcW w:w="709" w:type="dxa"/>
            <w:gridSpan w:val="2"/>
            <w:tcBorders>
              <w:left w:val="single" w:sz="4" w:space="0" w:color="0079C1"/>
            </w:tcBorders>
            <w:vAlign w:val="center"/>
          </w:tcPr>
          <w:p w14:paraId="340797A4"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5</w:t>
            </w:r>
          </w:p>
        </w:tc>
        <w:tc>
          <w:tcPr>
            <w:tcW w:w="944" w:type="dxa"/>
            <w:tcBorders>
              <w:right w:val="single" w:sz="4" w:space="0" w:color="0079C1"/>
            </w:tcBorders>
            <w:vAlign w:val="center"/>
          </w:tcPr>
          <w:p w14:paraId="22513A42"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26.3%</w:t>
            </w:r>
          </w:p>
        </w:tc>
        <w:tc>
          <w:tcPr>
            <w:tcW w:w="615" w:type="dxa"/>
            <w:gridSpan w:val="2"/>
            <w:tcBorders>
              <w:left w:val="single" w:sz="4" w:space="0" w:color="0079C1"/>
            </w:tcBorders>
            <w:vAlign w:val="center"/>
          </w:tcPr>
          <w:p w14:paraId="2134BAFD"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949" w:type="dxa"/>
            <w:tcBorders>
              <w:right w:val="single" w:sz="4" w:space="0" w:color="0079C1"/>
            </w:tcBorders>
            <w:vAlign w:val="center"/>
          </w:tcPr>
          <w:p w14:paraId="7EF63A8C"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w:t>
            </w:r>
          </w:p>
        </w:tc>
        <w:tc>
          <w:tcPr>
            <w:tcW w:w="779" w:type="dxa"/>
            <w:tcBorders>
              <w:left w:val="single" w:sz="4" w:space="0" w:color="0079C1"/>
            </w:tcBorders>
            <w:vAlign w:val="center"/>
          </w:tcPr>
          <w:p w14:paraId="4731075E"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5</w:t>
            </w:r>
          </w:p>
        </w:tc>
        <w:tc>
          <w:tcPr>
            <w:tcW w:w="933" w:type="dxa"/>
            <w:tcBorders>
              <w:right w:val="single" w:sz="4" w:space="0" w:color="0079C1"/>
            </w:tcBorders>
            <w:vAlign w:val="center"/>
          </w:tcPr>
          <w:p w14:paraId="3EF47A63"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25.0%</w:t>
            </w:r>
          </w:p>
        </w:tc>
        <w:tc>
          <w:tcPr>
            <w:tcW w:w="620" w:type="dxa"/>
            <w:tcBorders>
              <w:left w:val="single" w:sz="4" w:space="0" w:color="0079C1"/>
            </w:tcBorders>
            <w:vAlign w:val="center"/>
          </w:tcPr>
          <w:p w14:paraId="44080E9E"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000000" w:themeColor="text1"/>
                <w:sz w:val="20"/>
                <w:szCs w:val="20"/>
              </w:rPr>
              <w:t>28</w:t>
            </w:r>
          </w:p>
        </w:tc>
        <w:tc>
          <w:tcPr>
            <w:tcW w:w="971" w:type="dxa"/>
            <w:gridSpan w:val="2"/>
            <w:vAlign w:val="center"/>
          </w:tcPr>
          <w:p w14:paraId="04259766" w14:textId="77777777" w:rsidR="00655E7B" w:rsidRPr="00E61AC8" w:rsidRDefault="00655E7B" w:rsidP="004B28FE">
            <w:pPr>
              <w:tabs>
                <w:tab w:val="left" w:pos="318"/>
              </w:tabs>
              <w:spacing w:before="60" w:after="60"/>
              <w:jc w:val="center"/>
              <w:rPr>
                <w:rStyle w:val="Strong"/>
                <w:sz w:val="20"/>
                <w:szCs w:val="20"/>
              </w:rPr>
            </w:pPr>
            <w:r w:rsidRPr="00E61AC8">
              <w:rPr>
                <w:rStyle w:val="Strong"/>
                <w:sz w:val="20"/>
                <w:szCs w:val="20"/>
              </w:rPr>
              <w:t>12.7%</w:t>
            </w:r>
          </w:p>
        </w:tc>
      </w:tr>
      <w:tr w:rsidR="00655E7B" w:rsidRPr="00E61AC8" w14:paraId="7A75779D" w14:textId="77777777" w:rsidTr="00E61AC8">
        <w:tc>
          <w:tcPr>
            <w:tcW w:w="1877" w:type="dxa"/>
            <w:tcBorders>
              <w:right w:val="single" w:sz="4" w:space="0" w:color="0079C1"/>
            </w:tcBorders>
          </w:tcPr>
          <w:p w14:paraId="4481C74C" w14:textId="77777777" w:rsidR="00655E7B" w:rsidRPr="00E61AC8" w:rsidRDefault="00655E7B" w:rsidP="004B28FE">
            <w:pPr>
              <w:tabs>
                <w:tab w:val="left" w:pos="318"/>
              </w:tabs>
              <w:spacing w:before="60" w:after="60"/>
              <w:rPr>
                <w:rFonts w:asciiTheme="minorHAnsi" w:hAnsiTheme="minorHAnsi" w:cs="Arial"/>
                <w:color w:val="333333"/>
                <w:sz w:val="20"/>
                <w:szCs w:val="20"/>
              </w:rPr>
            </w:pPr>
            <w:r w:rsidRPr="00E61AC8">
              <w:rPr>
                <w:rFonts w:asciiTheme="minorHAnsi" w:hAnsiTheme="minorHAnsi"/>
                <w:color w:val="333333"/>
                <w:sz w:val="20"/>
                <w:szCs w:val="20"/>
              </w:rPr>
              <w:t xml:space="preserve">Other </w:t>
            </w:r>
          </w:p>
        </w:tc>
        <w:tc>
          <w:tcPr>
            <w:tcW w:w="850" w:type="dxa"/>
            <w:tcBorders>
              <w:left w:val="single" w:sz="4" w:space="0" w:color="0079C1"/>
            </w:tcBorders>
            <w:vAlign w:val="center"/>
          </w:tcPr>
          <w:p w14:paraId="41C785FA"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1</w:t>
            </w:r>
          </w:p>
        </w:tc>
        <w:tc>
          <w:tcPr>
            <w:tcW w:w="851" w:type="dxa"/>
            <w:tcBorders>
              <w:right w:val="single" w:sz="4" w:space="0" w:color="0079C1"/>
            </w:tcBorders>
            <w:vAlign w:val="center"/>
          </w:tcPr>
          <w:p w14:paraId="1E6B99B8"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0.9%</w:t>
            </w:r>
          </w:p>
        </w:tc>
        <w:tc>
          <w:tcPr>
            <w:tcW w:w="709" w:type="dxa"/>
            <w:gridSpan w:val="2"/>
            <w:tcBorders>
              <w:left w:val="single" w:sz="4" w:space="0" w:color="0079C1"/>
            </w:tcBorders>
            <w:vAlign w:val="center"/>
          </w:tcPr>
          <w:p w14:paraId="20F4EFC7"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2</w:t>
            </w:r>
          </w:p>
        </w:tc>
        <w:tc>
          <w:tcPr>
            <w:tcW w:w="944" w:type="dxa"/>
            <w:tcBorders>
              <w:right w:val="single" w:sz="4" w:space="0" w:color="0079C1"/>
            </w:tcBorders>
            <w:vAlign w:val="center"/>
          </w:tcPr>
          <w:p w14:paraId="6F9F6727"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10.5%</w:t>
            </w:r>
          </w:p>
        </w:tc>
        <w:tc>
          <w:tcPr>
            <w:tcW w:w="615" w:type="dxa"/>
            <w:gridSpan w:val="2"/>
            <w:tcBorders>
              <w:left w:val="single" w:sz="4" w:space="0" w:color="0079C1"/>
            </w:tcBorders>
            <w:vAlign w:val="center"/>
          </w:tcPr>
          <w:p w14:paraId="51453668"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12</w:t>
            </w:r>
          </w:p>
        </w:tc>
        <w:tc>
          <w:tcPr>
            <w:tcW w:w="949" w:type="dxa"/>
            <w:tcBorders>
              <w:right w:val="single" w:sz="4" w:space="0" w:color="0079C1"/>
            </w:tcBorders>
            <w:vAlign w:val="center"/>
          </w:tcPr>
          <w:p w14:paraId="67451BB4"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16.4%</w:t>
            </w:r>
          </w:p>
        </w:tc>
        <w:tc>
          <w:tcPr>
            <w:tcW w:w="779" w:type="dxa"/>
            <w:tcBorders>
              <w:left w:val="single" w:sz="4" w:space="0" w:color="0079C1"/>
            </w:tcBorders>
            <w:vAlign w:val="center"/>
          </w:tcPr>
          <w:p w14:paraId="6144C61E"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1</w:t>
            </w:r>
          </w:p>
        </w:tc>
        <w:tc>
          <w:tcPr>
            <w:tcW w:w="933" w:type="dxa"/>
            <w:tcBorders>
              <w:right w:val="single" w:sz="4" w:space="0" w:color="0079C1"/>
            </w:tcBorders>
            <w:vAlign w:val="center"/>
          </w:tcPr>
          <w:p w14:paraId="26716529"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5.0%</w:t>
            </w:r>
          </w:p>
        </w:tc>
        <w:tc>
          <w:tcPr>
            <w:tcW w:w="620" w:type="dxa"/>
            <w:tcBorders>
              <w:left w:val="single" w:sz="4" w:space="0" w:color="0079C1"/>
            </w:tcBorders>
            <w:vAlign w:val="center"/>
          </w:tcPr>
          <w:p w14:paraId="67429DD3"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000000" w:themeColor="text1"/>
                <w:sz w:val="20"/>
                <w:szCs w:val="20"/>
              </w:rPr>
              <w:t>16</w:t>
            </w:r>
          </w:p>
        </w:tc>
        <w:tc>
          <w:tcPr>
            <w:tcW w:w="971" w:type="dxa"/>
            <w:gridSpan w:val="2"/>
            <w:vAlign w:val="center"/>
          </w:tcPr>
          <w:p w14:paraId="01AD8FE2" w14:textId="77777777" w:rsidR="00655E7B" w:rsidRPr="00E61AC8" w:rsidRDefault="00655E7B" w:rsidP="004B28FE">
            <w:pPr>
              <w:tabs>
                <w:tab w:val="left" w:pos="318"/>
              </w:tabs>
              <w:spacing w:before="60" w:after="60"/>
              <w:jc w:val="center"/>
              <w:rPr>
                <w:rStyle w:val="Strong"/>
                <w:sz w:val="20"/>
                <w:szCs w:val="20"/>
              </w:rPr>
            </w:pPr>
            <w:r w:rsidRPr="00E61AC8">
              <w:rPr>
                <w:rStyle w:val="Strong"/>
                <w:sz w:val="20"/>
                <w:szCs w:val="20"/>
              </w:rPr>
              <w:t>7.3%</w:t>
            </w:r>
          </w:p>
        </w:tc>
      </w:tr>
      <w:tr w:rsidR="00655E7B" w:rsidRPr="00E61AC8" w14:paraId="21564CA0" w14:textId="77777777" w:rsidTr="00E61AC8">
        <w:tc>
          <w:tcPr>
            <w:tcW w:w="1877" w:type="dxa"/>
            <w:tcBorders>
              <w:bottom w:val="single" w:sz="4" w:space="0" w:color="0079C1"/>
              <w:right w:val="single" w:sz="4" w:space="0" w:color="0079C1"/>
            </w:tcBorders>
          </w:tcPr>
          <w:p w14:paraId="077AA9D1" w14:textId="77777777" w:rsidR="00655E7B" w:rsidRPr="00E61AC8" w:rsidRDefault="00655E7B" w:rsidP="004B28FE">
            <w:pPr>
              <w:tabs>
                <w:tab w:val="left" w:pos="318"/>
              </w:tabs>
              <w:spacing w:before="60" w:after="60"/>
              <w:rPr>
                <w:rFonts w:asciiTheme="minorHAnsi" w:hAnsiTheme="minorHAnsi"/>
                <w:color w:val="333333"/>
                <w:sz w:val="20"/>
                <w:szCs w:val="20"/>
              </w:rPr>
            </w:pPr>
            <w:r w:rsidRPr="00E61AC8">
              <w:rPr>
                <w:rFonts w:asciiTheme="minorHAnsi" w:hAnsiTheme="minorHAnsi"/>
                <w:color w:val="333333"/>
                <w:sz w:val="20"/>
                <w:szCs w:val="20"/>
              </w:rPr>
              <w:t>Not stated</w:t>
            </w:r>
          </w:p>
        </w:tc>
        <w:tc>
          <w:tcPr>
            <w:tcW w:w="850" w:type="dxa"/>
            <w:tcBorders>
              <w:left w:val="single" w:sz="4" w:space="0" w:color="0079C1"/>
              <w:bottom w:val="single" w:sz="4" w:space="0" w:color="0079C1"/>
            </w:tcBorders>
            <w:vAlign w:val="center"/>
          </w:tcPr>
          <w:p w14:paraId="07D17100"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13</w:t>
            </w:r>
          </w:p>
        </w:tc>
        <w:tc>
          <w:tcPr>
            <w:tcW w:w="851" w:type="dxa"/>
            <w:tcBorders>
              <w:bottom w:val="single" w:sz="4" w:space="0" w:color="0079C1"/>
              <w:right w:val="single" w:sz="4" w:space="0" w:color="0079C1"/>
            </w:tcBorders>
            <w:vAlign w:val="center"/>
          </w:tcPr>
          <w:p w14:paraId="08E8B7B6"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12.0%</w:t>
            </w:r>
          </w:p>
        </w:tc>
        <w:tc>
          <w:tcPr>
            <w:tcW w:w="709" w:type="dxa"/>
            <w:gridSpan w:val="2"/>
            <w:tcBorders>
              <w:left w:val="single" w:sz="4" w:space="0" w:color="0079C1"/>
              <w:bottom w:val="single" w:sz="4" w:space="0" w:color="0079C1"/>
            </w:tcBorders>
            <w:vAlign w:val="center"/>
          </w:tcPr>
          <w:p w14:paraId="62DC891F"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2</w:t>
            </w:r>
          </w:p>
        </w:tc>
        <w:tc>
          <w:tcPr>
            <w:tcW w:w="944" w:type="dxa"/>
            <w:tcBorders>
              <w:bottom w:val="single" w:sz="4" w:space="0" w:color="0079C1"/>
              <w:right w:val="single" w:sz="4" w:space="0" w:color="0079C1"/>
            </w:tcBorders>
            <w:vAlign w:val="center"/>
          </w:tcPr>
          <w:p w14:paraId="41855975"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10.5%</w:t>
            </w:r>
          </w:p>
        </w:tc>
        <w:tc>
          <w:tcPr>
            <w:tcW w:w="615" w:type="dxa"/>
            <w:gridSpan w:val="2"/>
            <w:tcBorders>
              <w:left w:val="single" w:sz="4" w:space="0" w:color="0079C1"/>
              <w:bottom w:val="single" w:sz="4" w:space="0" w:color="0079C1"/>
            </w:tcBorders>
            <w:vAlign w:val="center"/>
          </w:tcPr>
          <w:p w14:paraId="33C5A643"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6</w:t>
            </w:r>
          </w:p>
        </w:tc>
        <w:tc>
          <w:tcPr>
            <w:tcW w:w="949" w:type="dxa"/>
            <w:tcBorders>
              <w:bottom w:val="single" w:sz="4" w:space="0" w:color="0079C1"/>
              <w:right w:val="single" w:sz="4" w:space="0" w:color="0079C1"/>
            </w:tcBorders>
            <w:vAlign w:val="center"/>
          </w:tcPr>
          <w:p w14:paraId="40881A21"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8.2%</w:t>
            </w:r>
          </w:p>
        </w:tc>
        <w:tc>
          <w:tcPr>
            <w:tcW w:w="779" w:type="dxa"/>
            <w:tcBorders>
              <w:left w:val="single" w:sz="4" w:space="0" w:color="0079C1"/>
              <w:bottom w:val="single" w:sz="4" w:space="0" w:color="0079C1"/>
            </w:tcBorders>
            <w:vAlign w:val="center"/>
          </w:tcPr>
          <w:p w14:paraId="405F29E6"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3</w:t>
            </w:r>
          </w:p>
        </w:tc>
        <w:tc>
          <w:tcPr>
            <w:tcW w:w="933" w:type="dxa"/>
            <w:tcBorders>
              <w:bottom w:val="single" w:sz="4" w:space="0" w:color="0079C1"/>
              <w:right w:val="single" w:sz="4" w:space="0" w:color="0079C1"/>
            </w:tcBorders>
            <w:vAlign w:val="center"/>
          </w:tcPr>
          <w:p w14:paraId="1DD72217"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15.0%</w:t>
            </w:r>
          </w:p>
        </w:tc>
        <w:tc>
          <w:tcPr>
            <w:tcW w:w="620" w:type="dxa"/>
            <w:tcBorders>
              <w:left w:val="single" w:sz="4" w:space="0" w:color="0079C1"/>
              <w:bottom w:val="single" w:sz="4" w:space="0" w:color="0079C1"/>
            </w:tcBorders>
            <w:vAlign w:val="center"/>
          </w:tcPr>
          <w:p w14:paraId="61439569"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000000" w:themeColor="text1"/>
                <w:sz w:val="20"/>
                <w:szCs w:val="20"/>
              </w:rPr>
              <w:t>24</w:t>
            </w:r>
          </w:p>
        </w:tc>
        <w:tc>
          <w:tcPr>
            <w:tcW w:w="971" w:type="dxa"/>
            <w:gridSpan w:val="2"/>
            <w:tcBorders>
              <w:bottom w:val="single" w:sz="4" w:space="0" w:color="0079C1"/>
            </w:tcBorders>
            <w:vAlign w:val="center"/>
          </w:tcPr>
          <w:p w14:paraId="78C7BACD" w14:textId="77777777" w:rsidR="00655E7B" w:rsidRPr="00E61AC8" w:rsidRDefault="00655E7B" w:rsidP="004B28FE">
            <w:pPr>
              <w:tabs>
                <w:tab w:val="left" w:pos="318"/>
              </w:tabs>
              <w:spacing w:before="60" w:after="60"/>
              <w:jc w:val="center"/>
              <w:rPr>
                <w:rStyle w:val="Strong"/>
                <w:sz w:val="20"/>
                <w:szCs w:val="20"/>
              </w:rPr>
            </w:pPr>
            <w:r w:rsidRPr="00E61AC8">
              <w:rPr>
                <w:rStyle w:val="Strong"/>
                <w:sz w:val="20"/>
                <w:szCs w:val="20"/>
              </w:rPr>
              <w:t>10.9%</w:t>
            </w:r>
          </w:p>
        </w:tc>
      </w:tr>
      <w:tr w:rsidR="00E61AC8" w:rsidRPr="00E61AC8" w14:paraId="71E50BDC" w14:textId="77777777" w:rsidTr="00E61AC8">
        <w:tc>
          <w:tcPr>
            <w:tcW w:w="1877" w:type="dxa"/>
            <w:tcBorders>
              <w:top w:val="single" w:sz="4" w:space="0" w:color="0079C1"/>
              <w:right w:val="single" w:sz="4" w:space="0" w:color="0079C1"/>
            </w:tcBorders>
            <w:shd w:val="clear" w:color="auto" w:fill="E2F4FF" w:themeFill="accent1" w:themeFillTint="33"/>
          </w:tcPr>
          <w:p w14:paraId="06C65D3C" w14:textId="77777777" w:rsidR="00655E7B" w:rsidRPr="00E61AC8" w:rsidRDefault="00655E7B" w:rsidP="004B28FE">
            <w:pPr>
              <w:tabs>
                <w:tab w:val="left" w:pos="318"/>
              </w:tabs>
              <w:spacing w:before="60" w:after="60"/>
              <w:rPr>
                <w:rStyle w:val="Strong"/>
                <w:sz w:val="20"/>
                <w:szCs w:val="20"/>
              </w:rPr>
            </w:pPr>
            <w:r w:rsidRPr="00E61AC8">
              <w:rPr>
                <w:rStyle w:val="Strong"/>
                <w:sz w:val="20"/>
                <w:szCs w:val="20"/>
              </w:rPr>
              <w:t xml:space="preserve">Total </w:t>
            </w:r>
          </w:p>
        </w:tc>
        <w:tc>
          <w:tcPr>
            <w:tcW w:w="850" w:type="dxa"/>
            <w:tcBorders>
              <w:top w:val="single" w:sz="4" w:space="0" w:color="0079C1"/>
              <w:left w:val="single" w:sz="4" w:space="0" w:color="0079C1"/>
            </w:tcBorders>
            <w:shd w:val="clear" w:color="auto" w:fill="E2F4FF" w:themeFill="accent1" w:themeFillTint="33"/>
            <w:vAlign w:val="center"/>
          </w:tcPr>
          <w:p w14:paraId="02F388BD" w14:textId="77777777" w:rsidR="00655E7B" w:rsidRPr="00E61AC8" w:rsidRDefault="00655E7B" w:rsidP="004B28FE">
            <w:pPr>
              <w:tabs>
                <w:tab w:val="left" w:pos="318"/>
              </w:tabs>
              <w:spacing w:before="60" w:after="60"/>
              <w:jc w:val="center"/>
              <w:rPr>
                <w:rStyle w:val="Strong"/>
                <w:sz w:val="20"/>
                <w:szCs w:val="20"/>
              </w:rPr>
            </w:pPr>
            <w:r w:rsidRPr="00E61AC8">
              <w:rPr>
                <w:rStyle w:val="Strong"/>
                <w:sz w:val="20"/>
                <w:szCs w:val="20"/>
              </w:rPr>
              <w:t>108</w:t>
            </w:r>
          </w:p>
        </w:tc>
        <w:tc>
          <w:tcPr>
            <w:tcW w:w="851" w:type="dxa"/>
            <w:tcBorders>
              <w:top w:val="single" w:sz="4" w:space="0" w:color="0079C1"/>
              <w:right w:val="single" w:sz="4" w:space="0" w:color="0079C1"/>
            </w:tcBorders>
            <w:shd w:val="clear" w:color="auto" w:fill="E2F4FF" w:themeFill="accent1" w:themeFillTint="33"/>
            <w:vAlign w:val="center"/>
          </w:tcPr>
          <w:p w14:paraId="53D16824" w14:textId="77777777" w:rsidR="00655E7B" w:rsidRPr="00E61AC8" w:rsidRDefault="00655E7B" w:rsidP="004B28FE">
            <w:pPr>
              <w:tabs>
                <w:tab w:val="left" w:pos="318"/>
              </w:tabs>
              <w:spacing w:before="60" w:after="60"/>
              <w:jc w:val="center"/>
              <w:rPr>
                <w:rStyle w:val="Strong"/>
                <w:sz w:val="20"/>
                <w:szCs w:val="20"/>
              </w:rPr>
            </w:pPr>
            <w:r w:rsidRPr="00E61AC8">
              <w:rPr>
                <w:rStyle w:val="Strong"/>
                <w:sz w:val="20"/>
                <w:szCs w:val="20"/>
              </w:rPr>
              <w:t>100.0%</w:t>
            </w:r>
          </w:p>
        </w:tc>
        <w:tc>
          <w:tcPr>
            <w:tcW w:w="709" w:type="dxa"/>
            <w:gridSpan w:val="2"/>
            <w:tcBorders>
              <w:top w:val="single" w:sz="4" w:space="0" w:color="0079C1"/>
              <w:left w:val="single" w:sz="4" w:space="0" w:color="0079C1"/>
            </w:tcBorders>
            <w:shd w:val="clear" w:color="auto" w:fill="E2F4FF" w:themeFill="accent1" w:themeFillTint="33"/>
            <w:vAlign w:val="center"/>
          </w:tcPr>
          <w:p w14:paraId="239510BD" w14:textId="77777777" w:rsidR="00655E7B" w:rsidRPr="00E61AC8" w:rsidRDefault="00655E7B" w:rsidP="004B28FE">
            <w:pPr>
              <w:tabs>
                <w:tab w:val="left" w:pos="318"/>
              </w:tabs>
              <w:spacing w:before="60" w:after="60"/>
              <w:jc w:val="center"/>
              <w:rPr>
                <w:rStyle w:val="Strong"/>
                <w:sz w:val="20"/>
                <w:szCs w:val="20"/>
              </w:rPr>
            </w:pPr>
            <w:r w:rsidRPr="00E61AC8">
              <w:rPr>
                <w:rStyle w:val="Strong"/>
                <w:sz w:val="20"/>
                <w:szCs w:val="20"/>
              </w:rPr>
              <w:t>19</w:t>
            </w:r>
          </w:p>
        </w:tc>
        <w:tc>
          <w:tcPr>
            <w:tcW w:w="951" w:type="dxa"/>
            <w:gridSpan w:val="2"/>
            <w:tcBorders>
              <w:top w:val="single" w:sz="4" w:space="0" w:color="0079C1"/>
              <w:right w:val="single" w:sz="4" w:space="0" w:color="0079C1"/>
            </w:tcBorders>
            <w:shd w:val="clear" w:color="auto" w:fill="E2F4FF" w:themeFill="accent1" w:themeFillTint="33"/>
            <w:vAlign w:val="center"/>
          </w:tcPr>
          <w:p w14:paraId="28AFDD1B" w14:textId="77777777" w:rsidR="00655E7B" w:rsidRPr="00E61AC8" w:rsidRDefault="00655E7B" w:rsidP="004B28FE">
            <w:pPr>
              <w:tabs>
                <w:tab w:val="left" w:pos="318"/>
              </w:tabs>
              <w:spacing w:before="60" w:after="60"/>
              <w:jc w:val="center"/>
              <w:rPr>
                <w:rStyle w:val="Strong"/>
                <w:sz w:val="20"/>
                <w:szCs w:val="20"/>
              </w:rPr>
            </w:pPr>
            <w:r w:rsidRPr="00E61AC8">
              <w:rPr>
                <w:rStyle w:val="Strong"/>
                <w:sz w:val="20"/>
                <w:szCs w:val="20"/>
              </w:rPr>
              <w:t>100.0%</w:t>
            </w:r>
          </w:p>
        </w:tc>
        <w:tc>
          <w:tcPr>
            <w:tcW w:w="608" w:type="dxa"/>
            <w:tcBorders>
              <w:top w:val="single" w:sz="4" w:space="0" w:color="0079C1"/>
              <w:left w:val="single" w:sz="4" w:space="0" w:color="0079C1"/>
            </w:tcBorders>
            <w:shd w:val="clear" w:color="auto" w:fill="E2F4FF" w:themeFill="accent1" w:themeFillTint="33"/>
            <w:vAlign w:val="center"/>
          </w:tcPr>
          <w:p w14:paraId="7DC2225B" w14:textId="77777777" w:rsidR="00655E7B" w:rsidRPr="00E61AC8" w:rsidRDefault="00655E7B" w:rsidP="004B28FE">
            <w:pPr>
              <w:tabs>
                <w:tab w:val="left" w:pos="318"/>
              </w:tabs>
              <w:spacing w:before="60" w:after="60"/>
              <w:jc w:val="center"/>
              <w:rPr>
                <w:rStyle w:val="Strong"/>
                <w:sz w:val="20"/>
                <w:szCs w:val="20"/>
              </w:rPr>
            </w:pPr>
            <w:r w:rsidRPr="00E61AC8">
              <w:rPr>
                <w:rStyle w:val="Strong"/>
                <w:sz w:val="20"/>
                <w:szCs w:val="20"/>
              </w:rPr>
              <w:t>73</w:t>
            </w:r>
          </w:p>
        </w:tc>
        <w:tc>
          <w:tcPr>
            <w:tcW w:w="949" w:type="dxa"/>
            <w:tcBorders>
              <w:top w:val="single" w:sz="4" w:space="0" w:color="0079C1"/>
              <w:right w:val="single" w:sz="4" w:space="0" w:color="0079C1"/>
            </w:tcBorders>
            <w:shd w:val="clear" w:color="auto" w:fill="E2F4FF" w:themeFill="accent1" w:themeFillTint="33"/>
            <w:vAlign w:val="center"/>
          </w:tcPr>
          <w:p w14:paraId="1BACFD30" w14:textId="77777777" w:rsidR="00655E7B" w:rsidRPr="00E61AC8" w:rsidRDefault="00655E7B" w:rsidP="004B28FE">
            <w:pPr>
              <w:tabs>
                <w:tab w:val="left" w:pos="318"/>
              </w:tabs>
              <w:spacing w:before="60" w:after="60"/>
              <w:jc w:val="center"/>
              <w:rPr>
                <w:rStyle w:val="Strong"/>
                <w:sz w:val="20"/>
                <w:szCs w:val="20"/>
              </w:rPr>
            </w:pPr>
            <w:r w:rsidRPr="00E61AC8">
              <w:rPr>
                <w:rStyle w:val="Strong"/>
                <w:sz w:val="20"/>
                <w:szCs w:val="20"/>
              </w:rPr>
              <w:t>100.0%</w:t>
            </w:r>
          </w:p>
        </w:tc>
        <w:tc>
          <w:tcPr>
            <w:tcW w:w="779" w:type="dxa"/>
            <w:tcBorders>
              <w:top w:val="single" w:sz="4" w:space="0" w:color="0079C1"/>
              <w:left w:val="single" w:sz="4" w:space="0" w:color="0079C1"/>
            </w:tcBorders>
            <w:shd w:val="clear" w:color="auto" w:fill="E2F4FF" w:themeFill="accent1" w:themeFillTint="33"/>
            <w:vAlign w:val="center"/>
          </w:tcPr>
          <w:p w14:paraId="5679E54A" w14:textId="77777777" w:rsidR="00655E7B" w:rsidRPr="00E61AC8" w:rsidRDefault="00655E7B" w:rsidP="004B28FE">
            <w:pPr>
              <w:tabs>
                <w:tab w:val="left" w:pos="318"/>
              </w:tabs>
              <w:spacing w:before="60" w:after="60"/>
              <w:jc w:val="center"/>
              <w:rPr>
                <w:rStyle w:val="Strong"/>
                <w:sz w:val="20"/>
                <w:szCs w:val="20"/>
              </w:rPr>
            </w:pPr>
            <w:r w:rsidRPr="00E61AC8">
              <w:rPr>
                <w:rStyle w:val="Strong"/>
                <w:sz w:val="20"/>
                <w:szCs w:val="20"/>
              </w:rPr>
              <w:t>20</w:t>
            </w:r>
          </w:p>
        </w:tc>
        <w:tc>
          <w:tcPr>
            <w:tcW w:w="933" w:type="dxa"/>
            <w:tcBorders>
              <w:top w:val="single" w:sz="4" w:space="0" w:color="0079C1"/>
              <w:right w:val="single" w:sz="4" w:space="0" w:color="0079C1"/>
            </w:tcBorders>
            <w:shd w:val="clear" w:color="auto" w:fill="E2F4FF" w:themeFill="accent1" w:themeFillTint="33"/>
            <w:vAlign w:val="center"/>
          </w:tcPr>
          <w:p w14:paraId="1D5E3355" w14:textId="77777777" w:rsidR="00655E7B" w:rsidRPr="00E61AC8" w:rsidRDefault="00655E7B" w:rsidP="004B28FE">
            <w:pPr>
              <w:tabs>
                <w:tab w:val="left" w:pos="318"/>
              </w:tabs>
              <w:spacing w:before="60" w:after="60"/>
              <w:jc w:val="center"/>
              <w:rPr>
                <w:rStyle w:val="Strong"/>
                <w:sz w:val="20"/>
                <w:szCs w:val="20"/>
              </w:rPr>
            </w:pPr>
            <w:r w:rsidRPr="00E61AC8">
              <w:rPr>
                <w:rStyle w:val="Strong"/>
                <w:sz w:val="20"/>
                <w:szCs w:val="20"/>
              </w:rPr>
              <w:t>100.0%</w:t>
            </w:r>
          </w:p>
        </w:tc>
        <w:tc>
          <w:tcPr>
            <w:tcW w:w="637" w:type="dxa"/>
            <w:gridSpan w:val="2"/>
            <w:tcBorders>
              <w:top w:val="single" w:sz="4" w:space="0" w:color="0079C1"/>
              <w:left w:val="single" w:sz="4" w:space="0" w:color="0079C1"/>
            </w:tcBorders>
            <w:shd w:val="clear" w:color="auto" w:fill="E2F4FF" w:themeFill="accent1" w:themeFillTint="33"/>
            <w:vAlign w:val="center"/>
          </w:tcPr>
          <w:p w14:paraId="41E4097D" w14:textId="77777777" w:rsidR="00655E7B" w:rsidRPr="00E61AC8" w:rsidRDefault="00655E7B" w:rsidP="004B28FE">
            <w:pPr>
              <w:tabs>
                <w:tab w:val="left" w:pos="318"/>
              </w:tabs>
              <w:spacing w:before="60" w:after="60"/>
              <w:jc w:val="center"/>
              <w:rPr>
                <w:rStyle w:val="Strong"/>
                <w:sz w:val="20"/>
                <w:szCs w:val="20"/>
              </w:rPr>
            </w:pPr>
            <w:r w:rsidRPr="00E61AC8">
              <w:rPr>
                <w:rStyle w:val="Strong"/>
                <w:sz w:val="20"/>
                <w:szCs w:val="20"/>
              </w:rPr>
              <w:t>220</w:t>
            </w:r>
          </w:p>
        </w:tc>
        <w:tc>
          <w:tcPr>
            <w:tcW w:w="954" w:type="dxa"/>
            <w:shd w:val="clear" w:color="auto" w:fill="E2F4FF" w:themeFill="accent1" w:themeFillTint="33"/>
            <w:vAlign w:val="center"/>
          </w:tcPr>
          <w:p w14:paraId="644CD06F" w14:textId="77777777" w:rsidR="00655E7B" w:rsidRPr="00E61AC8" w:rsidRDefault="00655E7B" w:rsidP="004B28FE">
            <w:pPr>
              <w:tabs>
                <w:tab w:val="left" w:pos="318"/>
              </w:tabs>
              <w:spacing w:before="60" w:after="60"/>
              <w:jc w:val="center"/>
              <w:rPr>
                <w:rStyle w:val="Strong"/>
                <w:sz w:val="20"/>
                <w:szCs w:val="20"/>
              </w:rPr>
            </w:pPr>
            <w:r w:rsidRPr="00E61AC8">
              <w:rPr>
                <w:rStyle w:val="Strong"/>
                <w:sz w:val="20"/>
                <w:szCs w:val="20"/>
              </w:rPr>
              <w:t>100.0%</w:t>
            </w:r>
          </w:p>
        </w:tc>
      </w:tr>
    </w:tbl>
    <w:p w14:paraId="7B04F972" w14:textId="77777777" w:rsidR="00655E7B" w:rsidRDefault="00655E7B" w:rsidP="00655E7B"/>
    <w:p w14:paraId="08E27471" w14:textId="77777777" w:rsidR="00655E7B" w:rsidRPr="00E81A2F" w:rsidRDefault="00655E7B" w:rsidP="00443759">
      <w:pPr>
        <w:pStyle w:val="Heading10"/>
      </w:pPr>
      <w:r w:rsidRPr="00E81A2F">
        <w:lastRenderedPageBreak/>
        <w:t>Children with special needs</w:t>
      </w:r>
    </w:p>
    <w:p w14:paraId="7299C76C" w14:textId="77777777" w:rsidR="00655E7B" w:rsidRDefault="00655E7B" w:rsidP="00655E7B">
      <w:pPr>
        <w:pStyle w:val="Paragraph"/>
        <w:rPr>
          <w:lang w:eastAsia="en-AU"/>
        </w:rPr>
      </w:pPr>
      <w:r>
        <w:rPr>
          <w:lang w:eastAsia="en-AU"/>
        </w:rPr>
        <w:t>Receptiveness to the a</w:t>
      </w:r>
      <w:r w:rsidRPr="00BA6DB0">
        <w:rPr>
          <w:lang w:eastAsia="en-AU"/>
        </w:rPr>
        <w:t>dopt</w:t>
      </w:r>
      <w:r>
        <w:rPr>
          <w:lang w:eastAsia="en-AU"/>
        </w:rPr>
        <w:t xml:space="preserve">ion of </w:t>
      </w:r>
      <w:r w:rsidRPr="007B4A73">
        <w:rPr>
          <w:lang w:eastAsia="en-AU"/>
        </w:rPr>
        <w:t>children</w:t>
      </w:r>
      <w:r w:rsidRPr="00BA6DB0">
        <w:rPr>
          <w:lang w:eastAsia="en-AU"/>
        </w:rPr>
        <w:t xml:space="preserve"> with special needs was explored from two </w:t>
      </w:r>
      <w:r w:rsidRPr="007B4A73">
        <w:rPr>
          <w:lang w:eastAsia="en-AU"/>
        </w:rPr>
        <w:t>perspectives</w:t>
      </w:r>
      <w:r>
        <w:rPr>
          <w:lang w:eastAsia="en-AU"/>
        </w:rPr>
        <w:t>:</w:t>
      </w:r>
    </w:p>
    <w:p w14:paraId="1084792B" w14:textId="77777777" w:rsidR="00655E7B" w:rsidRDefault="00655E7B" w:rsidP="00655E7B">
      <w:pPr>
        <w:pStyle w:val="Bullet1"/>
      </w:pPr>
      <w:r>
        <w:t>Whether respondents had</w:t>
      </w:r>
      <w:r w:rsidRPr="00BA6DB0">
        <w:rPr>
          <w:rStyle w:val="Emphasis"/>
        </w:rPr>
        <w:t xml:space="preserve"> considered</w:t>
      </w:r>
      <w:r>
        <w:t xml:space="preserve"> adopting of a child with special needs </w:t>
      </w:r>
    </w:p>
    <w:p w14:paraId="2082E91D" w14:textId="77777777" w:rsidR="002E68D6" w:rsidRDefault="002E68D6" w:rsidP="002E68D6">
      <w:pPr>
        <w:pStyle w:val="Bullet1"/>
      </w:pPr>
      <w:r>
        <w:t>Whether respondents were willing to adopt a child with special needs or had already adopted a child with special needs.</w:t>
      </w:r>
    </w:p>
    <w:p w14:paraId="7736A01E" w14:textId="5935BFD8" w:rsidR="00655E7B" w:rsidRPr="007B4A73" w:rsidRDefault="002E68D6" w:rsidP="002E68D6">
      <w:pPr>
        <w:pStyle w:val="Paragraph"/>
      </w:pPr>
      <w:r>
        <w:rPr>
          <w:lang w:eastAsia="en-AU"/>
        </w:rPr>
        <w:t xml:space="preserve">Overall, more than half of the respondents (55.0%, 121/220) had either considered or were open to the option of adopting a child with special needs, while almost one in three respondents (32.7%) stated they had not considered this option </w:t>
      </w:r>
      <w:r w:rsidR="00655E7B" w:rsidRPr="00361051">
        <w:t>(</w:t>
      </w:r>
      <w:r w:rsidR="007E0422">
        <w:rPr>
          <w:rStyle w:val="Emphasis"/>
        </w:rPr>
        <w:t>Table B-9</w:t>
      </w:r>
      <w:r w:rsidR="00655E7B" w:rsidRPr="00361051">
        <w:t>).</w:t>
      </w:r>
      <w:r w:rsidR="00655E7B">
        <w:t xml:space="preserve"> </w:t>
      </w:r>
      <w:r w:rsidR="00655E7B" w:rsidRPr="007B4A73">
        <w:t xml:space="preserve"> </w:t>
      </w:r>
    </w:p>
    <w:p w14:paraId="622FE954" w14:textId="68F0BC8B" w:rsidR="0084213E" w:rsidRPr="0084213E" w:rsidRDefault="0084213E" w:rsidP="0084213E">
      <w:pPr>
        <w:pStyle w:val="Caption"/>
      </w:pPr>
      <w:r>
        <w:t xml:space="preserve">Table </w:t>
      </w:r>
      <w:r>
        <w:fldChar w:fldCharType="begin"/>
      </w:r>
      <w:r>
        <w:instrText xml:space="preserve"> STYLEREF 7 \s </w:instrText>
      </w:r>
      <w:r>
        <w:fldChar w:fldCharType="separate"/>
      </w:r>
      <w:r w:rsidR="00487073">
        <w:rPr>
          <w:noProof/>
        </w:rPr>
        <w:t>C</w:t>
      </w:r>
      <w:r>
        <w:fldChar w:fldCharType="end"/>
      </w:r>
      <w:r>
        <w:noBreakHyphen/>
      </w:r>
      <w:r>
        <w:fldChar w:fldCharType="begin"/>
      </w:r>
      <w:r>
        <w:instrText xml:space="preserve"> SEQ Table_Apx \* ARABIC \s 7 </w:instrText>
      </w:r>
      <w:r>
        <w:fldChar w:fldCharType="separate"/>
      </w:r>
      <w:r w:rsidR="00487073">
        <w:rPr>
          <w:noProof/>
        </w:rPr>
        <w:t>9</w:t>
      </w:r>
      <w:r>
        <w:fldChar w:fldCharType="end"/>
      </w:r>
      <w:r>
        <w:t>:</w:t>
      </w:r>
      <w:r>
        <w:tab/>
      </w:r>
      <w:r w:rsidRPr="000421C3">
        <w:t>Considered adopting a child with special needs</w:t>
      </w:r>
    </w:p>
    <w:tbl>
      <w:tblPr>
        <w:tblStyle w:val="TableGrid"/>
        <w:tblW w:w="10098" w:type="dxa"/>
        <w:tblInd w:w="108"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Description w:val="Table C 9: Considered adopting a child with special needs"/>
      </w:tblPr>
      <w:tblGrid>
        <w:gridCol w:w="1877"/>
        <w:gridCol w:w="850"/>
        <w:gridCol w:w="993"/>
        <w:gridCol w:w="458"/>
        <w:gridCol w:w="278"/>
        <w:gridCol w:w="965"/>
        <w:gridCol w:w="596"/>
        <w:gridCol w:w="963"/>
        <w:gridCol w:w="594"/>
        <w:gridCol w:w="933"/>
        <w:gridCol w:w="620"/>
        <w:gridCol w:w="17"/>
        <w:gridCol w:w="954"/>
      </w:tblGrid>
      <w:tr w:rsidR="00655E7B" w:rsidRPr="00E61AC8" w14:paraId="5300829F" w14:textId="77777777" w:rsidTr="008E7495">
        <w:trPr>
          <w:tblHeader/>
        </w:trPr>
        <w:tc>
          <w:tcPr>
            <w:tcW w:w="1877" w:type="dxa"/>
            <w:vMerge w:val="restart"/>
            <w:tcBorders>
              <w:top w:val="single" w:sz="4" w:space="0" w:color="0079C1" w:themeColor="text2"/>
            </w:tcBorders>
            <w:shd w:val="clear" w:color="auto" w:fill="0079C1" w:themeFill="text2"/>
            <w:vAlign w:val="center"/>
          </w:tcPr>
          <w:p w14:paraId="5882CC05" w14:textId="77777777" w:rsidR="00655E7B" w:rsidRPr="00E61AC8" w:rsidRDefault="00655E7B" w:rsidP="004B28FE">
            <w:pPr>
              <w:keepLines/>
              <w:tabs>
                <w:tab w:val="left" w:pos="318"/>
              </w:tabs>
              <w:spacing w:before="120" w:after="120"/>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Considered adopting a  child with special needs</w:t>
            </w:r>
          </w:p>
        </w:tc>
        <w:tc>
          <w:tcPr>
            <w:tcW w:w="3544" w:type="dxa"/>
            <w:gridSpan w:val="5"/>
            <w:tcBorders>
              <w:top w:val="single" w:sz="4" w:space="0" w:color="0079C1" w:themeColor="text2"/>
              <w:bottom w:val="single" w:sz="4" w:space="0" w:color="BFE7FF" w:themeColor="text2" w:themeTint="33"/>
            </w:tcBorders>
            <w:shd w:val="clear" w:color="auto" w:fill="0079C1" w:themeFill="text2"/>
          </w:tcPr>
          <w:p w14:paraId="2CD9C05F"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Wanting to adopt</w:t>
            </w:r>
          </w:p>
        </w:tc>
        <w:tc>
          <w:tcPr>
            <w:tcW w:w="1559" w:type="dxa"/>
            <w:gridSpan w:val="2"/>
            <w:vMerge w:val="restart"/>
            <w:tcBorders>
              <w:top w:val="single" w:sz="4" w:space="0" w:color="0079C1" w:themeColor="text2"/>
            </w:tcBorders>
            <w:shd w:val="clear" w:color="auto" w:fill="0079C1" w:themeFill="text2"/>
            <w:vAlign w:val="center"/>
          </w:tcPr>
          <w:p w14:paraId="38B5CD36"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Post adoption</w:t>
            </w:r>
          </w:p>
        </w:tc>
        <w:tc>
          <w:tcPr>
            <w:tcW w:w="1527" w:type="dxa"/>
            <w:gridSpan w:val="2"/>
            <w:vMerge w:val="restart"/>
            <w:tcBorders>
              <w:top w:val="single" w:sz="4" w:space="0" w:color="0079C1" w:themeColor="text2"/>
            </w:tcBorders>
            <w:shd w:val="clear" w:color="auto" w:fill="0079C1" w:themeFill="text2"/>
            <w:vAlign w:val="center"/>
          </w:tcPr>
          <w:p w14:paraId="318E5C25"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Did not continue</w:t>
            </w:r>
          </w:p>
        </w:tc>
        <w:tc>
          <w:tcPr>
            <w:tcW w:w="1591" w:type="dxa"/>
            <w:gridSpan w:val="3"/>
            <w:vMerge w:val="restart"/>
            <w:tcBorders>
              <w:top w:val="single" w:sz="4" w:space="0" w:color="0079C1" w:themeColor="text2"/>
            </w:tcBorders>
            <w:shd w:val="clear" w:color="auto" w:fill="0079C1" w:themeFill="text2"/>
            <w:vAlign w:val="center"/>
          </w:tcPr>
          <w:p w14:paraId="3D71D4E1"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Total</w:t>
            </w:r>
          </w:p>
        </w:tc>
      </w:tr>
      <w:tr w:rsidR="00655E7B" w:rsidRPr="00E61AC8" w14:paraId="29F948F2" w14:textId="77777777" w:rsidTr="008E7495">
        <w:trPr>
          <w:tblHeader/>
        </w:trPr>
        <w:tc>
          <w:tcPr>
            <w:tcW w:w="1877" w:type="dxa"/>
            <w:vMerge/>
            <w:tcBorders>
              <w:top w:val="single" w:sz="4" w:space="0" w:color="0079C1" w:themeColor="text2"/>
            </w:tcBorders>
            <w:shd w:val="clear" w:color="auto" w:fill="0079C1" w:themeFill="text2"/>
          </w:tcPr>
          <w:p w14:paraId="559FE128" w14:textId="77777777" w:rsidR="00655E7B" w:rsidRPr="00E61AC8" w:rsidRDefault="00655E7B" w:rsidP="004B28FE">
            <w:pPr>
              <w:keepLines/>
              <w:tabs>
                <w:tab w:val="left" w:pos="318"/>
              </w:tabs>
              <w:spacing w:before="120" w:after="120"/>
              <w:rPr>
                <w:rFonts w:asciiTheme="minorHAnsi" w:eastAsiaTheme="minorHAnsi" w:hAnsiTheme="minorHAnsi" w:cs="Calibri"/>
                <w:b/>
                <w:color w:val="FFFFFF" w:themeColor="background1"/>
                <w:sz w:val="20"/>
                <w:szCs w:val="20"/>
                <w:lang w:eastAsia="en-AU"/>
              </w:rPr>
            </w:pPr>
          </w:p>
        </w:tc>
        <w:tc>
          <w:tcPr>
            <w:tcW w:w="2301" w:type="dxa"/>
            <w:gridSpan w:val="3"/>
            <w:tcBorders>
              <w:top w:val="single" w:sz="4" w:space="0" w:color="0079C1" w:themeColor="text2"/>
              <w:bottom w:val="single" w:sz="4" w:space="0" w:color="BFE7FF" w:themeColor="text2" w:themeTint="33"/>
              <w:right w:val="nil"/>
            </w:tcBorders>
            <w:shd w:val="clear" w:color="auto" w:fill="0079C1" w:themeFill="text2"/>
          </w:tcPr>
          <w:p w14:paraId="718D9BBD"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First time</w:t>
            </w:r>
          </w:p>
        </w:tc>
        <w:tc>
          <w:tcPr>
            <w:tcW w:w="1243" w:type="dxa"/>
            <w:gridSpan w:val="2"/>
            <w:tcBorders>
              <w:top w:val="single" w:sz="4" w:space="0" w:color="0079C1" w:themeColor="text2"/>
              <w:left w:val="nil"/>
              <w:bottom w:val="single" w:sz="4" w:space="0" w:color="BFE7FF" w:themeColor="text2" w:themeTint="33"/>
            </w:tcBorders>
            <w:shd w:val="clear" w:color="auto" w:fill="0079C1" w:themeFill="text2"/>
          </w:tcPr>
          <w:p w14:paraId="609C8430"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Repeat</w:t>
            </w:r>
          </w:p>
        </w:tc>
        <w:tc>
          <w:tcPr>
            <w:tcW w:w="1559" w:type="dxa"/>
            <w:gridSpan w:val="2"/>
            <w:vMerge/>
            <w:tcBorders>
              <w:bottom w:val="single" w:sz="4" w:space="0" w:color="BFE7FF" w:themeColor="text2" w:themeTint="33"/>
            </w:tcBorders>
            <w:shd w:val="clear" w:color="auto" w:fill="0079C1" w:themeFill="text2"/>
          </w:tcPr>
          <w:p w14:paraId="6F88203E" w14:textId="77777777" w:rsidR="00655E7B" w:rsidRPr="00E61AC8" w:rsidRDefault="00655E7B" w:rsidP="004B28FE">
            <w:pPr>
              <w:keepLines/>
              <w:tabs>
                <w:tab w:val="left" w:pos="318"/>
              </w:tabs>
              <w:spacing w:before="120" w:after="120"/>
              <w:rPr>
                <w:rFonts w:asciiTheme="minorHAnsi" w:eastAsiaTheme="minorHAnsi" w:hAnsiTheme="minorHAnsi" w:cs="Calibri"/>
                <w:b/>
                <w:color w:val="FFFFFF" w:themeColor="background1"/>
                <w:sz w:val="20"/>
                <w:szCs w:val="20"/>
                <w:lang w:eastAsia="en-AU"/>
              </w:rPr>
            </w:pPr>
          </w:p>
        </w:tc>
        <w:tc>
          <w:tcPr>
            <w:tcW w:w="1527" w:type="dxa"/>
            <w:gridSpan w:val="2"/>
            <w:vMerge/>
            <w:tcBorders>
              <w:bottom w:val="single" w:sz="4" w:space="0" w:color="BFE7FF" w:themeColor="text2" w:themeTint="33"/>
            </w:tcBorders>
            <w:shd w:val="clear" w:color="auto" w:fill="0079C1" w:themeFill="text2"/>
          </w:tcPr>
          <w:p w14:paraId="5449DF8F" w14:textId="77777777" w:rsidR="00655E7B" w:rsidRPr="00E61AC8" w:rsidRDefault="00655E7B" w:rsidP="004B28FE">
            <w:pPr>
              <w:keepLines/>
              <w:tabs>
                <w:tab w:val="left" w:pos="318"/>
              </w:tabs>
              <w:spacing w:before="120" w:after="120"/>
              <w:rPr>
                <w:rFonts w:asciiTheme="minorHAnsi" w:eastAsiaTheme="minorHAnsi" w:hAnsiTheme="minorHAnsi" w:cs="Calibri"/>
                <w:b/>
                <w:color w:val="FFFFFF" w:themeColor="background1"/>
                <w:sz w:val="20"/>
                <w:szCs w:val="20"/>
                <w:lang w:eastAsia="en-AU"/>
              </w:rPr>
            </w:pPr>
          </w:p>
        </w:tc>
        <w:tc>
          <w:tcPr>
            <w:tcW w:w="1591" w:type="dxa"/>
            <w:gridSpan w:val="3"/>
            <w:vMerge/>
            <w:tcBorders>
              <w:bottom w:val="single" w:sz="4" w:space="0" w:color="BFE7FF" w:themeColor="text2" w:themeTint="33"/>
            </w:tcBorders>
            <w:shd w:val="clear" w:color="auto" w:fill="0079C1" w:themeFill="text2"/>
          </w:tcPr>
          <w:p w14:paraId="311266AA"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p>
        </w:tc>
      </w:tr>
      <w:tr w:rsidR="00655E7B" w:rsidRPr="00E61AC8" w14:paraId="1053BAF2" w14:textId="77777777" w:rsidTr="008E7495">
        <w:trPr>
          <w:tblHeader/>
        </w:trPr>
        <w:tc>
          <w:tcPr>
            <w:tcW w:w="1877" w:type="dxa"/>
            <w:vMerge/>
          </w:tcPr>
          <w:p w14:paraId="5B7046CD" w14:textId="77777777" w:rsidR="00655E7B" w:rsidRPr="00E61AC8" w:rsidRDefault="00655E7B" w:rsidP="004B28FE">
            <w:pPr>
              <w:tabs>
                <w:tab w:val="left" w:pos="318"/>
              </w:tabs>
              <w:spacing w:before="60" w:after="60"/>
              <w:rPr>
                <w:rFonts w:asciiTheme="minorHAnsi" w:hAnsiTheme="minorHAnsi" w:cs="Arial"/>
                <w:color w:val="333333"/>
                <w:sz w:val="20"/>
                <w:szCs w:val="20"/>
              </w:rPr>
            </w:pPr>
          </w:p>
        </w:tc>
        <w:tc>
          <w:tcPr>
            <w:tcW w:w="850" w:type="dxa"/>
            <w:tcBorders>
              <w:top w:val="single" w:sz="4" w:space="0" w:color="BFE7FF" w:themeColor="text2" w:themeTint="33"/>
            </w:tcBorders>
            <w:shd w:val="clear" w:color="auto" w:fill="0079C1" w:themeFill="text2"/>
          </w:tcPr>
          <w:p w14:paraId="7D590CF9"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n</w:t>
            </w:r>
          </w:p>
        </w:tc>
        <w:tc>
          <w:tcPr>
            <w:tcW w:w="993" w:type="dxa"/>
            <w:tcBorders>
              <w:top w:val="single" w:sz="4" w:space="0" w:color="BFE7FF" w:themeColor="text2" w:themeTint="33"/>
            </w:tcBorders>
            <w:shd w:val="clear" w:color="auto" w:fill="0079C1" w:themeFill="text2"/>
          </w:tcPr>
          <w:p w14:paraId="5C5398E0"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w:t>
            </w:r>
          </w:p>
        </w:tc>
        <w:tc>
          <w:tcPr>
            <w:tcW w:w="736" w:type="dxa"/>
            <w:gridSpan w:val="2"/>
            <w:tcBorders>
              <w:top w:val="single" w:sz="4" w:space="0" w:color="BFE7FF" w:themeColor="text2" w:themeTint="33"/>
            </w:tcBorders>
            <w:shd w:val="clear" w:color="auto" w:fill="0079C1" w:themeFill="text2"/>
          </w:tcPr>
          <w:p w14:paraId="0E1CC349"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n</w:t>
            </w:r>
          </w:p>
        </w:tc>
        <w:tc>
          <w:tcPr>
            <w:tcW w:w="965" w:type="dxa"/>
            <w:tcBorders>
              <w:top w:val="single" w:sz="4" w:space="0" w:color="BFE7FF" w:themeColor="text2" w:themeTint="33"/>
            </w:tcBorders>
            <w:shd w:val="clear" w:color="auto" w:fill="0079C1" w:themeFill="text2"/>
          </w:tcPr>
          <w:p w14:paraId="007C8F4E"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w:t>
            </w:r>
          </w:p>
        </w:tc>
        <w:tc>
          <w:tcPr>
            <w:tcW w:w="596" w:type="dxa"/>
            <w:tcBorders>
              <w:top w:val="single" w:sz="4" w:space="0" w:color="BFE7FF" w:themeColor="text2" w:themeTint="33"/>
            </w:tcBorders>
            <w:shd w:val="clear" w:color="auto" w:fill="0079C1" w:themeFill="text2"/>
          </w:tcPr>
          <w:p w14:paraId="45925743"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n</w:t>
            </w:r>
          </w:p>
        </w:tc>
        <w:tc>
          <w:tcPr>
            <w:tcW w:w="963" w:type="dxa"/>
            <w:tcBorders>
              <w:top w:val="single" w:sz="4" w:space="0" w:color="BFE7FF" w:themeColor="text2" w:themeTint="33"/>
            </w:tcBorders>
            <w:shd w:val="clear" w:color="auto" w:fill="0079C1" w:themeFill="text2"/>
          </w:tcPr>
          <w:p w14:paraId="1A2A7A76"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w:t>
            </w:r>
          </w:p>
        </w:tc>
        <w:tc>
          <w:tcPr>
            <w:tcW w:w="594" w:type="dxa"/>
            <w:tcBorders>
              <w:top w:val="single" w:sz="4" w:space="0" w:color="BFE7FF" w:themeColor="text2" w:themeTint="33"/>
            </w:tcBorders>
            <w:shd w:val="clear" w:color="auto" w:fill="0079C1" w:themeFill="text2"/>
          </w:tcPr>
          <w:p w14:paraId="6AA8CCFE"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n</w:t>
            </w:r>
          </w:p>
        </w:tc>
        <w:tc>
          <w:tcPr>
            <w:tcW w:w="933" w:type="dxa"/>
            <w:tcBorders>
              <w:top w:val="single" w:sz="4" w:space="0" w:color="BFE7FF" w:themeColor="text2" w:themeTint="33"/>
            </w:tcBorders>
            <w:shd w:val="clear" w:color="auto" w:fill="0079C1" w:themeFill="text2"/>
          </w:tcPr>
          <w:p w14:paraId="68CD1B17"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w:t>
            </w:r>
          </w:p>
        </w:tc>
        <w:tc>
          <w:tcPr>
            <w:tcW w:w="620" w:type="dxa"/>
            <w:tcBorders>
              <w:top w:val="single" w:sz="4" w:space="0" w:color="BFE7FF" w:themeColor="text2" w:themeTint="33"/>
              <w:bottom w:val="nil"/>
            </w:tcBorders>
            <w:shd w:val="clear" w:color="auto" w:fill="0079C1" w:themeFill="text2"/>
          </w:tcPr>
          <w:p w14:paraId="1F953400"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n</w:t>
            </w:r>
          </w:p>
        </w:tc>
        <w:tc>
          <w:tcPr>
            <w:tcW w:w="971" w:type="dxa"/>
            <w:gridSpan w:val="2"/>
            <w:tcBorders>
              <w:top w:val="single" w:sz="4" w:space="0" w:color="BFE7FF" w:themeColor="text2" w:themeTint="33"/>
              <w:bottom w:val="nil"/>
            </w:tcBorders>
            <w:shd w:val="clear" w:color="auto" w:fill="0079C1" w:themeFill="text2"/>
          </w:tcPr>
          <w:p w14:paraId="39F89408" w14:textId="77777777" w:rsidR="00655E7B" w:rsidRPr="00E61AC8" w:rsidRDefault="00655E7B" w:rsidP="004B28FE">
            <w:pPr>
              <w:keepLines/>
              <w:tabs>
                <w:tab w:val="left" w:pos="318"/>
              </w:tabs>
              <w:spacing w:before="120" w:after="120"/>
              <w:jc w:val="center"/>
              <w:rPr>
                <w:rFonts w:asciiTheme="minorHAnsi" w:eastAsiaTheme="minorHAnsi" w:hAnsiTheme="minorHAnsi" w:cs="Calibri"/>
                <w:b/>
                <w:color w:val="FFFFFF" w:themeColor="background1"/>
                <w:sz w:val="20"/>
                <w:szCs w:val="20"/>
                <w:lang w:eastAsia="en-AU"/>
              </w:rPr>
            </w:pPr>
            <w:r w:rsidRPr="00E61AC8">
              <w:rPr>
                <w:rFonts w:asciiTheme="minorHAnsi" w:eastAsiaTheme="minorHAnsi" w:hAnsiTheme="minorHAnsi" w:cs="Calibri"/>
                <w:b/>
                <w:color w:val="FFFFFF" w:themeColor="background1"/>
                <w:sz w:val="20"/>
                <w:szCs w:val="20"/>
                <w:lang w:eastAsia="en-AU"/>
              </w:rPr>
              <w:t>%</w:t>
            </w:r>
          </w:p>
        </w:tc>
      </w:tr>
      <w:tr w:rsidR="00655E7B" w:rsidRPr="00E61AC8" w14:paraId="677B6E39" w14:textId="77777777" w:rsidTr="00E61AC8">
        <w:trPr>
          <w:trHeight w:val="249"/>
        </w:trPr>
        <w:tc>
          <w:tcPr>
            <w:tcW w:w="1877" w:type="dxa"/>
            <w:tcBorders>
              <w:top w:val="single" w:sz="4" w:space="0" w:color="0079C1" w:themeColor="text2"/>
              <w:right w:val="single" w:sz="4" w:space="0" w:color="0079C1"/>
            </w:tcBorders>
            <w:shd w:val="clear" w:color="auto" w:fill="auto"/>
          </w:tcPr>
          <w:p w14:paraId="773786B0" w14:textId="77777777" w:rsidR="00655E7B" w:rsidRPr="00E61AC8" w:rsidRDefault="00655E7B" w:rsidP="004B28FE">
            <w:pPr>
              <w:tabs>
                <w:tab w:val="left" w:pos="318"/>
              </w:tabs>
              <w:spacing w:before="60" w:after="60"/>
              <w:rPr>
                <w:rFonts w:asciiTheme="minorHAnsi" w:hAnsiTheme="minorHAnsi"/>
                <w:color w:val="333333"/>
                <w:sz w:val="20"/>
                <w:szCs w:val="20"/>
              </w:rPr>
            </w:pPr>
            <w:r w:rsidRPr="00E61AC8">
              <w:rPr>
                <w:rFonts w:asciiTheme="minorHAnsi" w:hAnsiTheme="minorHAnsi"/>
                <w:color w:val="333333"/>
                <w:sz w:val="20"/>
                <w:szCs w:val="20"/>
              </w:rPr>
              <w:t>Yes</w:t>
            </w:r>
          </w:p>
        </w:tc>
        <w:tc>
          <w:tcPr>
            <w:tcW w:w="850" w:type="dxa"/>
            <w:tcBorders>
              <w:top w:val="single" w:sz="4" w:space="0" w:color="0079C1" w:themeColor="text2"/>
              <w:left w:val="single" w:sz="4" w:space="0" w:color="0079C1"/>
            </w:tcBorders>
            <w:shd w:val="clear" w:color="auto" w:fill="auto"/>
            <w:vAlign w:val="center"/>
          </w:tcPr>
          <w:p w14:paraId="283717A8" w14:textId="77777777" w:rsidR="00655E7B" w:rsidRPr="00E61AC8" w:rsidRDefault="00655E7B" w:rsidP="004B28FE">
            <w:pPr>
              <w:tabs>
                <w:tab w:val="left" w:pos="318"/>
              </w:tabs>
              <w:spacing w:before="60" w:after="60"/>
              <w:jc w:val="center"/>
              <w:rPr>
                <w:rFonts w:asciiTheme="minorHAnsi" w:hAnsiTheme="minorHAnsi"/>
                <w:color w:val="333333"/>
                <w:sz w:val="20"/>
                <w:szCs w:val="20"/>
              </w:rPr>
            </w:pPr>
            <w:r w:rsidRPr="00E61AC8">
              <w:rPr>
                <w:rFonts w:asciiTheme="minorHAnsi" w:hAnsiTheme="minorHAnsi"/>
                <w:color w:val="333333"/>
                <w:sz w:val="20"/>
                <w:szCs w:val="20"/>
              </w:rPr>
              <w:t>35</w:t>
            </w:r>
          </w:p>
        </w:tc>
        <w:tc>
          <w:tcPr>
            <w:tcW w:w="993" w:type="dxa"/>
            <w:tcBorders>
              <w:top w:val="single" w:sz="4" w:space="0" w:color="0079C1" w:themeColor="text2"/>
              <w:right w:val="single" w:sz="4" w:space="0" w:color="0079C1"/>
            </w:tcBorders>
            <w:shd w:val="clear" w:color="auto" w:fill="auto"/>
            <w:vAlign w:val="center"/>
          </w:tcPr>
          <w:p w14:paraId="64935C79" w14:textId="77777777" w:rsidR="00655E7B" w:rsidRPr="00E61AC8" w:rsidRDefault="00655E7B" w:rsidP="004B28FE">
            <w:pPr>
              <w:tabs>
                <w:tab w:val="left" w:pos="318"/>
              </w:tabs>
              <w:spacing w:before="60" w:after="60"/>
              <w:jc w:val="center"/>
              <w:rPr>
                <w:rFonts w:asciiTheme="minorHAnsi" w:hAnsiTheme="minorHAnsi"/>
                <w:color w:val="333333"/>
                <w:sz w:val="20"/>
                <w:szCs w:val="20"/>
              </w:rPr>
            </w:pPr>
            <w:r w:rsidRPr="00E61AC8">
              <w:rPr>
                <w:rFonts w:asciiTheme="minorHAnsi" w:hAnsiTheme="minorHAnsi"/>
                <w:color w:val="333333"/>
                <w:sz w:val="20"/>
                <w:szCs w:val="20"/>
              </w:rPr>
              <w:t>34.0%</w:t>
            </w:r>
          </w:p>
        </w:tc>
        <w:tc>
          <w:tcPr>
            <w:tcW w:w="736" w:type="dxa"/>
            <w:gridSpan w:val="2"/>
            <w:tcBorders>
              <w:top w:val="single" w:sz="4" w:space="0" w:color="0079C1" w:themeColor="text2"/>
              <w:left w:val="single" w:sz="4" w:space="0" w:color="0079C1"/>
            </w:tcBorders>
            <w:shd w:val="clear" w:color="auto" w:fill="auto"/>
            <w:vAlign w:val="center"/>
          </w:tcPr>
          <w:p w14:paraId="044F8300" w14:textId="77777777" w:rsidR="00655E7B" w:rsidRPr="00E61AC8" w:rsidRDefault="00655E7B" w:rsidP="004B28FE">
            <w:pPr>
              <w:tabs>
                <w:tab w:val="left" w:pos="318"/>
              </w:tabs>
              <w:spacing w:before="60" w:after="60"/>
              <w:jc w:val="center"/>
              <w:rPr>
                <w:rFonts w:asciiTheme="minorHAnsi" w:hAnsiTheme="minorHAnsi"/>
                <w:color w:val="333333"/>
                <w:sz w:val="20"/>
                <w:szCs w:val="20"/>
              </w:rPr>
            </w:pPr>
            <w:r w:rsidRPr="00E61AC8">
              <w:rPr>
                <w:rFonts w:asciiTheme="minorHAnsi" w:hAnsiTheme="minorHAnsi"/>
                <w:color w:val="333333"/>
                <w:sz w:val="20"/>
                <w:szCs w:val="20"/>
              </w:rPr>
              <w:t>12</w:t>
            </w:r>
          </w:p>
        </w:tc>
        <w:tc>
          <w:tcPr>
            <w:tcW w:w="965" w:type="dxa"/>
            <w:tcBorders>
              <w:top w:val="single" w:sz="4" w:space="0" w:color="0079C1" w:themeColor="text2"/>
              <w:right w:val="single" w:sz="4" w:space="0" w:color="0079C1"/>
            </w:tcBorders>
            <w:shd w:val="clear" w:color="auto" w:fill="auto"/>
            <w:vAlign w:val="center"/>
          </w:tcPr>
          <w:p w14:paraId="79613FD5" w14:textId="77777777" w:rsidR="00655E7B" w:rsidRPr="00E61AC8" w:rsidRDefault="00655E7B" w:rsidP="004B28FE">
            <w:pPr>
              <w:tabs>
                <w:tab w:val="left" w:pos="318"/>
              </w:tabs>
              <w:spacing w:before="60" w:after="60"/>
              <w:jc w:val="center"/>
              <w:rPr>
                <w:rFonts w:asciiTheme="minorHAnsi" w:hAnsiTheme="minorHAnsi"/>
                <w:color w:val="333333"/>
                <w:sz w:val="20"/>
                <w:szCs w:val="20"/>
              </w:rPr>
            </w:pPr>
            <w:r w:rsidRPr="00E61AC8">
              <w:rPr>
                <w:rFonts w:asciiTheme="minorHAnsi" w:hAnsiTheme="minorHAnsi"/>
                <w:color w:val="333333"/>
                <w:sz w:val="20"/>
                <w:szCs w:val="20"/>
              </w:rPr>
              <w:t>63.2%</w:t>
            </w:r>
          </w:p>
        </w:tc>
        <w:tc>
          <w:tcPr>
            <w:tcW w:w="596" w:type="dxa"/>
            <w:tcBorders>
              <w:top w:val="single" w:sz="4" w:space="0" w:color="0079C1" w:themeColor="text2"/>
              <w:left w:val="single" w:sz="4" w:space="0" w:color="0079C1"/>
            </w:tcBorders>
            <w:shd w:val="clear" w:color="auto" w:fill="auto"/>
            <w:vAlign w:val="center"/>
          </w:tcPr>
          <w:p w14:paraId="22DACE5C" w14:textId="77777777" w:rsidR="00655E7B" w:rsidRPr="00E61AC8" w:rsidRDefault="00655E7B" w:rsidP="004B28FE">
            <w:pPr>
              <w:tabs>
                <w:tab w:val="left" w:pos="318"/>
              </w:tabs>
              <w:spacing w:before="60" w:after="60"/>
              <w:jc w:val="center"/>
              <w:rPr>
                <w:rFonts w:asciiTheme="minorHAnsi" w:hAnsiTheme="minorHAnsi"/>
                <w:color w:val="333333"/>
                <w:sz w:val="20"/>
                <w:szCs w:val="20"/>
              </w:rPr>
            </w:pPr>
            <w:r w:rsidRPr="00E61AC8">
              <w:rPr>
                <w:rFonts w:asciiTheme="minorHAnsi" w:hAnsiTheme="minorHAnsi"/>
                <w:color w:val="333333"/>
                <w:sz w:val="20"/>
                <w:szCs w:val="20"/>
              </w:rPr>
              <w:t>36</w:t>
            </w:r>
          </w:p>
        </w:tc>
        <w:tc>
          <w:tcPr>
            <w:tcW w:w="963" w:type="dxa"/>
            <w:tcBorders>
              <w:top w:val="nil"/>
              <w:right w:val="single" w:sz="4" w:space="0" w:color="0079C1"/>
            </w:tcBorders>
            <w:shd w:val="clear" w:color="auto" w:fill="auto"/>
            <w:vAlign w:val="center"/>
          </w:tcPr>
          <w:p w14:paraId="3F2B5C30" w14:textId="77777777" w:rsidR="00655E7B" w:rsidRPr="00E61AC8" w:rsidRDefault="00655E7B" w:rsidP="004B28FE">
            <w:pPr>
              <w:tabs>
                <w:tab w:val="left" w:pos="318"/>
              </w:tabs>
              <w:spacing w:before="60" w:after="60"/>
              <w:jc w:val="center"/>
              <w:rPr>
                <w:rFonts w:asciiTheme="minorHAnsi" w:hAnsiTheme="minorHAnsi"/>
                <w:color w:val="333333"/>
                <w:sz w:val="20"/>
                <w:szCs w:val="20"/>
              </w:rPr>
            </w:pPr>
            <w:r w:rsidRPr="00E61AC8">
              <w:rPr>
                <w:rFonts w:asciiTheme="minorHAnsi" w:hAnsiTheme="minorHAnsi"/>
                <w:color w:val="333333"/>
                <w:sz w:val="20"/>
                <w:szCs w:val="20"/>
              </w:rPr>
              <w:t>49.3%</w:t>
            </w:r>
          </w:p>
        </w:tc>
        <w:tc>
          <w:tcPr>
            <w:tcW w:w="594" w:type="dxa"/>
            <w:tcBorders>
              <w:top w:val="nil"/>
              <w:left w:val="single" w:sz="4" w:space="0" w:color="0079C1"/>
            </w:tcBorders>
            <w:shd w:val="clear" w:color="auto" w:fill="auto"/>
            <w:vAlign w:val="center"/>
          </w:tcPr>
          <w:p w14:paraId="7D7C8330" w14:textId="77777777" w:rsidR="00655E7B" w:rsidRPr="00E61AC8" w:rsidRDefault="00655E7B" w:rsidP="004B28FE">
            <w:pPr>
              <w:tabs>
                <w:tab w:val="left" w:pos="318"/>
              </w:tabs>
              <w:spacing w:before="60" w:after="60"/>
              <w:jc w:val="center"/>
              <w:rPr>
                <w:rFonts w:asciiTheme="minorHAnsi" w:hAnsiTheme="minorHAnsi"/>
                <w:color w:val="333333"/>
                <w:sz w:val="20"/>
                <w:szCs w:val="20"/>
              </w:rPr>
            </w:pPr>
            <w:r w:rsidRPr="00E61AC8">
              <w:rPr>
                <w:rFonts w:asciiTheme="minorHAnsi" w:hAnsiTheme="minorHAnsi"/>
                <w:color w:val="333333"/>
                <w:sz w:val="20"/>
                <w:szCs w:val="20"/>
              </w:rPr>
              <w:t>8</w:t>
            </w:r>
          </w:p>
        </w:tc>
        <w:tc>
          <w:tcPr>
            <w:tcW w:w="933" w:type="dxa"/>
            <w:tcBorders>
              <w:top w:val="nil"/>
              <w:right w:val="single" w:sz="4" w:space="0" w:color="0079C1"/>
            </w:tcBorders>
            <w:shd w:val="clear" w:color="auto" w:fill="auto"/>
            <w:vAlign w:val="center"/>
          </w:tcPr>
          <w:p w14:paraId="2CC1BBE7" w14:textId="77777777" w:rsidR="00655E7B" w:rsidRPr="00E61AC8" w:rsidRDefault="00655E7B" w:rsidP="004B28FE">
            <w:pPr>
              <w:tabs>
                <w:tab w:val="left" w:pos="318"/>
              </w:tabs>
              <w:spacing w:before="60" w:after="60"/>
              <w:jc w:val="center"/>
              <w:rPr>
                <w:rFonts w:asciiTheme="minorHAnsi" w:hAnsiTheme="minorHAnsi"/>
                <w:color w:val="333333"/>
                <w:sz w:val="20"/>
                <w:szCs w:val="20"/>
              </w:rPr>
            </w:pPr>
            <w:r w:rsidRPr="00E61AC8">
              <w:rPr>
                <w:rFonts w:asciiTheme="minorHAnsi" w:hAnsiTheme="minorHAnsi"/>
                <w:color w:val="333333"/>
                <w:sz w:val="20"/>
                <w:szCs w:val="20"/>
              </w:rPr>
              <w:t>40.0%</w:t>
            </w:r>
          </w:p>
        </w:tc>
        <w:tc>
          <w:tcPr>
            <w:tcW w:w="620" w:type="dxa"/>
            <w:tcBorders>
              <w:top w:val="nil"/>
              <w:left w:val="single" w:sz="4" w:space="0" w:color="0079C1"/>
            </w:tcBorders>
            <w:shd w:val="clear" w:color="auto" w:fill="auto"/>
            <w:vAlign w:val="center"/>
          </w:tcPr>
          <w:p w14:paraId="1F526350"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91</w:t>
            </w:r>
          </w:p>
        </w:tc>
        <w:tc>
          <w:tcPr>
            <w:tcW w:w="971" w:type="dxa"/>
            <w:gridSpan w:val="2"/>
            <w:tcBorders>
              <w:top w:val="nil"/>
            </w:tcBorders>
            <w:shd w:val="clear" w:color="auto" w:fill="auto"/>
            <w:vAlign w:val="center"/>
          </w:tcPr>
          <w:p w14:paraId="36B8B819"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41.4%</w:t>
            </w:r>
          </w:p>
        </w:tc>
      </w:tr>
      <w:tr w:rsidR="00655E7B" w:rsidRPr="00E61AC8" w14:paraId="23CB2952" w14:textId="77777777" w:rsidTr="00E61AC8">
        <w:tc>
          <w:tcPr>
            <w:tcW w:w="1877" w:type="dxa"/>
            <w:tcBorders>
              <w:right w:val="single" w:sz="4" w:space="0" w:color="0079C1"/>
            </w:tcBorders>
            <w:shd w:val="clear" w:color="auto" w:fill="auto"/>
          </w:tcPr>
          <w:p w14:paraId="05406411" w14:textId="77777777" w:rsidR="00655E7B" w:rsidRPr="00E61AC8" w:rsidRDefault="00655E7B" w:rsidP="004B28FE">
            <w:pPr>
              <w:tabs>
                <w:tab w:val="left" w:pos="318"/>
              </w:tabs>
              <w:spacing w:before="60" w:after="60"/>
              <w:rPr>
                <w:rFonts w:asciiTheme="minorHAnsi" w:hAnsiTheme="minorHAnsi"/>
                <w:color w:val="000000" w:themeColor="text1"/>
                <w:sz w:val="20"/>
                <w:szCs w:val="20"/>
              </w:rPr>
            </w:pPr>
            <w:r w:rsidRPr="00E61AC8">
              <w:rPr>
                <w:rFonts w:asciiTheme="minorHAnsi" w:hAnsiTheme="minorHAnsi"/>
                <w:color w:val="333333"/>
                <w:sz w:val="20"/>
                <w:szCs w:val="20"/>
              </w:rPr>
              <w:t>Open to the option</w:t>
            </w:r>
          </w:p>
        </w:tc>
        <w:tc>
          <w:tcPr>
            <w:tcW w:w="850" w:type="dxa"/>
            <w:tcBorders>
              <w:left w:val="single" w:sz="4" w:space="0" w:color="0079C1"/>
            </w:tcBorders>
            <w:shd w:val="clear" w:color="auto" w:fill="auto"/>
            <w:vAlign w:val="center"/>
          </w:tcPr>
          <w:p w14:paraId="124B8E1C"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25</w:t>
            </w:r>
          </w:p>
        </w:tc>
        <w:tc>
          <w:tcPr>
            <w:tcW w:w="993" w:type="dxa"/>
            <w:tcBorders>
              <w:right w:val="single" w:sz="4" w:space="0" w:color="0079C1"/>
            </w:tcBorders>
            <w:shd w:val="clear" w:color="auto" w:fill="auto"/>
            <w:vAlign w:val="center"/>
          </w:tcPr>
          <w:p w14:paraId="779788E8"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24.3%</w:t>
            </w:r>
          </w:p>
        </w:tc>
        <w:tc>
          <w:tcPr>
            <w:tcW w:w="736" w:type="dxa"/>
            <w:gridSpan w:val="2"/>
            <w:tcBorders>
              <w:left w:val="single" w:sz="4" w:space="0" w:color="0079C1"/>
            </w:tcBorders>
            <w:shd w:val="clear" w:color="auto" w:fill="auto"/>
            <w:vAlign w:val="center"/>
          </w:tcPr>
          <w:p w14:paraId="0B6C2A17"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5</w:t>
            </w:r>
          </w:p>
        </w:tc>
        <w:tc>
          <w:tcPr>
            <w:tcW w:w="965" w:type="dxa"/>
            <w:tcBorders>
              <w:right w:val="single" w:sz="4" w:space="0" w:color="0079C1"/>
            </w:tcBorders>
            <w:shd w:val="clear" w:color="auto" w:fill="auto"/>
            <w:vAlign w:val="center"/>
          </w:tcPr>
          <w:p w14:paraId="4F9766EE"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26.3%</w:t>
            </w:r>
          </w:p>
        </w:tc>
        <w:tc>
          <w:tcPr>
            <w:tcW w:w="596" w:type="dxa"/>
            <w:tcBorders>
              <w:left w:val="single" w:sz="4" w:space="0" w:color="0079C1"/>
            </w:tcBorders>
            <w:shd w:val="clear" w:color="auto" w:fill="auto"/>
            <w:vAlign w:val="center"/>
          </w:tcPr>
          <w:p w14:paraId="7E54A999"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963" w:type="dxa"/>
            <w:tcBorders>
              <w:right w:val="single" w:sz="4" w:space="0" w:color="0079C1"/>
            </w:tcBorders>
            <w:shd w:val="clear" w:color="auto" w:fill="auto"/>
            <w:vAlign w:val="center"/>
          </w:tcPr>
          <w:p w14:paraId="10FB5D6D"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0.0%</w:t>
            </w:r>
          </w:p>
        </w:tc>
        <w:tc>
          <w:tcPr>
            <w:tcW w:w="594" w:type="dxa"/>
            <w:tcBorders>
              <w:left w:val="single" w:sz="4" w:space="0" w:color="0079C1"/>
            </w:tcBorders>
            <w:shd w:val="clear" w:color="auto" w:fill="auto"/>
            <w:vAlign w:val="center"/>
          </w:tcPr>
          <w:p w14:paraId="163BE868"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933" w:type="dxa"/>
            <w:tcBorders>
              <w:right w:val="single" w:sz="4" w:space="0" w:color="0079C1"/>
            </w:tcBorders>
            <w:shd w:val="clear" w:color="auto" w:fill="auto"/>
            <w:vAlign w:val="center"/>
          </w:tcPr>
          <w:p w14:paraId="134F8E0A"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w:t>
            </w:r>
          </w:p>
        </w:tc>
        <w:tc>
          <w:tcPr>
            <w:tcW w:w="620" w:type="dxa"/>
            <w:tcBorders>
              <w:left w:val="single" w:sz="4" w:space="0" w:color="0079C1"/>
            </w:tcBorders>
            <w:shd w:val="clear" w:color="auto" w:fill="auto"/>
            <w:vAlign w:val="center"/>
          </w:tcPr>
          <w:p w14:paraId="6E08C835"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30</w:t>
            </w:r>
          </w:p>
        </w:tc>
        <w:tc>
          <w:tcPr>
            <w:tcW w:w="971" w:type="dxa"/>
            <w:gridSpan w:val="2"/>
            <w:shd w:val="clear" w:color="auto" w:fill="auto"/>
            <w:vAlign w:val="center"/>
          </w:tcPr>
          <w:p w14:paraId="61F58A65"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13.6%</w:t>
            </w:r>
          </w:p>
        </w:tc>
      </w:tr>
      <w:tr w:rsidR="00655E7B" w:rsidRPr="00E61AC8" w14:paraId="6B025F4A" w14:textId="77777777" w:rsidTr="00E61AC8">
        <w:tc>
          <w:tcPr>
            <w:tcW w:w="1877" w:type="dxa"/>
            <w:tcBorders>
              <w:right w:val="single" w:sz="4" w:space="0" w:color="0079C1"/>
            </w:tcBorders>
            <w:shd w:val="clear" w:color="auto" w:fill="E2F4FF" w:themeFill="accent1" w:themeFillTint="33"/>
          </w:tcPr>
          <w:p w14:paraId="43FD0675" w14:textId="77777777" w:rsidR="00655E7B" w:rsidRPr="00E61AC8" w:rsidDel="00DD0D7C" w:rsidRDefault="00655E7B" w:rsidP="004B28FE">
            <w:pPr>
              <w:tabs>
                <w:tab w:val="left" w:pos="318"/>
              </w:tabs>
              <w:spacing w:before="60" w:after="60"/>
              <w:rPr>
                <w:rStyle w:val="Strong"/>
                <w:rFonts w:asciiTheme="minorHAnsi" w:hAnsiTheme="minorHAnsi"/>
                <w:sz w:val="20"/>
                <w:szCs w:val="20"/>
              </w:rPr>
            </w:pPr>
            <w:r w:rsidRPr="00E61AC8">
              <w:rPr>
                <w:rStyle w:val="Strong"/>
                <w:rFonts w:asciiTheme="minorHAnsi" w:hAnsiTheme="minorHAnsi"/>
                <w:sz w:val="20"/>
                <w:szCs w:val="20"/>
              </w:rPr>
              <w:t xml:space="preserve">Subtotal </w:t>
            </w:r>
          </w:p>
        </w:tc>
        <w:tc>
          <w:tcPr>
            <w:tcW w:w="850" w:type="dxa"/>
            <w:tcBorders>
              <w:left w:val="single" w:sz="4" w:space="0" w:color="0079C1"/>
            </w:tcBorders>
            <w:shd w:val="clear" w:color="auto" w:fill="E2F4FF" w:themeFill="accent1" w:themeFillTint="33"/>
            <w:vAlign w:val="center"/>
          </w:tcPr>
          <w:p w14:paraId="5CED7DE9"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60</w:t>
            </w:r>
          </w:p>
        </w:tc>
        <w:tc>
          <w:tcPr>
            <w:tcW w:w="993" w:type="dxa"/>
            <w:tcBorders>
              <w:right w:val="single" w:sz="4" w:space="0" w:color="0079C1"/>
            </w:tcBorders>
            <w:shd w:val="clear" w:color="auto" w:fill="E2F4FF" w:themeFill="accent1" w:themeFillTint="33"/>
            <w:vAlign w:val="center"/>
          </w:tcPr>
          <w:p w14:paraId="1E043175"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58.3%</w:t>
            </w:r>
          </w:p>
        </w:tc>
        <w:tc>
          <w:tcPr>
            <w:tcW w:w="736" w:type="dxa"/>
            <w:gridSpan w:val="2"/>
            <w:tcBorders>
              <w:left w:val="single" w:sz="4" w:space="0" w:color="0079C1"/>
            </w:tcBorders>
            <w:shd w:val="clear" w:color="auto" w:fill="E2F4FF" w:themeFill="accent1" w:themeFillTint="33"/>
            <w:vAlign w:val="center"/>
          </w:tcPr>
          <w:p w14:paraId="21EA18DE"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17</w:t>
            </w:r>
          </w:p>
        </w:tc>
        <w:tc>
          <w:tcPr>
            <w:tcW w:w="965" w:type="dxa"/>
            <w:tcBorders>
              <w:right w:val="single" w:sz="4" w:space="0" w:color="0079C1"/>
            </w:tcBorders>
            <w:shd w:val="clear" w:color="auto" w:fill="E2F4FF" w:themeFill="accent1" w:themeFillTint="33"/>
            <w:vAlign w:val="center"/>
          </w:tcPr>
          <w:p w14:paraId="2CC8BB71"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89.5%</w:t>
            </w:r>
          </w:p>
        </w:tc>
        <w:tc>
          <w:tcPr>
            <w:tcW w:w="596" w:type="dxa"/>
            <w:tcBorders>
              <w:left w:val="single" w:sz="4" w:space="0" w:color="0079C1"/>
            </w:tcBorders>
            <w:shd w:val="clear" w:color="auto" w:fill="E2F4FF" w:themeFill="accent1" w:themeFillTint="33"/>
            <w:vAlign w:val="center"/>
          </w:tcPr>
          <w:p w14:paraId="2BCB99C5"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36</w:t>
            </w:r>
          </w:p>
        </w:tc>
        <w:tc>
          <w:tcPr>
            <w:tcW w:w="963" w:type="dxa"/>
            <w:tcBorders>
              <w:right w:val="single" w:sz="4" w:space="0" w:color="0079C1"/>
            </w:tcBorders>
            <w:shd w:val="clear" w:color="auto" w:fill="E2F4FF" w:themeFill="accent1" w:themeFillTint="33"/>
            <w:vAlign w:val="center"/>
          </w:tcPr>
          <w:p w14:paraId="3CD6EB7D"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49.3%</w:t>
            </w:r>
          </w:p>
        </w:tc>
        <w:tc>
          <w:tcPr>
            <w:tcW w:w="594" w:type="dxa"/>
            <w:tcBorders>
              <w:left w:val="single" w:sz="4" w:space="0" w:color="0079C1"/>
            </w:tcBorders>
            <w:shd w:val="clear" w:color="auto" w:fill="E2F4FF" w:themeFill="accent1" w:themeFillTint="33"/>
            <w:vAlign w:val="center"/>
          </w:tcPr>
          <w:p w14:paraId="1C14FAD8"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8</w:t>
            </w:r>
          </w:p>
        </w:tc>
        <w:tc>
          <w:tcPr>
            <w:tcW w:w="933" w:type="dxa"/>
            <w:tcBorders>
              <w:right w:val="single" w:sz="4" w:space="0" w:color="0079C1"/>
            </w:tcBorders>
            <w:shd w:val="clear" w:color="auto" w:fill="E2F4FF" w:themeFill="accent1" w:themeFillTint="33"/>
            <w:vAlign w:val="center"/>
          </w:tcPr>
          <w:p w14:paraId="6BE8018A"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40.0%</w:t>
            </w:r>
          </w:p>
        </w:tc>
        <w:tc>
          <w:tcPr>
            <w:tcW w:w="620" w:type="dxa"/>
            <w:tcBorders>
              <w:left w:val="single" w:sz="4" w:space="0" w:color="0079C1"/>
            </w:tcBorders>
            <w:shd w:val="clear" w:color="auto" w:fill="E2F4FF" w:themeFill="accent1" w:themeFillTint="33"/>
            <w:vAlign w:val="center"/>
          </w:tcPr>
          <w:p w14:paraId="3E8FF981"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121</w:t>
            </w:r>
          </w:p>
        </w:tc>
        <w:tc>
          <w:tcPr>
            <w:tcW w:w="971" w:type="dxa"/>
            <w:gridSpan w:val="2"/>
            <w:shd w:val="clear" w:color="auto" w:fill="E2F4FF" w:themeFill="accent1" w:themeFillTint="33"/>
            <w:vAlign w:val="center"/>
          </w:tcPr>
          <w:p w14:paraId="346392C5"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55.0%</w:t>
            </w:r>
          </w:p>
        </w:tc>
      </w:tr>
      <w:tr w:rsidR="00655E7B" w:rsidRPr="00E61AC8" w14:paraId="22C39473" w14:textId="77777777" w:rsidTr="00E61AC8">
        <w:tc>
          <w:tcPr>
            <w:tcW w:w="1877" w:type="dxa"/>
            <w:tcBorders>
              <w:right w:val="single" w:sz="4" w:space="0" w:color="0079C1"/>
            </w:tcBorders>
          </w:tcPr>
          <w:p w14:paraId="550E7DE9" w14:textId="77777777" w:rsidR="00655E7B" w:rsidRPr="00E61AC8" w:rsidRDefault="00655E7B" w:rsidP="004B28FE">
            <w:pPr>
              <w:tabs>
                <w:tab w:val="left" w:pos="318"/>
              </w:tabs>
              <w:spacing w:before="60" w:after="60"/>
              <w:rPr>
                <w:rFonts w:asciiTheme="minorHAnsi" w:hAnsiTheme="minorHAnsi"/>
                <w:color w:val="000000" w:themeColor="text1"/>
                <w:sz w:val="20"/>
                <w:szCs w:val="20"/>
              </w:rPr>
            </w:pPr>
            <w:r w:rsidRPr="00E61AC8">
              <w:rPr>
                <w:rFonts w:asciiTheme="minorHAnsi" w:hAnsiTheme="minorHAnsi"/>
                <w:color w:val="333333"/>
                <w:sz w:val="20"/>
                <w:szCs w:val="20"/>
              </w:rPr>
              <w:t>No</w:t>
            </w:r>
          </w:p>
        </w:tc>
        <w:tc>
          <w:tcPr>
            <w:tcW w:w="850" w:type="dxa"/>
            <w:tcBorders>
              <w:left w:val="single" w:sz="4" w:space="0" w:color="0079C1"/>
            </w:tcBorders>
            <w:vAlign w:val="center"/>
          </w:tcPr>
          <w:p w14:paraId="2801405E"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33</w:t>
            </w:r>
          </w:p>
        </w:tc>
        <w:tc>
          <w:tcPr>
            <w:tcW w:w="993" w:type="dxa"/>
            <w:tcBorders>
              <w:right w:val="single" w:sz="4" w:space="0" w:color="0079C1"/>
            </w:tcBorders>
            <w:vAlign w:val="center"/>
          </w:tcPr>
          <w:p w14:paraId="530F1F21"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32.0%</w:t>
            </w:r>
          </w:p>
        </w:tc>
        <w:tc>
          <w:tcPr>
            <w:tcW w:w="736" w:type="dxa"/>
            <w:gridSpan w:val="2"/>
            <w:tcBorders>
              <w:left w:val="single" w:sz="4" w:space="0" w:color="0079C1"/>
            </w:tcBorders>
            <w:vAlign w:val="center"/>
          </w:tcPr>
          <w:p w14:paraId="062A0BAF"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stheme="minorHAnsi"/>
                <w:color w:val="000000" w:themeColor="text1"/>
                <w:sz w:val="20"/>
                <w:szCs w:val="20"/>
              </w:rPr>
              <w:t>-</w:t>
            </w:r>
          </w:p>
        </w:tc>
        <w:tc>
          <w:tcPr>
            <w:tcW w:w="965" w:type="dxa"/>
            <w:tcBorders>
              <w:right w:val="single" w:sz="4" w:space="0" w:color="0079C1"/>
            </w:tcBorders>
            <w:vAlign w:val="center"/>
          </w:tcPr>
          <w:p w14:paraId="160EF21F"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w:t>
            </w:r>
          </w:p>
        </w:tc>
        <w:tc>
          <w:tcPr>
            <w:tcW w:w="596" w:type="dxa"/>
            <w:tcBorders>
              <w:left w:val="single" w:sz="4" w:space="0" w:color="0079C1"/>
            </w:tcBorders>
            <w:vAlign w:val="center"/>
          </w:tcPr>
          <w:p w14:paraId="566B55EB"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30</w:t>
            </w:r>
          </w:p>
        </w:tc>
        <w:tc>
          <w:tcPr>
            <w:tcW w:w="963" w:type="dxa"/>
            <w:tcBorders>
              <w:right w:val="single" w:sz="4" w:space="0" w:color="0079C1"/>
            </w:tcBorders>
            <w:vAlign w:val="center"/>
          </w:tcPr>
          <w:p w14:paraId="6ECBFD39"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41.1%</w:t>
            </w:r>
          </w:p>
        </w:tc>
        <w:tc>
          <w:tcPr>
            <w:tcW w:w="594" w:type="dxa"/>
            <w:tcBorders>
              <w:left w:val="single" w:sz="4" w:space="0" w:color="0079C1"/>
            </w:tcBorders>
            <w:vAlign w:val="center"/>
          </w:tcPr>
          <w:p w14:paraId="22BE6048"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9</w:t>
            </w:r>
          </w:p>
        </w:tc>
        <w:tc>
          <w:tcPr>
            <w:tcW w:w="933" w:type="dxa"/>
            <w:tcBorders>
              <w:right w:val="single" w:sz="4" w:space="0" w:color="0079C1"/>
            </w:tcBorders>
            <w:vAlign w:val="center"/>
          </w:tcPr>
          <w:p w14:paraId="7C806545"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45.0%</w:t>
            </w:r>
          </w:p>
        </w:tc>
        <w:tc>
          <w:tcPr>
            <w:tcW w:w="620" w:type="dxa"/>
            <w:tcBorders>
              <w:left w:val="single" w:sz="4" w:space="0" w:color="0079C1"/>
            </w:tcBorders>
            <w:vAlign w:val="center"/>
          </w:tcPr>
          <w:p w14:paraId="64BA1455"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72</w:t>
            </w:r>
          </w:p>
        </w:tc>
        <w:tc>
          <w:tcPr>
            <w:tcW w:w="971" w:type="dxa"/>
            <w:gridSpan w:val="2"/>
            <w:vAlign w:val="center"/>
          </w:tcPr>
          <w:p w14:paraId="51AADBEB"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32.7%</w:t>
            </w:r>
          </w:p>
        </w:tc>
      </w:tr>
      <w:tr w:rsidR="00655E7B" w:rsidRPr="00E61AC8" w14:paraId="593AD49A" w14:textId="77777777" w:rsidTr="00E61AC8">
        <w:tc>
          <w:tcPr>
            <w:tcW w:w="1877" w:type="dxa"/>
            <w:tcBorders>
              <w:bottom w:val="single" w:sz="4" w:space="0" w:color="0079C1"/>
              <w:right w:val="single" w:sz="4" w:space="0" w:color="0079C1"/>
            </w:tcBorders>
          </w:tcPr>
          <w:p w14:paraId="4422BD98" w14:textId="77777777" w:rsidR="00655E7B" w:rsidRPr="00E61AC8" w:rsidRDefault="00655E7B" w:rsidP="004B28FE">
            <w:pPr>
              <w:tabs>
                <w:tab w:val="left" w:pos="318"/>
              </w:tabs>
              <w:spacing w:before="60" w:after="60"/>
              <w:rPr>
                <w:rFonts w:asciiTheme="minorHAnsi" w:hAnsiTheme="minorHAnsi"/>
                <w:color w:val="333333"/>
                <w:sz w:val="20"/>
                <w:szCs w:val="20"/>
              </w:rPr>
            </w:pPr>
            <w:r w:rsidRPr="00E61AC8">
              <w:rPr>
                <w:rFonts w:asciiTheme="minorHAnsi" w:hAnsiTheme="minorHAnsi"/>
                <w:color w:val="333333"/>
                <w:sz w:val="20"/>
                <w:szCs w:val="20"/>
              </w:rPr>
              <w:t>Not stated</w:t>
            </w:r>
          </w:p>
        </w:tc>
        <w:tc>
          <w:tcPr>
            <w:tcW w:w="850" w:type="dxa"/>
            <w:tcBorders>
              <w:left w:val="single" w:sz="4" w:space="0" w:color="0079C1"/>
              <w:bottom w:val="single" w:sz="4" w:space="0" w:color="0079C1"/>
            </w:tcBorders>
            <w:vAlign w:val="center"/>
          </w:tcPr>
          <w:p w14:paraId="03D04471"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15</w:t>
            </w:r>
          </w:p>
        </w:tc>
        <w:tc>
          <w:tcPr>
            <w:tcW w:w="993" w:type="dxa"/>
            <w:tcBorders>
              <w:bottom w:val="single" w:sz="4" w:space="0" w:color="0079C1"/>
              <w:right w:val="single" w:sz="4" w:space="0" w:color="0079C1"/>
            </w:tcBorders>
            <w:vAlign w:val="center"/>
          </w:tcPr>
          <w:p w14:paraId="67DE5CD2"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9.7%</w:t>
            </w:r>
          </w:p>
        </w:tc>
        <w:tc>
          <w:tcPr>
            <w:tcW w:w="736" w:type="dxa"/>
            <w:gridSpan w:val="2"/>
            <w:tcBorders>
              <w:left w:val="single" w:sz="4" w:space="0" w:color="0079C1"/>
              <w:bottom w:val="single" w:sz="4" w:space="0" w:color="0079C1"/>
            </w:tcBorders>
            <w:vAlign w:val="center"/>
          </w:tcPr>
          <w:p w14:paraId="589BBFDA"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2</w:t>
            </w:r>
          </w:p>
        </w:tc>
        <w:tc>
          <w:tcPr>
            <w:tcW w:w="965" w:type="dxa"/>
            <w:tcBorders>
              <w:bottom w:val="single" w:sz="4" w:space="0" w:color="0079C1"/>
              <w:right w:val="single" w:sz="4" w:space="0" w:color="0079C1"/>
            </w:tcBorders>
            <w:vAlign w:val="center"/>
          </w:tcPr>
          <w:p w14:paraId="6A1BE6AF"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10.5%</w:t>
            </w:r>
          </w:p>
        </w:tc>
        <w:tc>
          <w:tcPr>
            <w:tcW w:w="596" w:type="dxa"/>
            <w:tcBorders>
              <w:left w:val="single" w:sz="4" w:space="0" w:color="0079C1"/>
              <w:bottom w:val="single" w:sz="4" w:space="0" w:color="0079C1"/>
            </w:tcBorders>
            <w:vAlign w:val="center"/>
          </w:tcPr>
          <w:p w14:paraId="4B6DB545"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7</w:t>
            </w:r>
          </w:p>
        </w:tc>
        <w:tc>
          <w:tcPr>
            <w:tcW w:w="963" w:type="dxa"/>
            <w:tcBorders>
              <w:bottom w:val="single" w:sz="4" w:space="0" w:color="0079C1"/>
              <w:right w:val="single" w:sz="4" w:space="0" w:color="0079C1"/>
            </w:tcBorders>
            <w:vAlign w:val="center"/>
          </w:tcPr>
          <w:p w14:paraId="4ACFEEE8"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9.6%</w:t>
            </w:r>
          </w:p>
        </w:tc>
        <w:tc>
          <w:tcPr>
            <w:tcW w:w="594" w:type="dxa"/>
            <w:tcBorders>
              <w:left w:val="single" w:sz="4" w:space="0" w:color="0079C1"/>
              <w:bottom w:val="single" w:sz="4" w:space="0" w:color="0079C1"/>
            </w:tcBorders>
            <w:vAlign w:val="center"/>
          </w:tcPr>
          <w:p w14:paraId="260D2821"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3</w:t>
            </w:r>
          </w:p>
        </w:tc>
        <w:tc>
          <w:tcPr>
            <w:tcW w:w="933" w:type="dxa"/>
            <w:tcBorders>
              <w:bottom w:val="single" w:sz="4" w:space="0" w:color="0079C1"/>
              <w:right w:val="single" w:sz="4" w:space="0" w:color="0079C1"/>
            </w:tcBorders>
            <w:vAlign w:val="center"/>
          </w:tcPr>
          <w:p w14:paraId="61C93867" w14:textId="77777777" w:rsidR="00655E7B" w:rsidRPr="00E61AC8" w:rsidRDefault="00655E7B" w:rsidP="004B28FE">
            <w:pPr>
              <w:tabs>
                <w:tab w:val="left" w:pos="318"/>
              </w:tabs>
              <w:spacing w:before="60" w:after="60"/>
              <w:jc w:val="center"/>
              <w:rPr>
                <w:rFonts w:asciiTheme="minorHAnsi" w:hAnsiTheme="minorHAnsi" w:cstheme="minorHAnsi"/>
                <w:color w:val="000000" w:themeColor="text1"/>
                <w:sz w:val="20"/>
                <w:szCs w:val="20"/>
              </w:rPr>
            </w:pPr>
            <w:r w:rsidRPr="00E61AC8">
              <w:rPr>
                <w:rFonts w:asciiTheme="minorHAnsi" w:hAnsiTheme="minorHAnsi"/>
                <w:color w:val="333333"/>
                <w:sz w:val="20"/>
                <w:szCs w:val="20"/>
              </w:rPr>
              <w:t>15.0%</w:t>
            </w:r>
          </w:p>
        </w:tc>
        <w:tc>
          <w:tcPr>
            <w:tcW w:w="620" w:type="dxa"/>
            <w:tcBorders>
              <w:left w:val="single" w:sz="4" w:space="0" w:color="0079C1"/>
              <w:bottom w:val="single" w:sz="4" w:space="0" w:color="0079C1"/>
            </w:tcBorders>
            <w:vAlign w:val="center"/>
          </w:tcPr>
          <w:p w14:paraId="7F85AD04"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27</w:t>
            </w:r>
          </w:p>
        </w:tc>
        <w:tc>
          <w:tcPr>
            <w:tcW w:w="971" w:type="dxa"/>
            <w:gridSpan w:val="2"/>
            <w:tcBorders>
              <w:bottom w:val="single" w:sz="4" w:space="0" w:color="0079C1"/>
            </w:tcBorders>
            <w:vAlign w:val="center"/>
          </w:tcPr>
          <w:p w14:paraId="464B7E58"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12.3%</w:t>
            </w:r>
          </w:p>
        </w:tc>
      </w:tr>
      <w:tr w:rsidR="00655E7B" w:rsidRPr="00E61AC8" w14:paraId="12F5FD6D" w14:textId="77777777" w:rsidTr="00E61AC8">
        <w:tc>
          <w:tcPr>
            <w:tcW w:w="1877" w:type="dxa"/>
            <w:tcBorders>
              <w:top w:val="single" w:sz="4" w:space="0" w:color="0079C1"/>
              <w:right w:val="single" w:sz="4" w:space="0" w:color="0079C1"/>
            </w:tcBorders>
            <w:shd w:val="clear" w:color="auto" w:fill="E2F4FF" w:themeFill="accent1" w:themeFillTint="33"/>
          </w:tcPr>
          <w:p w14:paraId="40FB0198" w14:textId="77777777" w:rsidR="00655E7B" w:rsidRPr="00E61AC8" w:rsidRDefault="00655E7B" w:rsidP="004B28FE">
            <w:pPr>
              <w:tabs>
                <w:tab w:val="left" w:pos="318"/>
              </w:tabs>
              <w:spacing w:before="60" w:after="60"/>
              <w:rPr>
                <w:rStyle w:val="Strong"/>
                <w:rFonts w:asciiTheme="minorHAnsi" w:hAnsiTheme="minorHAnsi"/>
                <w:sz w:val="20"/>
                <w:szCs w:val="20"/>
              </w:rPr>
            </w:pPr>
            <w:r w:rsidRPr="00E61AC8">
              <w:rPr>
                <w:rStyle w:val="Strong"/>
                <w:rFonts w:asciiTheme="minorHAnsi" w:hAnsiTheme="minorHAnsi"/>
                <w:sz w:val="20"/>
                <w:szCs w:val="20"/>
              </w:rPr>
              <w:t xml:space="preserve">Total </w:t>
            </w:r>
          </w:p>
        </w:tc>
        <w:tc>
          <w:tcPr>
            <w:tcW w:w="850" w:type="dxa"/>
            <w:tcBorders>
              <w:top w:val="single" w:sz="4" w:space="0" w:color="0079C1"/>
              <w:left w:val="single" w:sz="4" w:space="0" w:color="0079C1"/>
            </w:tcBorders>
            <w:shd w:val="clear" w:color="auto" w:fill="E2F4FF" w:themeFill="accent1" w:themeFillTint="33"/>
            <w:vAlign w:val="center"/>
          </w:tcPr>
          <w:p w14:paraId="78790267"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108</w:t>
            </w:r>
          </w:p>
        </w:tc>
        <w:tc>
          <w:tcPr>
            <w:tcW w:w="993" w:type="dxa"/>
            <w:tcBorders>
              <w:top w:val="single" w:sz="4" w:space="0" w:color="0079C1"/>
              <w:right w:val="single" w:sz="4" w:space="0" w:color="0079C1"/>
            </w:tcBorders>
            <w:shd w:val="clear" w:color="auto" w:fill="E2F4FF" w:themeFill="accent1" w:themeFillTint="33"/>
            <w:vAlign w:val="center"/>
          </w:tcPr>
          <w:p w14:paraId="555E0F9F"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100.0%</w:t>
            </w:r>
          </w:p>
        </w:tc>
        <w:tc>
          <w:tcPr>
            <w:tcW w:w="736" w:type="dxa"/>
            <w:gridSpan w:val="2"/>
            <w:tcBorders>
              <w:top w:val="single" w:sz="4" w:space="0" w:color="0079C1"/>
              <w:left w:val="single" w:sz="4" w:space="0" w:color="0079C1"/>
            </w:tcBorders>
            <w:shd w:val="clear" w:color="auto" w:fill="E2F4FF" w:themeFill="accent1" w:themeFillTint="33"/>
            <w:vAlign w:val="center"/>
          </w:tcPr>
          <w:p w14:paraId="148A1750"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19</w:t>
            </w:r>
          </w:p>
        </w:tc>
        <w:tc>
          <w:tcPr>
            <w:tcW w:w="965" w:type="dxa"/>
            <w:tcBorders>
              <w:top w:val="single" w:sz="4" w:space="0" w:color="0079C1"/>
              <w:right w:val="single" w:sz="4" w:space="0" w:color="0079C1"/>
            </w:tcBorders>
            <w:shd w:val="clear" w:color="auto" w:fill="E2F4FF" w:themeFill="accent1" w:themeFillTint="33"/>
            <w:vAlign w:val="center"/>
          </w:tcPr>
          <w:p w14:paraId="10AD15A8"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100.0%</w:t>
            </w:r>
          </w:p>
        </w:tc>
        <w:tc>
          <w:tcPr>
            <w:tcW w:w="596" w:type="dxa"/>
            <w:tcBorders>
              <w:top w:val="single" w:sz="4" w:space="0" w:color="0079C1"/>
              <w:left w:val="single" w:sz="4" w:space="0" w:color="0079C1"/>
            </w:tcBorders>
            <w:shd w:val="clear" w:color="auto" w:fill="E2F4FF" w:themeFill="accent1" w:themeFillTint="33"/>
            <w:vAlign w:val="center"/>
          </w:tcPr>
          <w:p w14:paraId="5B248D58"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73</w:t>
            </w:r>
          </w:p>
        </w:tc>
        <w:tc>
          <w:tcPr>
            <w:tcW w:w="963" w:type="dxa"/>
            <w:tcBorders>
              <w:top w:val="single" w:sz="4" w:space="0" w:color="0079C1"/>
              <w:right w:val="single" w:sz="4" w:space="0" w:color="0079C1"/>
            </w:tcBorders>
            <w:shd w:val="clear" w:color="auto" w:fill="E2F4FF" w:themeFill="accent1" w:themeFillTint="33"/>
            <w:vAlign w:val="center"/>
          </w:tcPr>
          <w:p w14:paraId="244F5578"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100.0%</w:t>
            </w:r>
          </w:p>
        </w:tc>
        <w:tc>
          <w:tcPr>
            <w:tcW w:w="594" w:type="dxa"/>
            <w:tcBorders>
              <w:top w:val="single" w:sz="4" w:space="0" w:color="0079C1"/>
              <w:left w:val="single" w:sz="4" w:space="0" w:color="0079C1"/>
            </w:tcBorders>
            <w:shd w:val="clear" w:color="auto" w:fill="E2F4FF" w:themeFill="accent1" w:themeFillTint="33"/>
            <w:vAlign w:val="center"/>
          </w:tcPr>
          <w:p w14:paraId="128E90AC"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20</w:t>
            </w:r>
          </w:p>
        </w:tc>
        <w:tc>
          <w:tcPr>
            <w:tcW w:w="933" w:type="dxa"/>
            <w:tcBorders>
              <w:top w:val="single" w:sz="4" w:space="0" w:color="0079C1"/>
              <w:right w:val="single" w:sz="4" w:space="0" w:color="0079C1"/>
            </w:tcBorders>
            <w:shd w:val="clear" w:color="auto" w:fill="E2F4FF" w:themeFill="accent1" w:themeFillTint="33"/>
            <w:vAlign w:val="center"/>
          </w:tcPr>
          <w:p w14:paraId="0250D32E"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100.0%</w:t>
            </w:r>
          </w:p>
        </w:tc>
        <w:tc>
          <w:tcPr>
            <w:tcW w:w="637" w:type="dxa"/>
            <w:gridSpan w:val="2"/>
            <w:tcBorders>
              <w:top w:val="single" w:sz="4" w:space="0" w:color="0079C1"/>
              <w:left w:val="single" w:sz="4" w:space="0" w:color="0079C1"/>
            </w:tcBorders>
            <w:shd w:val="clear" w:color="auto" w:fill="E2F4FF" w:themeFill="accent1" w:themeFillTint="33"/>
            <w:vAlign w:val="center"/>
          </w:tcPr>
          <w:p w14:paraId="71C24421"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220</w:t>
            </w:r>
          </w:p>
        </w:tc>
        <w:tc>
          <w:tcPr>
            <w:tcW w:w="954" w:type="dxa"/>
            <w:tcBorders>
              <w:top w:val="single" w:sz="4" w:space="0" w:color="0079C1"/>
            </w:tcBorders>
            <w:shd w:val="clear" w:color="auto" w:fill="E2F4FF" w:themeFill="accent1" w:themeFillTint="33"/>
            <w:vAlign w:val="center"/>
          </w:tcPr>
          <w:p w14:paraId="44BC9D94" w14:textId="77777777" w:rsidR="00655E7B" w:rsidRPr="00E61AC8" w:rsidRDefault="00655E7B" w:rsidP="004B28FE">
            <w:pPr>
              <w:tabs>
                <w:tab w:val="left" w:pos="318"/>
              </w:tabs>
              <w:spacing w:before="60" w:after="60"/>
              <w:jc w:val="center"/>
              <w:rPr>
                <w:rStyle w:val="Strong"/>
                <w:rFonts w:asciiTheme="minorHAnsi" w:hAnsiTheme="minorHAnsi"/>
                <w:sz w:val="20"/>
                <w:szCs w:val="20"/>
              </w:rPr>
            </w:pPr>
            <w:r w:rsidRPr="00E61AC8">
              <w:rPr>
                <w:rStyle w:val="Strong"/>
                <w:rFonts w:asciiTheme="minorHAnsi" w:hAnsiTheme="minorHAnsi"/>
                <w:sz w:val="20"/>
                <w:szCs w:val="20"/>
              </w:rPr>
              <w:t>100.0%</w:t>
            </w:r>
          </w:p>
        </w:tc>
      </w:tr>
    </w:tbl>
    <w:p w14:paraId="7FE7BDD8" w14:textId="365DEF1F" w:rsidR="002E68D6" w:rsidRDefault="002E68D6" w:rsidP="00655E7B">
      <w:pPr>
        <w:pStyle w:val="Paragraph"/>
      </w:pPr>
      <w:r>
        <w:t>However, c</w:t>
      </w:r>
      <w:r w:rsidR="00655E7B">
        <w:t>onsidering adopting a child with special needs did not always translate into a willingness to adopt a child with special needs</w:t>
      </w:r>
      <w:r>
        <w:t xml:space="preserve">, with only </w:t>
      </w:r>
      <w:r w:rsidRPr="002E68D6">
        <w:t>39.7% (29/73) those who had previously adopted a child</w:t>
      </w:r>
      <w:r>
        <w:t xml:space="preserve"> indicating that </w:t>
      </w:r>
      <w:r w:rsidRPr="002E68D6">
        <w:t>they had adopt</w:t>
      </w:r>
      <w:r w:rsidR="008E7495">
        <w:t>ed a child with special needs.</w:t>
      </w:r>
    </w:p>
    <w:p w14:paraId="0207FD18" w14:textId="3BC55A09" w:rsidR="00655E7B" w:rsidRDefault="002E68D6" w:rsidP="00655E7B">
      <w:pPr>
        <w:pStyle w:val="Paragraph"/>
      </w:pPr>
      <w:r>
        <w:t xml:space="preserve">Among the remaining 147 parental respondents, a marginal drop was evident in the </w:t>
      </w:r>
      <w:r w:rsidR="00655E7B">
        <w:t xml:space="preserve">proportion </w:t>
      </w:r>
      <w:r w:rsidR="00655E7B" w:rsidRPr="00BA6DB0">
        <w:rPr>
          <w:rStyle w:val="Emphasis"/>
        </w:rPr>
        <w:t>open to the option</w:t>
      </w:r>
      <w:r>
        <w:t xml:space="preserve"> and those who were </w:t>
      </w:r>
      <w:r w:rsidRPr="002E68D6">
        <w:rPr>
          <w:i/>
        </w:rPr>
        <w:t>will</w:t>
      </w:r>
      <w:r w:rsidR="00655E7B" w:rsidRPr="002E68D6">
        <w:rPr>
          <w:i/>
        </w:rPr>
        <w:t>ing</w:t>
      </w:r>
      <w:r w:rsidRPr="002E68D6">
        <w:rPr>
          <w:i/>
        </w:rPr>
        <w:t xml:space="preserve"> to adopt a child with special nee</w:t>
      </w:r>
      <w:r>
        <w:t>d</w:t>
      </w:r>
      <w:r w:rsidRPr="002E68D6">
        <w:rPr>
          <w:i/>
        </w:rPr>
        <w:t>s</w:t>
      </w:r>
      <w:r>
        <w:t xml:space="preserve"> </w:t>
      </w:r>
      <w:r w:rsidRPr="002E68D6">
        <w:t>among those wanting to adopt for the first</w:t>
      </w:r>
      <w:r>
        <w:t xml:space="preserve"> time </w:t>
      </w:r>
      <w:r w:rsidRPr="002E68D6">
        <w:t xml:space="preserve">those who were wanting to adopt additional children </w:t>
      </w:r>
      <w:r>
        <w:t xml:space="preserve">(from 58.3% to 54.7%, and from 89.5% to 84.2% respectively).  The </w:t>
      </w:r>
      <w:r w:rsidR="00655E7B">
        <w:t>most marked</w:t>
      </w:r>
      <w:r>
        <w:t xml:space="preserve"> </w:t>
      </w:r>
      <w:r w:rsidR="00655E7B">
        <w:t xml:space="preserve">drop </w:t>
      </w:r>
      <w:r>
        <w:t xml:space="preserve">was </w:t>
      </w:r>
      <w:r w:rsidR="00655E7B">
        <w:t xml:space="preserve">evident </w:t>
      </w:r>
      <w:r>
        <w:t>among those who did not continue (from 40.0% to 25.0%) (</w:t>
      </w:r>
      <w:r>
        <w:rPr>
          <w:rStyle w:val="Emphasis"/>
        </w:rPr>
        <w:t>Table B-10</w:t>
      </w:r>
      <w:r>
        <w:t>)</w:t>
      </w:r>
      <w:r w:rsidR="00000228">
        <w:t xml:space="preserve">.  </w:t>
      </w:r>
    </w:p>
    <w:p w14:paraId="2A07A746" w14:textId="30F8A9B9" w:rsidR="0084213E" w:rsidRPr="0084213E" w:rsidRDefault="0084213E" w:rsidP="0084213E">
      <w:pPr>
        <w:pStyle w:val="Caption"/>
      </w:pPr>
      <w:bookmarkStart w:id="202" w:name="_Hlk489551740"/>
      <w:r>
        <w:t xml:space="preserve">Table </w:t>
      </w:r>
      <w:r>
        <w:fldChar w:fldCharType="begin"/>
      </w:r>
      <w:r>
        <w:instrText xml:space="preserve"> STYLEREF 7 \s </w:instrText>
      </w:r>
      <w:r>
        <w:fldChar w:fldCharType="separate"/>
      </w:r>
      <w:r w:rsidR="00487073">
        <w:rPr>
          <w:noProof/>
        </w:rPr>
        <w:t>C</w:t>
      </w:r>
      <w:r>
        <w:fldChar w:fldCharType="end"/>
      </w:r>
      <w:r>
        <w:noBreakHyphen/>
      </w:r>
      <w:r>
        <w:fldChar w:fldCharType="begin"/>
      </w:r>
      <w:r>
        <w:instrText xml:space="preserve"> SEQ Table_Apx \* ARABIC \s 7 </w:instrText>
      </w:r>
      <w:r>
        <w:fldChar w:fldCharType="separate"/>
      </w:r>
      <w:r w:rsidR="00487073">
        <w:rPr>
          <w:noProof/>
        </w:rPr>
        <w:t>10</w:t>
      </w:r>
      <w:r>
        <w:fldChar w:fldCharType="end"/>
      </w:r>
      <w:r>
        <w:t>:</w:t>
      </w:r>
      <w:r>
        <w:tab/>
        <w:t>Willingness to adopt a</w:t>
      </w:r>
      <w:r w:rsidRPr="00DD0D7C">
        <w:t xml:space="preserve"> child with special needs</w:t>
      </w:r>
    </w:p>
    <w:tbl>
      <w:tblPr>
        <w:tblStyle w:val="TableGrid"/>
        <w:tblW w:w="8539" w:type="dxa"/>
        <w:tblInd w:w="108"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Description w:val="Table C 10: Willingness to adopt a child with special needs"/>
      </w:tblPr>
      <w:tblGrid>
        <w:gridCol w:w="2302"/>
        <w:gridCol w:w="595"/>
        <w:gridCol w:w="922"/>
        <w:gridCol w:w="359"/>
        <w:gridCol w:w="278"/>
        <w:gridCol w:w="965"/>
        <w:gridCol w:w="589"/>
        <w:gridCol w:w="7"/>
        <w:gridCol w:w="926"/>
        <w:gridCol w:w="7"/>
        <w:gridCol w:w="613"/>
        <w:gridCol w:w="24"/>
        <w:gridCol w:w="952"/>
      </w:tblGrid>
      <w:tr w:rsidR="00655E7B" w:rsidRPr="0035210F" w14:paraId="19F47455" w14:textId="77777777" w:rsidTr="008E7495">
        <w:trPr>
          <w:tblHeader/>
        </w:trPr>
        <w:tc>
          <w:tcPr>
            <w:tcW w:w="2302" w:type="dxa"/>
            <w:vMerge w:val="restart"/>
            <w:tcBorders>
              <w:top w:val="single" w:sz="4" w:space="0" w:color="0079C1" w:themeColor="text2"/>
            </w:tcBorders>
            <w:shd w:val="clear" w:color="auto" w:fill="0079C1" w:themeFill="text2"/>
            <w:vAlign w:val="center"/>
          </w:tcPr>
          <w:p w14:paraId="196572B9" w14:textId="77777777" w:rsidR="00655E7B" w:rsidRPr="0035210F" w:rsidRDefault="00655E7B" w:rsidP="004B28FE">
            <w:pPr>
              <w:keepLines/>
              <w:tabs>
                <w:tab w:val="left" w:pos="318"/>
              </w:tabs>
              <w:spacing w:before="120" w:after="120"/>
              <w:rPr>
                <w:rFonts w:eastAsiaTheme="minorHAnsi" w:cs="Calibri"/>
                <w:b/>
                <w:color w:val="FFFFFF" w:themeColor="background1"/>
                <w:sz w:val="20"/>
                <w:szCs w:val="20"/>
                <w:lang w:eastAsia="en-AU"/>
              </w:rPr>
            </w:pPr>
            <w:r w:rsidRPr="0035210F">
              <w:rPr>
                <w:rFonts w:eastAsiaTheme="minorHAnsi" w:cs="Calibri"/>
                <w:b/>
                <w:color w:val="FFFFFF" w:themeColor="background1"/>
                <w:sz w:val="20"/>
                <w:szCs w:val="20"/>
                <w:lang w:eastAsia="en-AU"/>
              </w:rPr>
              <w:t>Willingness to adopt a child with special needs</w:t>
            </w:r>
          </w:p>
        </w:tc>
        <w:tc>
          <w:tcPr>
            <w:tcW w:w="3119" w:type="dxa"/>
            <w:gridSpan w:val="5"/>
            <w:tcBorders>
              <w:top w:val="single" w:sz="4" w:space="0" w:color="0079C1" w:themeColor="text2"/>
              <w:bottom w:val="single" w:sz="4" w:space="0" w:color="BFE7FF" w:themeColor="text2" w:themeTint="33"/>
            </w:tcBorders>
            <w:shd w:val="clear" w:color="auto" w:fill="0079C1" w:themeFill="text2"/>
          </w:tcPr>
          <w:p w14:paraId="63EEF2C5" w14:textId="77777777" w:rsidR="00655E7B" w:rsidRPr="0035210F"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35210F">
              <w:rPr>
                <w:rFonts w:eastAsiaTheme="minorHAnsi" w:cs="Calibri"/>
                <w:b/>
                <w:color w:val="FFFFFF" w:themeColor="background1"/>
                <w:sz w:val="20"/>
                <w:szCs w:val="20"/>
                <w:lang w:eastAsia="en-AU"/>
              </w:rPr>
              <w:t>Wanting to adopt</w:t>
            </w:r>
          </w:p>
        </w:tc>
        <w:tc>
          <w:tcPr>
            <w:tcW w:w="1529" w:type="dxa"/>
            <w:gridSpan w:val="4"/>
            <w:tcBorders>
              <w:top w:val="single" w:sz="4" w:space="0" w:color="0079C1" w:themeColor="text2"/>
              <w:bottom w:val="single" w:sz="4" w:space="0" w:color="BFE7FF" w:themeColor="text2" w:themeTint="33"/>
            </w:tcBorders>
            <w:shd w:val="clear" w:color="auto" w:fill="0079C1" w:themeFill="text2"/>
          </w:tcPr>
          <w:p w14:paraId="60E45CC6" w14:textId="77777777" w:rsidR="00655E7B" w:rsidRPr="0035210F"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35210F">
              <w:rPr>
                <w:rFonts w:eastAsiaTheme="minorHAnsi" w:cs="Calibri"/>
                <w:b/>
                <w:color w:val="FFFFFF" w:themeColor="background1"/>
                <w:sz w:val="20"/>
                <w:szCs w:val="20"/>
                <w:lang w:eastAsia="en-AU"/>
              </w:rPr>
              <w:t>Did not continue</w:t>
            </w:r>
          </w:p>
        </w:tc>
        <w:tc>
          <w:tcPr>
            <w:tcW w:w="1589" w:type="dxa"/>
            <w:gridSpan w:val="3"/>
            <w:tcBorders>
              <w:top w:val="single" w:sz="4" w:space="0" w:color="0079C1" w:themeColor="text2"/>
              <w:bottom w:val="single" w:sz="4" w:space="0" w:color="BFE7FF" w:themeColor="text2" w:themeTint="33"/>
            </w:tcBorders>
            <w:shd w:val="clear" w:color="auto" w:fill="0079C1" w:themeFill="text2"/>
          </w:tcPr>
          <w:p w14:paraId="33C7FAFC" w14:textId="77777777" w:rsidR="00655E7B" w:rsidRPr="0035210F"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35210F">
              <w:rPr>
                <w:rFonts w:eastAsiaTheme="minorHAnsi" w:cs="Calibri"/>
                <w:b/>
                <w:color w:val="FFFFFF" w:themeColor="background1"/>
                <w:sz w:val="20"/>
                <w:szCs w:val="20"/>
                <w:lang w:eastAsia="en-AU"/>
              </w:rPr>
              <w:t>Total</w:t>
            </w:r>
          </w:p>
        </w:tc>
      </w:tr>
      <w:tr w:rsidR="00655E7B" w:rsidRPr="0035210F" w14:paraId="4CFAE31B" w14:textId="77777777" w:rsidTr="008E7495">
        <w:trPr>
          <w:tblHeader/>
        </w:trPr>
        <w:tc>
          <w:tcPr>
            <w:tcW w:w="2302" w:type="dxa"/>
            <w:vMerge/>
            <w:tcBorders>
              <w:top w:val="single" w:sz="4" w:space="0" w:color="0079C1" w:themeColor="text2"/>
            </w:tcBorders>
            <w:shd w:val="clear" w:color="auto" w:fill="0079C1" w:themeFill="text2"/>
          </w:tcPr>
          <w:p w14:paraId="521FB21A" w14:textId="77777777" w:rsidR="00655E7B" w:rsidRPr="0035210F" w:rsidRDefault="00655E7B" w:rsidP="004B28FE">
            <w:pPr>
              <w:keepLines/>
              <w:tabs>
                <w:tab w:val="left" w:pos="318"/>
              </w:tabs>
              <w:spacing w:before="120" w:after="120"/>
              <w:rPr>
                <w:rFonts w:eastAsiaTheme="minorHAnsi" w:cs="Calibri"/>
                <w:b/>
                <w:color w:val="FFFFFF" w:themeColor="background1"/>
                <w:sz w:val="20"/>
                <w:szCs w:val="20"/>
                <w:lang w:eastAsia="en-AU"/>
              </w:rPr>
            </w:pPr>
          </w:p>
        </w:tc>
        <w:tc>
          <w:tcPr>
            <w:tcW w:w="1876" w:type="dxa"/>
            <w:gridSpan w:val="3"/>
            <w:tcBorders>
              <w:top w:val="single" w:sz="4" w:space="0" w:color="0079C1" w:themeColor="text2"/>
              <w:bottom w:val="single" w:sz="4" w:space="0" w:color="BFE7FF" w:themeColor="text2" w:themeTint="33"/>
              <w:right w:val="nil"/>
            </w:tcBorders>
            <w:shd w:val="clear" w:color="auto" w:fill="0079C1" w:themeFill="text2"/>
          </w:tcPr>
          <w:p w14:paraId="25006564" w14:textId="77777777" w:rsidR="00655E7B" w:rsidRPr="0035210F"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35210F">
              <w:rPr>
                <w:rFonts w:eastAsiaTheme="minorHAnsi" w:cs="Calibri"/>
                <w:b/>
                <w:color w:val="FFFFFF" w:themeColor="background1"/>
                <w:sz w:val="20"/>
                <w:szCs w:val="20"/>
                <w:lang w:eastAsia="en-AU"/>
              </w:rPr>
              <w:t>First time</w:t>
            </w:r>
          </w:p>
        </w:tc>
        <w:tc>
          <w:tcPr>
            <w:tcW w:w="1243" w:type="dxa"/>
            <w:gridSpan w:val="2"/>
            <w:tcBorders>
              <w:top w:val="single" w:sz="4" w:space="0" w:color="0079C1" w:themeColor="text2"/>
              <w:left w:val="nil"/>
              <w:bottom w:val="single" w:sz="4" w:space="0" w:color="BFE7FF" w:themeColor="text2" w:themeTint="33"/>
            </w:tcBorders>
            <w:shd w:val="clear" w:color="auto" w:fill="0079C1" w:themeFill="text2"/>
          </w:tcPr>
          <w:p w14:paraId="1B3E6DEB" w14:textId="77777777" w:rsidR="00655E7B" w:rsidRPr="0035210F"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35210F">
              <w:rPr>
                <w:rFonts w:eastAsiaTheme="minorHAnsi" w:cs="Calibri"/>
                <w:b/>
                <w:color w:val="FFFFFF" w:themeColor="background1"/>
                <w:sz w:val="20"/>
                <w:szCs w:val="20"/>
                <w:lang w:eastAsia="en-AU"/>
              </w:rPr>
              <w:t>Repeat</w:t>
            </w:r>
          </w:p>
        </w:tc>
        <w:tc>
          <w:tcPr>
            <w:tcW w:w="1529" w:type="dxa"/>
            <w:gridSpan w:val="4"/>
            <w:tcBorders>
              <w:top w:val="single" w:sz="4" w:space="0" w:color="0079C1" w:themeColor="text2"/>
              <w:bottom w:val="single" w:sz="4" w:space="0" w:color="BFE7FF" w:themeColor="text2" w:themeTint="33"/>
            </w:tcBorders>
            <w:shd w:val="clear" w:color="auto" w:fill="0079C1" w:themeFill="text2"/>
          </w:tcPr>
          <w:p w14:paraId="450B99E0" w14:textId="77777777" w:rsidR="00655E7B" w:rsidRPr="0035210F" w:rsidRDefault="00655E7B" w:rsidP="004B28FE">
            <w:pPr>
              <w:keepLines/>
              <w:tabs>
                <w:tab w:val="left" w:pos="318"/>
              </w:tabs>
              <w:spacing w:before="120" w:after="120"/>
              <w:rPr>
                <w:rFonts w:eastAsiaTheme="minorHAnsi" w:cs="Calibri"/>
                <w:b/>
                <w:color w:val="FFFFFF" w:themeColor="background1"/>
                <w:sz w:val="20"/>
                <w:szCs w:val="20"/>
                <w:lang w:eastAsia="en-AU"/>
              </w:rPr>
            </w:pPr>
          </w:p>
        </w:tc>
        <w:tc>
          <w:tcPr>
            <w:tcW w:w="1589" w:type="dxa"/>
            <w:gridSpan w:val="3"/>
            <w:tcBorders>
              <w:top w:val="single" w:sz="4" w:space="0" w:color="0079C1" w:themeColor="text2"/>
              <w:bottom w:val="single" w:sz="4" w:space="0" w:color="BFE7FF" w:themeColor="text2" w:themeTint="33"/>
            </w:tcBorders>
            <w:shd w:val="clear" w:color="auto" w:fill="0079C1" w:themeFill="text2"/>
          </w:tcPr>
          <w:p w14:paraId="691B077B" w14:textId="77777777" w:rsidR="00655E7B" w:rsidRPr="0035210F"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p>
        </w:tc>
      </w:tr>
      <w:tr w:rsidR="00655E7B" w:rsidRPr="0035210F" w14:paraId="44E0E047" w14:textId="77777777" w:rsidTr="008E7495">
        <w:trPr>
          <w:tblHeader/>
        </w:trPr>
        <w:tc>
          <w:tcPr>
            <w:tcW w:w="2302" w:type="dxa"/>
            <w:vMerge/>
          </w:tcPr>
          <w:p w14:paraId="4FE77273" w14:textId="77777777" w:rsidR="00655E7B" w:rsidRPr="0035210F" w:rsidRDefault="00655E7B" w:rsidP="004B28FE">
            <w:pPr>
              <w:tabs>
                <w:tab w:val="left" w:pos="318"/>
              </w:tabs>
              <w:spacing w:before="60" w:after="60"/>
              <w:rPr>
                <w:rFonts w:cs="Arial"/>
                <w:color w:val="333333"/>
                <w:sz w:val="20"/>
                <w:szCs w:val="20"/>
              </w:rPr>
            </w:pPr>
          </w:p>
        </w:tc>
        <w:tc>
          <w:tcPr>
            <w:tcW w:w="595" w:type="dxa"/>
            <w:tcBorders>
              <w:top w:val="single" w:sz="4" w:space="0" w:color="BFE7FF" w:themeColor="text2" w:themeTint="33"/>
            </w:tcBorders>
            <w:shd w:val="clear" w:color="auto" w:fill="0079C1" w:themeFill="text2"/>
          </w:tcPr>
          <w:p w14:paraId="7D1E9857" w14:textId="77777777" w:rsidR="00655E7B" w:rsidRPr="0035210F"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35210F">
              <w:rPr>
                <w:rFonts w:eastAsiaTheme="minorHAnsi" w:cs="Calibri"/>
                <w:b/>
                <w:color w:val="FFFFFF" w:themeColor="background1"/>
                <w:sz w:val="20"/>
                <w:szCs w:val="20"/>
                <w:lang w:eastAsia="en-AU"/>
              </w:rPr>
              <w:t>n</w:t>
            </w:r>
          </w:p>
        </w:tc>
        <w:tc>
          <w:tcPr>
            <w:tcW w:w="922" w:type="dxa"/>
            <w:tcBorders>
              <w:top w:val="single" w:sz="4" w:space="0" w:color="BFE7FF" w:themeColor="text2" w:themeTint="33"/>
            </w:tcBorders>
            <w:shd w:val="clear" w:color="auto" w:fill="0079C1" w:themeFill="text2"/>
          </w:tcPr>
          <w:p w14:paraId="19C73765" w14:textId="77777777" w:rsidR="00655E7B" w:rsidRPr="0035210F"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35210F">
              <w:rPr>
                <w:rFonts w:eastAsiaTheme="minorHAnsi" w:cs="Calibri"/>
                <w:b/>
                <w:color w:val="FFFFFF" w:themeColor="background1"/>
                <w:sz w:val="20"/>
                <w:szCs w:val="20"/>
                <w:lang w:eastAsia="en-AU"/>
              </w:rPr>
              <w:t>%</w:t>
            </w:r>
          </w:p>
        </w:tc>
        <w:tc>
          <w:tcPr>
            <w:tcW w:w="637" w:type="dxa"/>
            <w:gridSpan w:val="2"/>
            <w:tcBorders>
              <w:top w:val="single" w:sz="4" w:space="0" w:color="BFE7FF" w:themeColor="text2" w:themeTint="33"/>
            </w:tcBorders>
            <w:shd w:val="clear" w:color="auto" w:fill="0079C1" w:themeFill="text2"/>
          </w:tcPr>
          <w:p w14:paraId="0AA4E5DA" w14:textId="77777777" w:rsidR="00655E7B" w:rsidRPr="0035210F"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35210F">
              <w:rPr>
                <w:rFonts w:eastAsiaTheme="minorHAnsi" w:cs="Calibri"/>
                <w:b/>
                <w:color w:val="FFFFFF" w:themeColor="background1"/>
                <w:sz w:val="20"/>
                <w:szCs w:val="20"/>
                <w:lang w:eastAsia="en-AU"/>
              </w:rPr>
              <w:t>n</w:t>
            </w:r>
          </w:p>
        </w:tc>
        <w:tc>
          <w:tcPr>
            <w:tcW w:w="965" w:type="dxa"/>
            <w:tcBorders>
              <w:top w:val="single" w:sz="4" w:space="0" w:color="BFE7FF" w:themeColor="text2" w:themeTint="33"/>
            </w:tcBorders>
            <w:shd w:val="clear" w:color="auto" w:fill="0079C1" w:themeFill="text2"/>
          </w:tcPr>
          <w:p w14:paraId="73128C99" w14:textId="77777777" w:rsidR="00655E7B" w:rsidRPr="0035210F"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35210F">
              <w:rPr>
                <w:rFonts w:eastAsiaTheme="minorHAnsi" w:cs="Calibri"/>
                <w:b/>
                <w:color w:val="FFFFFF" w:themeColor="background1"/>
                <w:sz w:val="20"/>
                <w:szCs w:val="20"/>
                <w:lang w:eastAsia="en-AU"/>
              </w:rPr>
              <w:t>%</w:t>
            </w:r>
          </w:p>
        </w:tc>
        <w:tc>
          <w:tcPr>
            <w:tcW w:w="589" w:type="dxa"/>
            <w:tcBorders>
              <w:top w:val="single" w:sz="4" w:space="0" w:color="BFE7FF" w:themeColor="text2" w:themeTint="33"/>
            </w:tcBorders>
            <w:shd w:val="clear" w:color="auto" w:fill="0079C1" w:themeFill="text2"/>
          </w:tcPr>
          <w:p w14:paraId="29A8B076" w14:textId="77777777" w:rsidR="00655E7B" w:rsidRPr="0035210F"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35210F">
              <w:rPr>
                <w:rFonts w:eastAsiaTheme="minorHAnsi" w:cs="Calibri"/>
                <w:b/>
                <w:color w:val="FFFFFF" w:themeColor="background1"/>
                <w:sz w:val="20"/>
                <w:szCs w:val="20"/>
                <w:lang w:eastAsia="en-AU"/>
              </w:rPr>
              <w:t>n</w:t>
            </w:r>
          </w:p>
        </w:tc>
        <w:tc>
          <w:tcPr>
            <w:tcW w:w="933" w:type="dxa"/>
            <w:gridSpan w:val="2"/>
            <w:tcBorders>
              <w:top w:val="single" w:sz="4" w:space="0" w:color="BFE7FF" w:themeColor="text2" w:themeTint="33"/>
            </w:tcBorders>
            <w:shd w:val="clear" w:color="auto" w:fill="0079C1" w:themeFill="text2"/>
          </w:tcPr>
          <w:p w14:paraId="4786617A" w14:textId="77777777" w:rsidR="00655E7B" w:rsidRPr="0035210F"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35210F">
              <w:rPr>
                <w:rFonts w:eastAsiaTheme="minorHAnsi" w:cs="Calibri"/>
                <w:b/>
                <w:color w:val="FFFFFF" w:themeColor="background1"/>
                <w:sz w:val="20"/>
                <w:szCs w:val="20"/>
                <w:lang w:eastAsia="en-AU"/>
              </w:rPr>
              <w:t>%</w:t>
            </w:r>
          </w:p>
        </w:tc>
        <w:tc>
          <w:tcPr>
            <w:tcW w:w="620" w:type="dxa"/>
            <w:gridSpan w:val="2"/>
            <w:tcBorders>
              <w:top w:val="single" w:sz="4" w:space="0" w:color="BFE7FF" w:themeColor="text2" w:themeTint="33"/>
              <w:bottom w:val="nil"/>
            </w:tcBorders>
            <w:shd w:val="clear" w:color="auto" w:fill="0079C1" w:themeFill="text2"/>
          </w:tcPr>
          <w:p w14:paraId="09567185" w14:textId="77777777" w:rsidR="00655E7B" w:rsidRPr="0035210F"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35210F">
              <w:rPr>
                <w:rFonts w:eastAsiaTheme="minorHAnsi" w:cs="Calibri"/>
                <w:b/>
                <w:color w:val="FFFFFF" w:themeColor="background1"/>
                <w:sz w:val="20"/>
                <w:szCs w:val="20"/>
                <w:lang w:eastAsia="en-AU"/>
              </w:rPr>
              <w:t>n</w:t>
            </w:r>
          </w:p>
        </w:tc>
        <w:tc>
          <w:tcPr>
            <w:tcW w:w="976" w:type="dxa"/>
            <w:gridSpan w:val="2"/>
            <w:tcBorders>
              <w:top w:val="single" w:sz="4" w:space="0" w:color="BFE7FF" w:themeColor="text2" w:themeTint="33"/>
              <w:bottom w:val="nil"/>
            </w:tcBorders>
            <w:shd w:val="clear" w:color="auto" w:fill="0079C1" w:themeFill="text2"/>
          </w:tcPr>
          <w:p w14:paraId="544DB9E1" w14:textId="77777777" w:rsidR="00655E7B" w:rsidRPr="0035210F"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35210F">
              <w:rPr>
                <w:rFonts w:eastAsiaTheme="minorHAnsi" w:cs="Calibri"/>
                <w:b/>
                <w:color w:val="FFFFFF" w:themeColor="background1"/>
                <w:sz w:val="20"/>
                <w:szCs w:val="20"/>
                <w:lang w:eastAsia="en-AU"/>
              </w:rPr>
              <w:t>%</w:t>
            </w:r>
          </w:p>
        </w:tc>
      </w:tr>
      <w:tr w:rsidR="00655E7B" w:rsidRPr="0035210F" w14:paraId="4CE1EA10" w14:textId="77777777" w:rsidTr="00E87FF5">
        <w:trPr>
          <w:trHeight w:val="249"/>
        </w:trPr>
        <w:tc>
          <w:tcPr>
            <w:tcW w:w="2302" w:type="dxa"/>
            <w:tcBorders>
              <w:top w:val="single" w:sz="4" w:space="0" w:color="0079C1" w:themeColor="text2"/>
              <w:right w:val="single" w:sz="4" w:space="0" w:color="0079C1"/>
            </w:tcBorders>
            <w:shd w:val="clear" w:color="auto" w:fill="auto"/>
          </w:tcPr>
          <w:p w14:paraId="0208E115" w14:textId="77777777" w:rsidR="00655E7B" w:rsidRPr="0035210F" w:rsidRDefault="00655E7B" w:rsidP="004B28FE">
            <w:pPr>
              <w:tabs>
                <w:tab w:val="left" w:pos="318"/>
              </w:tabs>
              <w:spacing w:before="60" w:after="60"/>
              <w:rPr>
                <w:rFonts w:asciiTheme="minorHAnsi" w:hAnsiTheme="minorHAnsi"/>
                <w:color w:val="333333"/>
                <w:sz w:val="20"/>
                <w:szCs w:val="20"/>
              </w:rPr>
            </w:pPr>
            <w:r w:rsidRPr="0035210F">
              <w:rPr>
                <w:rFonts w:asciiTheme="minorHAnsi" w:hAnsiTheme="minorHAnsi"/>
                <w:color w:val="333333"/>
                <w:sz w:val="20"/>
                <w:szCs w:val="20"/>
              </w:rPr>
              <w:t>Yes</w:t>
            </w:r>
          </w:p>
        </w:tc>
        <w:tc>
          <w:tcPr>
            <w:tcW w:w="595" w:type="dxa"/>
            <w:tcBorders>
              <w:top w:val="single" w:sz="4" w:space="0" w:color="0079C1" w:themeColor="text2"/>
              <w:left w:val="single" w:sz="4" w:space="0" w:color="0079C1"/>
            </w:tcBorders>
            <w:shd w:val="clear" w:color="auto" w:fill="auto"/>
            <w:vAlign w:val="center"/>
          </w:tcPr>
          <w:p w14:paraId="29AF9B93" w14:textId="77777777" w:rsidR="00655E7B" w:rsidRPr="0035210F" w:rsidRDefault="00655E7B" w:rsidP="004B28FE">
            <w:pPr>
              <w:tabs>
                <w:tab w:val="left" w:pos="318"/>
              </w:tabs>
              <w:spacing w:before="60" w:after="60"/>
              <w:jc w:val="center"/>
              <w:rPr>
                <w:rFonts w:asciiTheme="minorHAnsi" w:hAnsiTheme="minorHAnsi"/>
                <w:color w:val="333333"/>
                <w:sz w:val="20"/>
                <w:szCs w:val="20"/>
              </w:rPr>
            </w:pPr>
            <w:r w:rsidRPr="0035210F">
              <w:rPr>
                <w:color w:val="333333"/>
                <w:sz w:val="20"/>
                <w:szCs w:val="20"/>
              </w:rPr>
              <w:t>22</w:t>
            </w:r>
          </w:p>
        </w:tc>
        <w:tc>
          <w:tcPr>
            <w:tcW w:w="922" w:type="dxa"/>
            <w:tcBorders>
              <w:top w:val="single" w:sz="4" w:space="0" w:color="0079C1" w:themeColor="text2"/>
              <w:right w:val="single" w:sz="4" w:space="0" w:color="0079C1"/>
            </w:tcBorders>
            <w:shd w:val="clear" w:color="auto" w:fill="auto"/>
            <w:vAlign w:val="center"/>
          </w:tcPr>
          <w:p w14:paraId="50F0320B" w14:textId="77777777" w:rsidR="00655E7B" w:rsidRPr="0035210F" w:rsidRDefault="00655E7B" w:rsidP="004B28FE">
            <w:pPr>
              <w:tabs>
                <w:tab w:val="left" w:pos="318"/>
              </w:tabs>
              <w:spacing w:before="60" w:after="60"/>
              <w:jc w:val="center"/>
              <w:rPr>
                <w:rFonts w:asciiTheme="minorHAnsi" w:hAnsiTheme="minorHAnsi"/>
                <w:color w:val="333333"/>
                <w:sz w:val="20"/>
                <w:szCs w:val="20"/>
              </w:rPr>
            </w:pPr>
            <w:r w:rsidRPr="0035210F">
              <w:rPr>
                <w:color w:val="333333"/>
                <w:sz w:val="20"/>
                <w:szCs w:val="20"/>
              </w:rPr>
              <w:t>20.4%</w:t>
            </w:r>
          </w:p>
        </w:tc>
        <w:tc>
          <w:tcPr>
            <w:tcW w:w="637" w:type="dxa"/>
            <w:gridSpan w:val="2"/>
            <w:tcBorders>
              <w:top w:val="single" w:sz="4" w:space="0" w:color="0079C1" w:themeColor="text2"/>
              <w:left w:val="single" w:sz="4" w:space="0" w:color="0079C1"/>
            </w:tcBorders>
            <w:shd w:val="clear" w:color="auto" w:fill="auto"/>
            <w:vAlign w:val="center"/>
          </w:tcPr>
          <w:p w14:paraId="29BCA019" w14:textId="77777777" w:rsidR="00655E7B" w:rsidRPr="0035210F" w:rsidRDefault="00655E7B" w:rsidP="004B28FE">
            <w:pPr>
              <w:tabs>
                <w:tab w:val="left" w:pos="318"/>
              </w:tabs>
              <w:spacing w:before="60" w:after="60"/>
              <w:jc w:val="center"/>
              <w:rPr>
                <w:rFonts w:asciiTheme="minorHAnsi" w:hAnsiTheme="minorHAnsi"/>
                <w:color w:val="333333"/>
                <w:sz w:val="20"/>
                <w:szCs w:val="20"/>
              </w:rPr>
            </w:pPr>
            <w:r w:rsidRPr="0035210F">
              <w:rPr>
                <w:color w:val="333333"/>
                <w:sz w:val="20"/>
                <w:szCs w:val="20"/>
              </w:rPr>
              <w:t>9</w:t>
            </w:r>
          </w:p>
        </w:tc>
        <w:tc>
          <w:tcPr>
            <w:tcW w:w="965" w:type="dxa"/>
            <w:tcBorders>
              <w:top w:val="single" w:sz="4" w:space="0" w:color="0079C1" w:themeColor="text2"/>
              <w:right w:val="single" w:sz="4" w:space="0" w:color="0079C1"/>
            </w:tcBorders>
            <w:shd w:val="clear" w:color="auto" w:fill="auto"/>
            <w:vAlign w:val="center"/>
          </w:tcPr>
          <w:p w14:paraId="4456993A" w14:textId="77777777" w:rsidR="00655E7B" w:rsidRPr="0035210F" w:rsidRDefault="00655E7B" w:rsidP="004B28FE">
            <w:pPr>
              <w:tabs>
                <w:tab w:val="left" w:pos="318"/>
              </w:tabs>
              <w:spacing w:before="60" w:after="60"/>
              <w:jc w:val="center"/>
              <w:rPr>
                <w:rFonts w:asciiTheme="minorHAnsi" w:hAnsiTheme="minorHAnsi"/>
                <w:color w:val="333333"/>
                <w:sz w:val="20"/>
                <w:szCs w:val="20"/>
              </w:rPr>
            </w:pPr>
            <w:r w:rsidRPr="0035210F">
              <w:rPr>
                <w:color w:val="333333"/>
                <w:sz w:val="20"/>
                <w:szCs w:val="20"/>
              </w:rPr>
              <w:t>47.4%</w:t>
            </w:r>
          </w:p>
        </w:tc>
        <w:tc>
          <w:tcPr>
            <w:tcW w:w="589" w:type="dxa"/>
            <w:tcBorders>
              <w:top w:val="nil"/>
              <w:left w:val="single" w:sz="4" w:space="0" w:color="0079C1"/>
            </w:tcBorders>
            <w:shd w:val="clear" w:color="auto" w:fill="auto"/>
            <w:vAlign w:val="center"/>
          </w:tcPr>
          <w:p w14:paraId="49411E1C" w14:textId="77777777" w:rsidR="00655E7B" w:rsidRPr="0035210F" w:rsidRDefault="00655E7B" w:rsidP="004B28FE">
            <w:pPr>
              <w:tabs>
                <w:tab w:val="left" w:pos="318"/>
              </w:tabs>
              <w:spacing w:before="60" w:after="60"/>
              <w:jc w:val="center"/>
              <w:rPr>
                <w:rFonts w:asciiTheme="minorHAnsi" w:hAnsiTheme="minorHAnsi"/>
                <w:color w:val="333333"/>
                <w:sz w:val="20"/>
                <w:szCs w:val="20"/>
              </w:rPr>
            </w:pPr>
            <w:r w:rsidRPr="0035210F">
              <w:rPr>
                <w:rFonts w:asciiTheme="minorHAnsi" w:hAnsiTheme="minorHAnsi"/>
                <w:color w:val="333333"/>
                <w:sz w:val="20"/>
                <w:szCs w:val="20"/>
              </w:rPr>
              <w:t>-</w:t>
            </w:r>
          </w:p>
        </w:tc>
        <w:tc>
          <w:tcPr>
            <w:tcW w:w="933" w:type="dxa"/>
            <w:gridSpan w:val="2"/>
            <w:tcBorders>
              <w:top w:val="nil"/>
              <w:right w:val="single" w:sz="4" w:space="0" w:color="0079C1"/>
            </w:tcBorders>
            <w:shd w:val="clear" w:color="auto" w:fill="auto"/>
            <w:vAlign w:val="center"/>
          </w:tcPr>
          <w:p w14:paraId="622D026B" w14:textId="77777777" w:rsidR="00655E7B" w:rsidRPr="0035210F" w:rsidRDefault="00655E7B" w:rsidP="004B28FE">
            <w:pPr>
              <w:tabs>
                <w:tab w:val="left" w:pos="318"/>
              </w:tabs>
              <w:spacing w:before="60" w:after="60"/>
              <w:jc w:val="center"/>
              <w:rPr>
                <w:rFonts w:asciiTheme="minorHAnsi" w:hAnsiTheme="minorHAnsi"/>
                <w:color w:val="333333"/>
                <w:sz w:val="20"/>
                <w:szCs w:val="20"/>
              </w:rPr>
            </w:pPr>
            <w:r w:rsidRPr="0035210F">
              <w:rPr>
                <w:color w:val="333333"/>
                <w:sz w:val="20"/>
                <w:szCs w:val="20"/>
              </w:rPr>
              <w:t>0.0%</w:t>
            </w:r>
          </w:p>
        </w:tc>
        <w:tc>
          <w:tcPr>
            <w:tcW w:w="620" w:type="dxa"/>
            <w:gridSpan w:val="2"/>
            <w:tcBorders>
              <w:top w:val="nil"/>
              <w:left w:val="single" w:sz="4" w:space="0" w:color="0079C1"/>
            </w:tcBorders>
            <w:shd w:val="clear" w:color="auto" w:fill="auto"/>
          </w:tcPr>
          <w:p w14:paraId="73C2B270" w14:textId="77777777" w:rsidR="00655E7B" w:rsidRPr="0035210F" w:rsidRDefault="00655E7B" w:rsidP="004B28FE">
            <w:pPr>
              <w:tabs>
                <w:tab w:val="left" w:pos="318"/>
              </w:tabs>
              <w:spacing w:before="60" w:after="60"/>
              <w:jc w:val="center"/>
              <w:rPr>
                <w:rFonts w:asciiTheme="minorHAnsi" w:hAnsiTheme="minorHAnsi"/>
                <w:color w:val="333333"/>
                <w:sz w:val="20"/>
                <w:szCs w:val="20"/>
              </w:rPr>
            </w:pPr>
            <w:r w:rsidRPr="0035210F">
              <w:rPr>
                <w:sz w:val="20"/>
                <w:szCs w:val="20"/>
              </w:rPr>
              <w:t>31</w:t>
            </w:r>
          </w:p>
        </w:tc>
        <w:tc>
          <w:tcPr>
            <w:tcW w:w="976" w:type="dxa"/>
            <w:gridSpan w:val="2"/>
            <w:tcBorders>
              <w:top w:val="nil"/>
            </w:tcBorders>
            <w:shd w:val="clear" w:color="auto" w:fill="auto"/>
          </w:tcPr>
          <w:p w14:paraId="0F445E4A" w14:textId="77777777" w:rsidR="00655E7B" w:rsidRPr="0035210F" w:rsidRDefault="00655E7B" w:rsidP="004B28FE">
            <w:pPr>
              <w:tabs>
                <w:tab w:val="left" w:pos="318"/>
              </w:tabs>
              <w:spacing w:before="60" w:after="60"/>
              <w:jc w:val="center"/>
              <w:rPr>
                <w:rFonts w:asciiTheme="minorHAnsi" w:hAnsiTheme="minorHAnsi"/>
                <w:color w:val="333333"/>
                <w:sz w:val="20"/>
                <w:szCs w:val="20"/>
              </w:rPr>
            </w:pPr>
            <w:r w:rsidRPr="0035210F">
              <w:rPr>
                <w:sz w:val="20"/>
                <w:szCs w:val="20"/>
              </w:rPr>
              <w:t>21.1%</w:t>
            </w:r>
          </w:p>
        </w:tc>
      </w:tr>
      <w:tr w:rsidR="00655E7B" w:rsidRPr="0035210F" w14:paraId="0ACAFF13" w14:textId="77777777" w:rsidTr="00E87FF5">
        <w:tc>
          <w:tcPr>
            <w:tcW w:w="2302" w:type="dxa"/>
            <w:tcBorders>
              <w:right w:val="single" w:sz="4" w:space="0" w:color="0079C1"/>
            </w:tcBorders>
            <w:shd w:val="clear" w:color="auto" w:fill="auto"/>
          </w:tcPr>
          <w:p w14:paraId="11DD55F6" w14:textId="77777777" w:rsidR="00655E7B" w:rsidRPr="0035210F" w:rsidRDefault="00655E7B" w:rsidP="004B28FE">
            <w:pPr>
              <w:tabs>
                <w:tab w:val="left" w:pos="318"/>
              </w:tabs>
              <w:spacing w:before="60" w:after="60"/>
              <w:rPr>
                <w:rFonts w:asciiTheme="minorHAnsi" w:hAnsiTheme="minorHAnsi"/>
                <w:color w:val="000000" w:themeColor="text1"/>
                <w:sz w:val="20"/>
                <w:szCs w:val="20"/>
              </w:rPr>
            </w:pPr>
            <w:r w:rsidRPr="0035210F">
              <w:rPr>
                <w:rFonts w:asciiTheme="minorHAnsi" w:hAnsiTheme="minorHAnsi"/>
                <w:color w:val="333333"/>
                <w:sz w:val="20"/>
                <w:szCs w:val="20"/>
              </w:rPr>
              <w:t>Open to the option</w:t>
            </w:r>
          </w:p>
        </w:tc>
        <w:tc>
          <w:tcPr>
            <w:tcW w:w="595" w:type="dxa"/>
            <w:tcBorders>
              <w:left w:val="single" w:sz="4" w:space="0" w:color="0079C1"/>
            </w:tcBorders>
            <w:shd w:val="clear" w:color="auto" w:fill="auto"/>
            <w:vAlign w:val="center"/>
          </w:tcPr>
          <w:p w14:paraId="7337724A" w14:textId="77777777" w:rsidR="00655E7B" w:rsidRPr="0035210F" w:rsidRDefault="00655E7B" w:rsidP="004B28FE">
            <w:pPr>
              <w:tabs>
                <w:tab w:val="left" w:pos="318"/>
              </w:tabs>
              <w:spacing w:before="60" w:after="60"/>
              <w:jc w:val="center"/>
              <w:rPr>
                <w:rFonts w:asciiTheme="minorHAnsi" w:hAnsiTheme="minorHAnsi" w:cstheme="minorHAnsi"/>
                <w:color w:val="000000" w:themeColor="text1"/>
                <w:sz w:val="20"/>
                <w:szCs w:val="20"/>
              </w:rPr>
            </w:pPr>
            <w:r w:rsidRPr="0035210F">
              <w:rPr>
                <w:color w:val="333333"/>
                <w:sz w:val="20"/>
                <w:szCs w:val="20"/>
              </w:rPr>
              <w:t>37</w:t>
            </w:r>
          </w:p>
        </w:tc>
        <w:tc>
          <w:tcPr>
            <w:tcW w:w="922" w:type="dxa"/>
            <w:tcBorders>
              <w:right w:val="single" w:sz="4" w:space="0" w:color="0079C1"/>
            </w:tcBorders>
            <w:shd w:val="clear" w:color="auto" w:fill="auto"/>
            <w:vAlign w:val="center"/>
          </w:tcPr>
          <w:p w14:paraId="31287C5E" w14:textId="77777777" w:rsidR="00655E7B" w:rsidRPr="0035210F" w:rsidRDefault="00655E7B" w:rsidP="004B28FE">
            <w:pPr>
              <w:tabs>
                <w:tab w:val="left" w:pos="318"/>
              </w:tabs>
              <w:spacing w:before="60" w:after="60"/>
              <w:jc w:val="center"/>
              <w:rPr>
                <w:rFonts w:asciiTheme="minorHAnsi" w:hAnsiTheme="minorHAnsi" w:cstheme="minorHAnsi"/>
                <w:color w:val="000000" w:themeColor="text1"/>
                <w:sz w:val="20"/>
                <w:szCs w:val="20"/>
              </w:rPr>
            </w:pPr>
            <w:r w:rsidRPr="0035210F">
              <w:rPr>
                <w:color w:val="333333"/>
                <w:sz w:val="20"/>
                <w:szCs w:val="20"/>
              </w:rPr>
              <w:t>34.3%</w:t>
            </w:r>
          </w:p>
        </w:tc>
        <w:tc>
          <w:tcPr>
            <w:tcW w:w="637" w:type="dxa"/>
            <w:gridSpan w:val="2"/>
            <w:tcBorders>
              <w:left w:val="single" w:sz="4" w:space="0" w:color="0079C1"/>
            </w:tcBorders>
            <w:shd w:val="clear" w:color="auto" w:fill="auto"/>
            <w:vAlign w:val="center"/>
          </w:tcPr>
          <w:p w14:paraId="7937E2CF" w14:textId="77777777" w:rsidR="00655E7B" w:rsidRPr="0035210F" w:rsidRDefault="00655E7B" w:rsidP="004B28FE">
            <w:pPr>
              <w:tabs>
                <w:tab w:val="left" w:pos="318"/>
              </w:tabs>
              <w:spacing w:before="60" w:after="60"/>
              <w:jc w:val="center"/>
              <w:rPr>
                <w:rFonts w:asciiTheme="minorHAnsi" w:hAnsiTheme="minorHAnsi" w:cstheme="minorHAnsi"/>
                <w:color w:val="000000" w:themeColor="text1"/>
                <w:sz w:val="20"/>
                <w:szCs w:val="20"/>
              </w:rPr>
            </w:pPr>
            <w:r w:rsidRPr="0035210F">
              <w:rPr>
                <w:color w:val="333333"/>
                <w:sz w:val="20"/>
                <w:szCs w:val="20"/>
              </w:rPr>
              <w:t>7</w:t>
            </w:r>
          </w:p>
        </w:tc>
        <w:tc>
          <w:tcPr>
            <w:tcW w:w="965" w:type="dxa"/>
            <w:tcBorders>
              <w:right w:val="single" w:sz="4" w:space="0" w:color="0079C1"/>
            </w:tcBorders>
            <w:shd w:val="clear" w:color="auto" w:fill="auto"/>
            <w:vAlign w:val="center"/>
          </w:tcPr>
          <w:p w14:paraId="70051608" w14:textId="77777777" w:rsidR="00655E7B" w:rsidRPr="0035210F" w:rsidRDefault="00655E7B" w:rsidP="004B28FE">
            <w:pPr>
              <w:tabs>
                <w:tab w:val="left" w:pos="318"/>
              </w:tabs>
              <w:spacing w:before="60" w:after="60"/>
              <w:jc w:val="center"/>
              <w:rPr>
                <w:rFonts w:asciiTheme="minorHAnsi" w:hAnsiTheme="minorHAnsi" w:cstheme="minorHAnsi"/>
                <w:color w:val="000000" w:themeColor="text1"/>
                <w:sz w:val="20"/>
                <w:szCs w:val="20"/>
              </w:rPr>
            </w:pPr>
            <w:r w:rsidRPr="0035210F">
              <w:rPr>
                <w:color w:val="333333"/>
                <w:sz w:val="20"/>
                <w:szCs w:val="20"/>
              </w:rPr>
              <w:t>36.8%</w:t>
            </w:r>
          </w:p>
        </w:tc>
        <w:tc>
          <w:tcPr>
            <w:tcW w:w="589" w:type="dxa"/>
            <w:tcBorders>
              <w:left w:val="single" w:sz="4" w:space="0" w:color="0079C1"/>
            </w:tcBorders>
            <w:shd w:val="clear" w:color="auto" w:fill="auto"/>
            <w:vAlign w:val="center"/>
          </w:tcPr>
          <w:p w14:paraId="0E2B3469" w14:textId="77777777" w:rsidR="00655E7B" w:rsidRPr="0035210F" w:rsidRDefault="00655E7B" w:rsidP="004B28FE">
            <w:pPr>
              <w:tabs>
                <w:tab w:val="left" w:pos="318"/>
              </w:tabs>
              <w:spacing w:before="60" w:after="60"/>
              <w:jc w:val="center"/>
              <w:rPr>
                <w:rFonts w:asciiTheme="minorHAnsi" w:hAnsiTheme="minorHAnsi" w:cstheme="minorHAnsi"/>
                <w:color w:val="000000" w:themeColor="text1"/>
                <w:sz w:val="20"/>
                <w:szCs w:val="20"/>
              </w:rPr>
            </w:pPr>
            <w:r w:rsidRPr="0035210F">
              <w:rPr>
                <w:color w:val="333333"/>
                <w:sz w:val="20"/>
                <w:szCs w:val="20"/>
              </w:rPr>
              <w:t>5</w:t>
            </w:r>
          </w:p>
        </w:tc>
        <w:tc>
          <w:tcPr>
            <w:tcW w:w="933" w:type="dxa"/>
            <w:gridSpan w:val="2"/>
            <w:tcBorders>
              <w:right w:val="single" w:sz="4" w:space="0" w:color="0079C1"/>
            </w:tcBorders>
            <w:shd w:val="clear" w:color="auto" w:fill="auto"/>
            <w:vAlign w:val="center"/>
          </w:tcPr>
          <w:p w14:paraId="2A864B3B" w14:textId="77777777" w:rsidR="00655E7B" w:rsidRPr="0035210F" w:rsidRDefault="00655E7B" w:rsidP="004B28FE">
            <w:pPr>
              <w:tabs>
                <w:tab w:val="left" w:pos="318"/>
              </w:tabs>
              <w:spacing w:before="60" w:after="60"/>
              <w:jc w:val="center"/>
              <w:rPr>
                <w:rFonts w:asciiTheme="minorHAnsi" w:hAnsiTheme="minorHAnsi" w:cstheme="minorHAnsi"/>
                <w:color w:val="000000" w:themeColor="text1"/>
                <w:sz w:val="20"/>
                <w:szCs w:val="20"/>
              </w:rPr>
            </w:pPr>
            <w:r w:rsidRPr="0035210F">
              <w:rPr>
                <w:color w:val="333333"/>
                <w:sz w:val="20"/>
                <w:szCs w:val="20"/>
              </w:rPr>
              <w:t>25.0%</w:t>
            </w:r>
          </w:p>
        </w:tc>
        <w:tc>
          <w:tcPr>
            <w:tcW w:w="620" w:type="dxa"/>
            <w:gridSpan w:val="2"/>
            <w:tcBorders>
              <w:left w:val="single" w:sz="4" w:space="0" w:color="0079C1"/>
            </w:tcBorders>
            <w:shd w:val="clear" w:color="auto" w:fill="auto"/>
          </w:tcPr>
          <w:p w14:paraId="7D00DAEA" w14:textId="77777777" w:rsidR="00655E7B" w:rsidRPr="0035210F" w:rsidRDefault="00655E7B" w:rsidP="004B28FE">
            <w:pPr>
              <w:tabs>
                <w:tab w:val="left" w:pos="318"/>
              </w:tabs>
              <w:spacing w:before="60" w:after="60"/>
              <w:jc w:val="center"/>
              <w:rPr>
                <w:rFonts w:asciiTheme="minorHAnsi" w:hAnsiTheme="minorHAnsi" w:cstheme="minorHAnsi"/>
                <w:color w:val="000000" w:themeColor="text1"/>
                <w:sz w:val="20"/>
                <w:szCs w:val="20"/>
              </w:rPr>
            </w:pPr>
            <w:r w:rsidRPr="0035210F">
              <w:rPr>
                <w:sz w:val="20"/>
                <w:szCs w:val="20"/>
              </w:rPr>
              <w:t>49</w:t>
            </w:r>
          </w:p>
        </w:tc>
        <w:tc>
          <w:tcPr>
            <w:tcW w:w="976" w:type="dxa"/>
            <w:gridSpan w:val="2"/>
            <w:shd w:val="clear" w:color="auto" w:fill="auto"/>
          </w:tcPr>
          <w:p w14:paraId="24DB43F6" w14:textId="77777777" w:rsidR="00655E7B" w:rsidRPr="0035210F" w:rsidRDefault="00655E7B" w:rsidP="004B28FE">
            <w:pPr>
              <w:tabs>
                <w:tab w:val="left" w:pos="318"/>
              </w:tabs>
              <w:spacing w:before="60" w:after="60"/>
              <w:jc w:val="center"/>
              <w:rPr>
                <w:rFonts w:asciiTheme="minorHAnsi" w:hAnsiTheme="minorHAnsi" w:cstheme="minorHAnsi"/>
                <w:color w:val="000000" w:themeColor="text1"/>
                <w:sz w:val="20"/>
                <w:szCs w:val="20"/>
              </w:rPr>
            </w:pPr>
            <w:r w:rsidRPr="0035210F">
              <w:rPr>
                <w:sz w:val="20"/>
                <w:szCs w:val="20"/>
              </w:rPr>
              <w:t>33.3%</w:t>
            </w:r>
          </w:p>
        </w:tc>
      </w:tr>
      <w:tr w:rsidR="00655E7B" w:rsidRPr="0035210F" w14:paraId="6FA88289" w14:textId="77777777" w:rsidTr="00E87FF5">
        <w:tc>
          <w:tcPr>
            <w:tcW w:w="2302" w:type="dxa"/>
            <w:tcBorders>
              <w:right w:val="single" w:sz="4" w:space="0" w:color="0079C1"/>
            </w:tcBorders>
            <w:shd w:val="clear" w:color="auto" w:fill="E2F4FF" w:themeFill="accent1" w:themeFillTint="33"/>
          </w:tcPr>
          <w:p w14:paraId="28A8330D" w14:textId="77777777" w:rsidR="00655E7B" w:rsidRPr="0035210F" w:rsidDel="00DD0D7C" w:rsidRDefault="00655E7B" w:rsidP="004B28FE">
            <w:pPr>
              <w:tabs>
                <w:tab w:val="left" w:pos="318"/>
              </w:tabs>
              <w:spacing w:before="60" w:after="60"/>
              <w:rPr>
                <w:rStyle w:val="Strong"/>
                <w:sz w:val="20"/>
                <w:szCs w:val="20"/>
              </w:rPr>
            </w:pPr>
            <w:r w:rsidRPr="0035210F">
              <w:rPr>
                <w:rStyle w:val="Strong"/>
                <w:sz w:val="20"/>
                <w:szCs w:val="20"/>
              </w:rPr>
              <w:t xml:space="preserve">Subtotal </w:t>
            </w:r>
          </w:p>
        </w:tc>
        <w:tc>
          <w:tcPr>
            <w:tcW w:w="595" w:type="dxa"/>
            <w:tcBorders>
              <w:left w:val="single" w:sz="4" w:space="0" w:color="0079C1"/>
            </w:tcBorders>
            <w:shd w:val="clear" w:color="auto" w:fill="E2F4FF" w:themeFill="accent1" w:themeFillTint="33"/>
            <w:vAlign w:val="center"/>
          </w:tcPr>
          <w:p w14:paraId="57BB4792" w14:textId="77777777" w:rsidR="00655E7B" w:rsidRPr="0035210F" w:rsidRDefault="00655E7B" w:rsidP="004B28FE">
            <w:pPr>
              <w:tabs>
                <w:tab w:val="left" w:pos="318"/>
              </w:tabs>
              <w:spacing w:before="60" w:after="60"/>
              <w:jc w:val="center"/>
              <w:rPr>
                <w:rStyle w:val="Strong"/>
                <w:rFonts w:asciiTheme="minorHAnsi" w:hAnsiTheme="minorHAnsi"/>
                <w:sz w:val="20"/>
                <w:szCs w:val="20"/>
              </w:rPr>
            </w:pPr>
            <w:r w:rsidRPr="0035210F">
              <w:rPr>
                <w:rStyle w:val="Strong"/>
                <w:rFonts w:asciiTheme="minorHAnsi" w:hAnsiTheme="minorHAnsi"/>
                <w:sz w:val="20"/>
                <w:szCs w:val="20"/>
              </w:rPr>
              <w:t>59</w:t>
            </w:r>
          </w:p>
        </w:tc>
        <w:tc>
          <w:tcPr>
            <w:tcW w:w="922" w:type="dxa"/>
            <w:tcBorders>
              <w:right w:val="single" w:sz="4" w:space="0" w:color="0079C1"/>
            </w:tcBorders>
            <w:shd w:val="clear" w:color="auto" w:fill="E2F4FF" w:themeFill="accent1" w:themeFillTint="33"/>
            <w:vAlign w:val="center"/>
          </w:tcPr>
          <w:p w14:paraId="46B5A1AD" w14:textId="77777777" w:rsidR="00655E7B" w:rsidRPr="0035210F" w:rsidRDefault="00655E7B" w:rsidP="004B28FE">
            <w:pPr>
              <w:tabs>
                <w:tab w:val="left" w:pos="318"/>
              </w:tabs>
              <w:spacing w:before="60" w:after="60"/>
              <w:jc w:val="center"/>
              <w:rPr>
                <w:rStyle w:val="Strong"/>
                <w:rFonts w:asciiTheme="minorHAnsi" w:hAnsiTheme="minorHAnsi"/>
                <w:sz w:val="20"/>
                <w:szCs w:val="20"/>
              </w:rPr>
            </w:pPr>
            <w:r w:rsidRPr="0035210F">
              <w:rPr>
                <w:rStyle w:val="Strong"/>
                <w:rFonts w:asciiTheme="minorHAnsi" w:hAnsiTheme="minorHAnsi"/>
                <w:sz w:val="20"/>
                <w:szCs w:val="20"/>
              </w:rPr>
              <w:t>54.7%</w:t>
            </w:r>
          </w:p>
        </w:tc>
        <w:tc>
          <w:tcPr>
            <w:tcW w:w="637" w:type="dxa"/>
            <w:gridSpan w:val="2"/>
            <w:tcBorders>
              <w:left w:val="single" w:sz="4" w:space="0" w:color="0079C1"/>
            </w:tcBorders>
            <w:shd w:val="clear" w:color="auto" w:fill="E2F4FF" w:themeFill="accent1" w:themeFillTint="33"/>
            <w:vAlign w:val="center"/>
          </w:tcPr>
          <w:p w14:paraId="41084A6E" w14:textId="77777777" w:rsidR="00655E7B" w:rsidRPr="0035210F" w:rsidRDefault="00655E7B" w:rsidP="004B28FE">
            <w:pPr>
              <w:tabs>
                <w:tab w:val="left" w:pos="318"/>
              </w:tabs>
              <w:spacing w:before="60" w:after="60"/>
              <w:jc w:val="center"/>
              <w:rPr>
                <w:rStyle w:val="Strong"/>
                <w:rFonts w:asciiTheme="minorHAnsi" w:hAnsiTheme="minorHAnsi"/>
                <w:sz w:val="20"/>
                <w:szCs w:val="20"/>
              </w:rPr>
            </w:pPr>
            <w:r w:rsidRPr="0035210F">
              <w:rPr>
                <w:rStyle w:val="Strong"/>
                <w:rFonts w:asciiTheme="minorHAnsi" w:hAnsiTheme="minorHAnsi"/>
                <w:sz w:val="20"/>
                <w:szCs w:val="20"/>
              </w:rPr>
              <w:t>16</w:t>
            </w:r>
          </w:p>
        </w:tc>
        <w:tc>
          <w:tcPr>
            <w:tcW w:w="965" w:type="dxa"/>
            <w:tcBorders>
              <w:right w:val="single" w:sz="4" w:space="0" w:color="0079C1"/>
            </w:tcBorders>
            <w:shd w:val="clear" w:color="auto" w:fill="E2F4FF" w:themeFill="accent1" w:themeFillTint="33"/>
            <w:vAlign w:val="center"/>
          </w:tcPr>
          <w:p w14:paraId="761C3CF8" w14:textId="77777777" w:rsidR="00655E7B" w:rsidRPr="0035210F" w:rsidRDefault="00655E7B" w:rsidP="004B28FE">
            <w:pPr>
              <w:tabs>
                <w:tab w:val="left" w:pos="318"/>
              </w:tabs>
              <w:spacing w:before="60" w:after="60"/>
              <w:jc w:val="center"/>
              <w:rPr>
                <w:rStyle w:val="Strong"/>
                <w:rFonts w:asciiTheme="minorHAnsi" w:hAnsiTheme="minorHAnsi"/>
                <w:sz w:val="20"/>
                <w:szCs w:val="20"/>
              </w:rPr>
            </w:pPr>
            <w:r w:rsidRPr="0035210F">
              <w:rPr>
                <w:rStyle w:val="Strong"/>
                <w:rFonts w:asciiTheme="minorHAnsi" w:hAnsiTheme="minorHAnsi"/>
                <w:sz w:val="20"/>
                <w:szCs w:val="20"/>
              </w:rPr>
              <w:t>84.2%</w:t>
            </w:r>
          </w:p>
        </w:tc>
        <w:tc>
          <w:tcPr>
            <w:tcW w:w="589" w:type="dxa"/>
            <w:tcBorders>
              <w:left w:val="single" w:sz="4" w:space="0" w:color="0079C1"/>
            </w:tcBorders>
            <w:shd w:val="clear" w:color="auto" w:fill="E2F4FF" w:themeFill="accent1" w:themeFillTint="33"/>
            <w:vAlign w:val="center"/>
          </w:tcPr>
          <w:p w14:paraId="345BDC39" w14:textId="77777777" w:rsidR="00655E7B" w:rsidRPr="0035210F" w:rsidRDefault="00655E7B" w:rsidP="004B28FE">
            <w:pPr>
              <w:tabs>
                <w:tab w:val="left" w:pos="318"/>
              </w:tabs>
              <w:spacing w:before="60" w:after="60"/>
              <w:jc w:val="center"/>
              <w:rPr>
                <w:rStyle w:val="Strong"/>
                <w:rFonts w:asciiTheme="minorHAnsi" w:hAnsiTheme="minorHAnsi"/>
                <w:sz w:val="20"/>
                <w:szCs w:val="20"/>
              </w:rPr>
            </w:pPr>
            <w:r w:rsidRPr="0035210F">
              <w:rPr>
                <w:rStyle w:val="Strong"/>
                <w:rFonts w:asciiTheme="minorHAnsi" w:hAnsiTheme="minorHAnsi"/>
                <w:sz w:val="20"/>
                <w:szCs w:val="20"/>
              </w:rPr>
              <w:t>5</w:t>
            </w:r>
          </w:p>
        </w:tc>
        <w:tc>
          <w:tcPr>
            <w:tcW w:w="933" w:type="dxa"/>
            <w:gridSpan w:val="2"/>
            <w:tcBorders>
              <w:right w:val="single" w:sz="4" w:space="0" w:color="0079C1"/>
            </w:tcBorders>
            <w:shd w:val="clear" w:color="auto" w:fill="E2F4FF" w:themeFill="accent1" w:themeFillTint="33"/>
            <w:vAlign w:val="center"/>
          </w:tcPr>
          <w:p w14:paraId="431C405D" w14:textId="77777777" w:rsidR="00655E7B" w:rsidRPr="0035210F" w:rsidRDefault="00655E7B" w:rsidP="004B28FE">
            <w:pPr>
              <w:tabs>
                <w:tab w:val="left" w:pos="318"/>
              </w:tabs>
              <w:spacing w:before="60" w:after="60"/>
              <w:jc w:val="center"/>
              <w:rPr>
                <w:rStyle w:val="Strong"/>
                <w:rFonts w:asciiTheme="minorHAnsi" w:hAnsiTheme="minorHAnsi"/>
                <w:sz w:val="20"/>
                <w:szCs w:val="20"/>
              </w:rPr>
            </w:pPr>
            <w:r w:rsidRPr="0035210F">
              <w:rPr>
                <w:rStyle w:val="Strong"/>
                <w:rFonts w:asciiTheme="minorHAnsi" w:hAnsiTheme="minorHAnsi"/>
                <w:sz w:val="20"/>
                <w:szCs w:val="20"/>
              </w:rPr>
              <w:t>25.0%</w:t>
            </w:r>
          </w:p>
        </w:tc>
        <w:tc>
          <w:tcPr>
            <w:tcW w:w="620" w:type="dxa"/>
            <w:gridSpan w:val="2"/>
            <w:tcBorders>
              <w:left w:val="single" w:sz="4" w:space="0" w:color="0079C1"/>
            </w:tcBorders>
            <w:shd w:val="clear" w:color="auto" w:fill="E2F4FF" w:themeFill="accent1" w:themeFillTint="33"/>
          </w:tcPr>
          <w:p w14:paraId="2DDDF878" w14:textId="77777777" w:rsidR="00655E7B" w:rsidRPr="0035210F" w:rsidRDefault="00655E7B" w:rsidP="004B28FE">
            <w:pPr>
              <w:tabs>
                <w:tab w:val="left" w:pos="318"/>
              </w:tabs>
              <w:spacing w:before="60" w:after="60"/>
              <w:jc w:val="center"/>
              <w:rPr>
                <w:rStyle w:val="Strong"/>
                <w:rFonts w:asciiTheme="minorHAnsi" w:hAnsiTheme="minorHAnsi"/>
                <w:sz w:val="20"/>
                <w:szCs w:val="20"/>
              </w:rPr>
            </w:pPr>
            <w:r w:rsidRPr="0035210F">
              <w:rPr>
                <w:sz w:val="20"/>
                <w:szCs w:val="20"/>
              </w:rPr>
              <w:t>80</w:t>
            </w:r>
          </w:p>
        </w:tc>
        <w:tc>
          <w:tcPr>
            <w:tcW w:w="976" w:type="dxa"/>
            <w:gridSpan w:val="2"/>
            <w:shd w:val="clear" w:color="auto" w:fill="E2F4FF" w:themeFill="accent1" w:themeFillTint="33"/>
          </w:tcPr>
          <w:p w14:paraId="3791CE6A" w14:textId="77777777" w:rsidR="00655E7B" w:rsidRPr="0035210F" w:rsidRDefault="00655E7B" w:rsidP="004B28FE">
            <w:pPr>
              <w:tabs>
                <w:tab w:val="left" w:pos="318"/>
              </w:tabs>
              <w:spacing w:before="60" w:after="60"/>
              <w:jc w:val="center"/>
              <w:rPr>
                <w:rStyle w:val="Strong"/>
                <w:rFonts w:asciiTheme="minorHAnsi" w:hAnsiTheme="minorHAnsi"/>
                <w:sz w:val="20"/>
                <w:szCs w:val="20"/>
              </w:rPr>
            </w:pPr>
            <w:r w:rsidRPr="0035210F">
              <w:rPr>
                <w:sz w:val="20"/>
                <w:szCs w:val="20"/>
              </w:rPr>
              <w:t>54.4%</w:t>
            </w:r>
          </w:p>
        </w:tc>
      </w:tr>
      <w:tr w:rsidR="00655E7B" w:rsidRPr="0035210F" w14:paraId="6050903E" w14:textId="77777777" w:rsidTr="00E87FF5">
        <w:tc>
          <w:tcPr>
            <w:tcW w:w="2302" w:type="dxa"/>
            <w:tcBorders>
              <w:right w:val="single" w:sz="4" w:space="0" w:color="0079C1"/>
            </w:tcBorders>
          </w:tcPr>
          <w:p w14:paraId="2EA4AD4B" w14:textId="77777777" w:rsidR="00655E7B" w:rsidRPr="0035210F" w:rsidRDefault="00655E7B" w:rsidP="004B28FE">
            <w:pPr>
              <w:tabs>
                <w:tab w:val="left" w:pos="318"/>
              </w:tabs>
              <w:spacing w:before="60" w:after="60"/>
              <w:rPr>
                <w:rFonts w:asciiTheme="minorHAnsi" w:hAnsiTheme="minorHAnsi"/>
                <w:color w:val="000000" w:themeColor="text1"/>
                <w:sz w:val="20"/>
                <w:szCs w:val="20"/>
              </w:rPr>
            </w:pPr>
            <w:r w:rsidRPr="0035210F">
              <w:rPr>
                <w:rFonts w:asciiTheme="minorHAnsi" w:hAnsiTheme="minorHAnsi"/>
                <w:color w:val="333333"/>
                <w:sz w:val="20"/>
                <w:szCs w:val="20"/>
              </w:rPr>
              <w:t>No</w:t>
            </w:r>
          </w:p>
        </w:tc>
        <w:tc>
          <w:tcPr>
            <w:tcW w:w="595" w:type="dxa"/>
            <w:tcBorders>
              <w:left w:val="single" w:sz="4" w:space="0" w:color="0079C1"/>
            </w:tcBorders>
            <w:vAlign w:val="center"/>
          </w:tcPr>
          <w:p w14:paraId="7E98E2E5" w14:textId="77777777" w:rsidR="00655E7B" w:rsidRPr="0035210F" w:rsidRDefault="00655E7B" w:rsidP="004B28FE">
            <w:pPr>
              <w:tabs>
                <w:tab w:val="left" w:pos="318"/>
              </w:tabs>
              <w:spacing w:before="60" w:after="60"/>
              <w:jc w:val="center"/>
              <w:rPr>
                <w:rFonts w:asciiTheme="minorHAnsi" w:hAnsiTheme="minorHAnsi" w:cstheme="minorHAnsi"/>
                <w:color w:val="000000" w:themeColor="text1"/>
                <w:sz w:val="20"/>
                <w:szCs w:val="20"/>
              </w:rPr>
            </w:pPr>
            <w:r w:rsidRPr="0035210F">
              <w:rPr>
                <w:color w:val="333333"/>
                <w:sz w:val="20"/>
                <w:szCs w:val="20"/>
              </w:rPr>
              <w:t>36</w:t>
            </w:r>
          </w:p>
        </w:tc>
        <w:tc>
          <w:tcPr>
            <w:tcW w:w="922" w:type="dxa"/>
            <w:tcBorders>
              <w:right w:val="single" w:sz="4" w:space="0" w:color="0079C1"/>
            </w:tcBorders>
            <w:vAlign w:val="center"/>
          </w:tcPr>
          <w:p w14:paraId="4A45646D" w14:textId="77777777" w:rsidR="00655E7B" w:rsidRPr="0035210F" w:rsidRDefault="00655E7B" w:rsidP="004B28FE">
            <w:pPr>
              <w:tabs>
                <w:tab w:val="left" w:pos="318"/>
              </w:tabs>
              <w:spacing w:before="60" w:after="60"/>
              <w:jc w:val="center"/>
              <w:rPr>
                <w:rFonts w:asciiTheme="minorHAnsi" w:hAnsiTheme="minorHAnsi" w:cstheme="minorHAnsi"/>
                <w:color w:val="000000" w:themeColor="text1"/>
                <w:sz w:val="20"/>
                <w:szCs w:val="20"/>
              </w:rPr>
            </w:pPr>
            <w:r w:rsidRPr="0035210F">
              <w:rPr>
                <w:color w:val="333333"/>
                <w:sz w:val="20"/>
                <w:szCs w:val="20"/>
              </w:rPr>
              <w:t>33.3%</w:t>
            </w:r>
          </w:p>
        </w:tc>
        <w:tc>
          <w:tcPr>
            <w:tcW w:w="637" w:type="dxa"/>
            <w:gridSpan w:val="2"/>
            <w:tcBorders>
              <w:left w:val="single" w:sz="4" w:space="0" w:color="0079C1"/>
            </w:tcBorders>
            <w:vAlign w:val="center"/>
          </w:tcPr>
          <w:p w14:paraId="632A7F8A" w14:textId="77777777" w:rsidR="00655E7B" w:rsidRPr="0035210F" w:rsidRDefault="00655E7B" w:rsidP="004B28FE">
            <w:pPr>
              <w:tabs>
                <w:tab w:val="left" w:pos="318"/>
              </w:tabs>
              <w:spacing w:before="60" w:after="60"/>
              <w:jc w:val="center"/>
              <w:rPr>
                <w:rFonts w:asciiTheme="minorHAnsi" w:hAnsiTheme="minorHAnsi" w:cstheme="minorHAnsi"/>
                <w:color w:val="000000" w:themeColor="text1"/>
                <w:sz w:val="20"/>
                <w:szCs w:val="20"/>
              </w:rPr>
            </w:pPr>
            <w:r w:rsidRPr="0035210F">
              <w:rPr>
                <w:color w:val="333333"/>
                <w:sz w:val="20"/>
                <w:szCs w:val="20"/>
              </w:rPr>
              <w:t>1</w:t>
            </w:r>
          </w:p>
        </w:tc>
        <w:tc>
          <w:tcPr>
            <w:tcW w:w="965" w:type="dxa"/>
            <w:tcBorders>
              <w:right w:val="single" w:sz="4" w:space="0" w:color="0079C1"/>
            </w:tcBorders>
            <w:vAlign w:val="center"/>
          </w:tcPr>
          <w:p w14:paraId="706BB815" w14:textId="77777777" w:rsidR="00655E7B" w:rsidRPr="0035210F" w:rsidRDefault="00655E7B" w:rsidP="004B28FE">
            <w:pPr>
              <w:tabs>
                <w:tab w:val="left" w:pos="318"/>
              </w:tabs>
              <w:spacing w:before="60" w:after="60"/>
              <w:jc w:val="center"/>
              <w:rPr>
                <w:rFonts w:asciiTheme="minorHAnsi" w:hAnsiTheme="minorHAnsi" w:cstheme="minorHAnsi"/>
                <w:color w:val="000000" w:themeColor="text1"/>
                <w:sz w:val="20"/>
                <w:szCs w:val="20"/>
              </w:rPr>
            </w:pPr>
            <w:r w:rsidRPr="0035210F">
              <w:rPr>
                <w:color w:val="333333"/>
                <w:sz w:val="20"/>
                <w:szCs w:val="20"/>
              </w:rPr>
              <w:t>5.3%</w:t>
            </w:r>
          </w:p>
        </w:tc>
        <w:tc>
          <w:tcPr>
            <w:tcW w:w="589" w:type="dxa"/>
            <w:tcBorders>
              <w:left w:val="single" w:sz="4" w:space="0" w:color="0079C1"/>
            </w:tcBorders>
            <w:vAlign w:val="center"/>
          </w:tcPr>
          <w:p w14:paraId="6F81ED7F" w14:textId="77777777" w:rsidR="00655E7B" w:rsidRPr="0035210F" w:rsidRDefault="00655E7B" w:rsidP="004B28FE">
            <w:pPr>
              <w:tabs>
                <w:tab w:val="left" w:pos="318"/>
              </w:tabs>
              <w:spacing w:before="60" w:after="60"/>
              <w:jc w:val="center"/>
              <w:rPr>
                <w:rFonts w:asciiTheme="minorHAnsi" w:hAnsiTheme="minorHAnsi" w:cstheme="minorHAnsi"/>
                <w:color w:val="000000" w:themeColor="text1"/>
                <w:sz w:val="20"/>
                <w:szCs w:val="20"/>
              </w:rPr>
            </w:pPr>
            <w:r w:rsidRPr="0035210F">
              <w:rPr>
                <w:color w:val="333333"/>
                <w:sz w:val="20"/>
                <w:szCs w:val="20"/>
              </w:rPr>
              <w:t>12</w:t>
            </w:r>
          </w:p>
        </w:tc>
        <w:tc>
          <w:tcPr>
            <w:tcW w:w="933" w:type="dxa"/>
            <w:gridSpan w:val="2"/>
            <w:tcBorders>
              <w:right w:val="single" w:sz="4" w:space="0" w:color="0079C1"/>
            </w:tcBorders>
            <w:vAlign w:val="center"/>
          </w:tcPr>
          <w:p w14:paraId="66810251" w14:textId="77777777" w:rsidR="00655E7B" w:rsidRPr="0035210F" w:rsidRDefault="00655E7B" w:rsidP="004B28FE">
            <w:pPr>
              <w:tabs>
                <w:tab w:val="left" w:pos="318"/>
              </w:tabs>
              <w:spacing w:before="60" w:after="60"/>
              <w:jc w:val="center"/>
              <w:rPr>
                <w:rFonts w:asciiTheme="minorHAnsi" w:hAnsiTheme="minorHAnsi" w:cstheme="minorHAnsi"/>
                <w:color w:val="000000" w:themeColor="text1"/>
                <w:sz w:val="20"/>
                <w:szCs w:val="20"/>
              </w:rPr>
            </w:pPr>
            <w:r w:rsidRPr="0035210F">
              <w:rPr>
                <w:color w:val="333333"/>
                <w:sz w:val="20"/>
                <w:szCs w:val="20"/>
              </w:rPr>
              <w:t>60.0%</w:t>
            </w:r>
          </w:p>
        </w:tc>
        <w:tc>
          <w:tcPr>
            <w:tcW w:w="620" w:type="dxa"/>
            <w:gridSpan w:val="2"/>
            <w:tcBorders>
              <w:left w:val="single" w:sz="4" w:space="0" w:color="0079C1"/>
            </w:tcBorders>
          </w:tcPr>
          <w:p w14:paraId="7E42CDE4" w14:textId="77777777" w:rsidR="00655E7B" w:rsidRPr="0035210F" w:rsidRDefault="00655E7B" w:rsidP="004B28FE">
            <w:pPr>
              <w:tabs>
                <w:tab w:val="left" w:pos="318"/>
              </w:tabs>
              <w:spacing w:before="60" w:after="60"/>
              <w:jc w:val="center"/>
              <w:rPr>
                <w:rFonts w:asciiTheme="minorHAnsi" w:hAnsiTheme="minorHAnsi" w:cstheme="minorHAnsi"/>
                <w:color w:val="000000" w:themeColor="text1"/>
                <w:sz w:val="20"/>
                <w:szCs w:val="20"/>
              </w:rPr>
            </w:pPr>
            <w:r w:rsidRPr="0035210F">
              <w:rPr>
                <w:sz w:val="20"/>
                <w:szCs w:val="20"/>
              </w:rPr>
              <w:t>49</w:t>
            </w:r>
          </w:p>
        </w:tc>
        <w:tc>
          <w:tcPr>
            <w:tcW w:w="976" w:type="dxa"/>
            <w:gridSpan w:val="2"/>
          </w:tcPr>
          <w:p w14:paraId="63E19651" w14:textId="77777777" w:rsidR="00655E7B" w:rsidRPr="0035210F" w:rsidRDefault="00655E7B" w:rsidP="004B28FE">
            <w:pPr>
              <w:tabs>
                <w:tab w:val="left" w:pos="318"/>
              </w:tabs>
              <w:spacing w:before="60" w:after="60"/>
              <w:jc w:val="center"/>
              <w:rPr>
                <w:rFonts w:asciiTheme="minorHAnsi" w:hAnsiTheme="minorHAnsi" w:cstheme="minorHAnsi"/>
                <w:color w:val="000000" w:themeColor="text1"/>
                <w:sz w:val="20"/>
                <w:szCs w:val="20"/>
              </w:rPr>
            </w:pPr>
            <w:r w:rsidRPr="0035210F">
              <w:rPr>
                <w:sz w:val="20"/>
                <w:szCs w:val="20"/>
              </w:rPr>
              <w:t>33.3%</w:t>
            </w:r>
          </w:p>
        </w:tc>
      </w:tr>
      <w:tr w:rsidR="00655E7B" w:rsidRPr="0035210F" w14:paraId="3797025B" w14:textId="77777777" w:rsidTr="00E87FF5">
        <w:tc>
          <w:tcPr>
            <w:tcW w:w="2302" w:type="dxa"/>
            <w:tcBorders>
              <w:right w:val="single" w:sz="4" w:space="0" w:color="0079C1"/>
            </w:tcBorders>
          </w:tcPr>
          <w:p w14:paraId="0DBA8D2B" w14:textId="77777777" w:rsidR="00655E7B" w:rsidRPr="0035210F" w:rsidRDefault="00655E7B" w:rsidP="004B28FE">
            <w:pPr>
              <w:tabs>
                <w:tab w:val="left" w:pos="318"/>
              </w:tabs>
              <w:spacing w:before="60" w:after="60"/>
              <w:rPr>
                <w:rFonts w:asciiTheme="minorHAnsi" w:hAnsiTheme="minorHAnsi"/>
                <w:color w:val="333333"/>
                <w:sz w:val="20"/>
                <w:szCs w:val="20"/>
              </w:rPr>
            </w:pPr>
            <w:r w:rsidRPr="0035210F">
              <w:rPr>
                <w:rFonts w:asciiTheme="minorHAnsi" w:hAnsiTheme="minorHAnsi"/>
                <w:color w:val="333333"/>
                <w:sz w:val="20"/>
                <w:szCs w:val="20"/>
              </w:rPr>
              <w:t>Not stated</w:t>
            </w:r>
          </w:p>
        </w:tc>
        <w:tc>
          <w:tcPr>
            <w:tcW w:w="595" w:type="dxa"/>
            <w:tcBorders>
              <w:left w:val="single" w:sz="4" w:space="0" w:color="0079C1"/>
            </w:tcBorders>
            <w:vAlign w:val="center"/>
          </w:tcPr>
          <w:p w14:paraId="48C65AA6" w14:textId="77777777" w:rsidR="00655E7B" w:rsidRPr="0035210F" w:rsidRDefault="00655E7B" w:rsidP="004B28FE">
            <w:pPr>
              <w:tabs>
                <w:tab w:val="left" w:pos="318"/>
              </w:tabs>
              <w:spacing w:before="60" w:after="60"/>
              <w:jc w:val="center"/>
              <w:rPr>
                <w:rFonts w:asciiTheme="minorHAnsi" w:hAnsiTheme="minorHAnsi" w:cstheme="minorHAnsi"/>
                <w:color w:val="000000" w:themeColor="text1"/>
                <w:sz w:val="20"/>
                <w:szCs w:val="20"/>
              </w:rPr>
            </w:pPr>
            <w:r w:rsidRPr="0035210F">
              <w:rPr>
                <w:color w:val="333333"/>
                <w:sz w:val="20"/>
                <w:szCs w:val="20"/>
              </w:rPr>
              <w:t>13</w:t>
            </w:r>
          </w:p>
        </w:tc>
        <w:tc>
          <w:tcPr>
            <w:tcW w:w="922" w:type="dxa"/>
            <w:tcBorders>
              <w:right w:val="single" w:sz="4" w:space="0" w:color="0079C1"/>
            </w:tcBorders>
            <w:vAlign w:val="center"/>
          </w:tcPr>
          <w:p w14:paraId="7C907CB3" w14:textId="77777777" w:rsidR="00655E7B" w:rsidRPr="0035210F" w:rsidRDefault="00655E7B" w:rsidP="004B28FE">
            <w:pPr>
              <w:tabs>
                <w:tab w:val="left" w:pos="318"/>
              </w:tabs>
              <w:spacing w:before="60" w:after="60"/>
              <w:jc w:val="center"/>
              <w:rPr>
                <w:rFonts w:asciiTheme="minorHAnsi" w:hAnsiTheme="minorHAnsi" w:cstheme="minorHAnsi"/>
                <w:color w:val="000000" w:themeColor="text1"/>
                <w:sz w:val="20"/>
                <w:szCs w:val="20"/>
              </w:rPr>
            </w:pPr>
            <w:r w:rsidRPr="0035210F">
              <w:rPr>
                <w:color w:val="333333"/>
                <w:sz w:val="20"/>
                <w:szCs w:val="20"/>
              </w:rPr>
              <w:t>12.0%</w:t>
            </w:r>
          </w:p>
        </w:tc>
        <w:tc>
          <w:tcPr>
            <w:tcW w:w="637" w:type="dxa"/>
            <w:gridSpan w:val="2"/>
            <w:tcBorders>
              <w:left w:val="single" w:sz="4" w:space="0" w:color="0079C1"/>
            </w:tcBorders>
            <w:vAlign w:val="center"/>
          </w:tcPr>
          <w:p w14:paraId="4E0CDC88" w14:textId="77777777" w:rsidR="00655E7B" w:rsidRPr="0035210F" w:rsidRDefault="00655E7B" w:rsidP="004B28FE">
            <w:pPr>
              <w:tabs>
                <w:tab w:val="left" w:pos="318"/>
              </w:tabs>
              <w:spacing w:before="60" w:after="60"/>
              <w:jc w:val="center"/>
              <w:rPr>
                <w:rFonts w:asciiTheme="minorHAnsi" w:hAnsiTheme="minorHAnsi" w:cstheme="minorHAnsi"/>
                <w:color w:val="000000" w:themeColor="text1"/>
                <w:sz w:val="20"/>
                <w:szCs w:val="20"/>
              </w:rPr>
            </w:pPr>
            <w:r w:rsidRPr="0035210F">
              <w:rPr>
                <w:color w:val="333333"/>
                <w:sz w:val="20"/>
                <w:szCs w:val="20"/>
              </w:rPr>
              <w:t>2</w:t>
            </w:r>
          </w:p>
        </w:tc>
        <w:tc>
          <w:tcPr>
            <w:tcW w:w="965" w:type="dxa"/>
            <w:tcBorders>
              <w:right w:val="single" w:sz="4" w:space="0" w:color="0079C1"/>
            </w:tcBorders>
            <w:vAlign w:val="center"/>
          </w:tcPr>
          <w:p w14:paraId="5E7530D6" w14:textId="77777777" w:rsidR="00655E7B" w:rsidRPr="0035210F" w:rsidRDefault="00655E7B" w:rsidP="004B28FE">
            <w:pPr>
              <w:tabs>
                <w:tab w:val="left" w:pos="318"/>
              </w:tabs>
              <w:spacing w:before="60" w:after="60"/>
              <w:jc w:val="center"/>
              <w:rPr>
                <w:rFonts w:asciiTheme="minorHAnsi" w:hAnsiTheme="minorHAnsi" w:cstheme="minorHAnsi"/>
                <w:color w:val="000000" w:themeColor="text1"/>
                <w:sz w:val="20"/>
                <w:szCs w:val="20"/>
              </w:rPr>
            </w:pPr>
            <w:r w:rsidRPr="0035210F">
              <w:rPr>
                <w:color w:val="333333"/>
                <w:sz w:val="20"/>
                <w:szCs w:val="20"/>
              </w:rPr>
              <w:t>10.5%</w:t>
            </w:r>
          </w:p>
        </w:tc>
        <w:tc>
          <w:tcPr>
            <w:tcW w:w="589" w:type="dxa"/>
            <w:tcBorders>
              <w:left w:val="single" w:sz="4" w:space="0" w:color="0079C1"/>
            </w:tcBorders>
            <w:vAlign w:val="center"/>
          </w:tcPr>
          <w:p w14:paraId="50DF5D01" w14:textId="77777777" w:rsidR="00655E7B" w:rsidRPr="0035210F" w:rsidRDefault="00655E7B" w:rsidP="004B28FE">
            <w:pPr>
              <w:tabs>
                <w:tab w:val="left" w:pos="318"/>
              </w:tabs>
              <w:spacing w:before="60" w:after="60"/>
              <w:jc w:val="center"/>
              <w:rPr>
                <w:rFonts w:asciiTheme="minorHAnsi" w:hAnsiTheme="minorHAnsi" w:cstheme="minorHAnsi"/>
                <w:color w:val="000000" w:themeColor="text1"/>
                <w:sz w:val="20"/>
                <w:szCs w:val="20"/>
              </w:rPr>
            </w:pPr>
            <w:r w:rsidRPr="0035210F">
              <w:rPr>
                <w:color w:val="333333"/>
                <w:sz w:val="20"/>
                <w:szCs w:val="20"/>
              </w:rPr>
              <w:t>3</w:t>
            </w:r>
          </w:p>
        </w:tc>
        <w:tc>
          <w:tcPr>
            <w:tcW w:w="933" w:type="dxa"/>
            <w:gridSpan w:val="2"/>
            <w:tcBorders>
              <w:right w:val="single" w:sz="4" w:space="0" w:color="0079C1"/>
            </w:tcBorders>
            <w:vAlign w:val="center"/>
          </w:tcPr>
          <w:p w14:paraId="23FFD258" w14:textId="77777777" w:rsidR="00655E7B" w:rsidRPr="0035210F" w:rsidRDefault="00655E7B" w:rsidP="004B28FE">
            <w:pPr>
              <w:tabs>
                <w:tab w:val="left" w:pos="318"/>
              </w:tabs>
              <w:spacing w:before="60" w:after="60"/>
              <w:jc w:val="center"/>
              <w:rPr>
                <w:rFonts w:asciiTheme="minorHAnsi" w:hAnsiTheme="minorHAnsi" w:cstheme="minorHAnsi"/>
                <w:color w:val="000000" w:themeColor="text1"/>
                <w:sz w:val="20"/>
                <w:szCs w:val="20"/>
              </w:rPr>
            </w:pPr>
            <w:r w:rsidRPr="0035210F">
              <w:rPr>
                <w:color w:val="333333"/>
                <w:sz w:val="20"/>
                <w:szCs w:val="20"/>
              </w:rPr>
              <w:t>15.0%</w:t>
            </w:r>
          </w:p>
        </w:tc>
        <w:tc>
          <w:tcPr>
            <w:tcW w:w="620" w:type="dxa"/>
            <w:gridSpan w:val="2"/>
            <w:tcBorders>
              <w:left w:val="single" w:sz="4" w:space="0" w:color="0079C1"/>
            </w:tcBorders>
          </w:tcPr>
          <w:p w14:paraId="283551C9" w14:textId="77777777" w:rsidR="00655E7B" w:rsidRPr="0035210F" w:rsidRDefault="00655E7B" w:rsidP="004B28FE">
            <w:pPr>
              <w:tabs>
                <w:tab w:val="left" w:pos="318"/>
              </w:tabs>
              <w:spacing w:before="60" w:after="60"/>
              <w:jc w:val="center"/>
              <w:rPr>
                <w:rFonts w:asciiTheme="minorHAnsi" w:hAnsiTheme="minorHAnsi" w:cstheme="minorHAnsi"/>
                <w:color w:val="000000" w:themeColor="text1"/>
                <w:sz w:val="20"/>
                <w:szCs w:val="20"/>
              </w:rPr>
            </w:pPr>
            <w:r w:rsidRPr="0035210F">
              <w:rPr>
                <w:sz w:val="20"/>
                <w:szCs w:val="20"/>
              </w:rPr>
              <w:t>18</w:t>
            </w:r>
          </w:p>
        </w:tc>
        <w:tc>
          <w:tcPr>
            <w:tcW w:w="976" w:type="dxa"/>
            <w:gridSpan w:val="2"/>
          </w:tcPr>
          <w:p w14:paraId="208F615D" w14:textId="77777777" w:rsidR="00655E7B" w:rsidRPr="0035210F" w:rsidRDefault="00655E7B" w:rsidP="004B28FE">
            <w:pPr>
              <w:tabs>
                <w:tab w:val="left" w:pos="318"/>
              </w:tabs>
              <w:spacing w:before="60" w:after="60"/>
              <w:jc w:val="center"/>
              <w:rPr>
                <w:rFonts w:asciiTheme="minorHAnsi" w:hAnsiTheme="minorHAnsi" w:cstheme="minorHAnsi"/>
                <w:color w:val="000000" w:themeColor="text1"/>
                <w:sz w:val="20"/>
                <w:szCs w:val="20"/>
              </w:rPr>
            </w:pPr>
            <w:r w:rsidRPr="0035210F">
              <w:rPr>
                <w:sz w:val="20"/>
                <w:szCs w:val="20"/>
              </w:rPr>
              <w:t>12.2%</w:t>
            </w:r>
          </w:p>
        </w:tc>
      </w:tr>
      <w:tr w:rsidR="00655E7B" w:rsidRPr="0035210F" w14:paraId="21C68002" w14:textId="77777777" w:rsidTr="00E87FF5">
        <w:tc>
          <w:tcPr>
            <w:tcW w:w="2302" w:type="dxa"/>
            <w:tcBorders>
              <w:right w:val="single" w:sz="4" w:space="0" w:color="0079C1"/>
            </w:tcBorders>
            <w:shd w:val="clear" w:color="auto" w:fill="E2F4FF" w:themeFill="accent1" w:themeFillTint="33"/>
          </w:tcPr>
          <w:p w14:paraId="3742212B" w14:textId="77777777" w:rsidR="00655E7B" w:rsidRPr="0035210F" w:rsidRDefault="00655E7B" w:rsidP="004B28FE">
            <w:pPr>
              <w:tabs>
                <w:tab w:val="left" w:pos="318"/>
              </w:tabs>
              <w:spacing w:before="60" w:after="60"/>
              <w:rPr>
                <w:rStyle w:val="Strong"/>
                <w:sz w:val="20"/>
                <w:szCs w:val="20"/>
              </w:rPr>
            </w:pPr>
            <w:r w:rsidRPr="0035210F">
              <w:rPr>
                <w:rStyle w:val="Strong"/>
                <w:sz w:val="20"/>
                <w:szCs w:val="20"/>
              </w:rPr>
              <w:lastRenderedPageBreak/>
              <w:t xml:space="preserve">Total </w:t>
            </w:r>
          </w:p>
        </w:tc>
        <w:tc>
          <w:tcPr>
            <w:tcW w:w="595" w:type="dxa"/>
            <w:tcBorders>
              <w:left w:val="single" w:sz="4" w:space="0" w:color="0079C1"/>
            </w:tcBorders>
            <w:shd w:val="clear" w:color="auto" w:fill="E2F4FF" w:themeFill="accent1" w:themeFillTint="33"/>
            <w:vAlign w:val="center"/>
          </w:tcPr>
          <w:p w14:paraId="7EFF4CBA" w14:textId="77777777" w:rsidR="00655E7B" w:rsidRPr="0035210F" w:rsidRDefault="00655E7B" w:rsidP="004B28FE">
            <w:pPr>
              <w:tabs>
                <w:tab w:val="left" w:pos="318"/>
              </w:tabs>
              <w:spacing w:before="60" w:after="60"/>
              <w:jc w:val="center"/>
              <w:rPr>
                <w:rStyle w:val="Strong"/>
                <w:sz w:val="20"/>
                <w:szCs w:val="20"/>
              </w:rPr>
            </w:pPr>
            <w:r w:rsidRPr="0035210F">
              <w:rPr>
                <w:rStyle w:val="Strong"/>
                <w:sz w:val="20"/>
                <w:szCs w:val="20"/>
              </w:rPr>
              <w:t>108</w:t>
            </w:r>
          </w:p>
        </w:tc>
        <w:tc>
          <w:tcPr>
            <w:tcW w:w="922" w:type="dxa"/>
            <w:tcBorders>
              <w:right w:val="single" w:sz="4" w:space="0" w:color="0079C1"/>
            </w:tcBorders>
            <w:shd w:val="clear" w:color="auto" w:fill="E2F4FF" w:themeFill="accent1" w:themeFillTint="33"/>
            <w:vAlign w:val="center"/>
          </w:tcPr>
          <w:p w14:paraId="232F812B" w14:textId="77777777" w:rsidR="00655E7B" w:rsidRPr="0035210F" w:rsidRDefault="00655E7B" w:rsidP="004B28FE">
            <w:pPr>
              <w:tabs>
                <w:tab w:val="left" w:pos="318"/>
              </w:tabs>
              <w:spacing w:before="60" w:after="60"/>
              <w:jc w:val="center"/>
              <w:rPr>
                <w:rStyle w:val="Strong"/>
                <w:sz w:val="20"/>
                <w:szCs w:val="20"/>
              </w:rPr>
            </w:pPr>
            <w:r w:rsidRPr="0035210F">
              <w:rPr>
                <w:rStyle w:val="Strong"/>
                <w:sz w:val="20"/>
                <w:szCs w:val="20"/>
              </w:rPr>
              <w:t>100.0%</w:t>
            </w:r>
          </w:p>
        </w:tc>
        <w:tc>
          <w:tcPr>
            <w:tcW w:w="637" w:type="dxa"/>
            <w:gridSpan w:val="2"/>
            <w:tcBorders>
              <w:left w:val="single" w:sz="4" w:space="0" w:color="0079C1"/>
            </w:tcBorders>
            <w:shd w:val="clear" w:color="auto" w:fill="E2F4FF" w:themeFill="accent1" w:themeFillTint="33"/>
            <w:vAlign w:val="center"/>
          </w:tcPr>
          <w:p w14:paraId="707B235D" w14:textId="77777777" w:rsidR="00655E7B" w:rsidRPr="0035210F" w:rsidRDefault="00655E7B" w:rsidP="004B28FE">
            <w:pPr>
              <w:tabs>
                <w:tab w:val="left" w:pos="318"/>
              </w:tabs>
              <w:spacing w:before="60" w:after="60"/>
              <w:jc w:val="center"/>
              <w:rPr>
                <w:rStyle w:val="Strong"/>
                <w:sz w:val="20"/>
                <w:szCs w:val="20"/>
              </w:rPr>
            </w:pPr>
            <w:r w:rsidRPr="0035210F">
              <w:rPr>
                <w:rStyle w:val="Strong"/>
                <w:sz w:val="20"/>
                <w:szCs w:val="20"/>
              </w:rPr>
              <w:t>19</w:t>
            </w:r>
          </w:p>
        </w:tc>
        <w:tc>
          <w:tcPr>
            <w:tcW w:w="965" w:type="dxa"/>
            <w:tcBorders>
              <w:right w:val="single" w:sz="4" w:space="0" w:color="0079C1"/>
            </w:tcBorders>
            <w:shd w:val="clear" w:color="auto" w:fill="E2F4FF" w:themeFill="accent1" w:themeFillTint="33"/>
            <w:vAlign w:val="center"/>
          </w:tcPr>
          <w:p w14:paraId="3F089155" w14:textId="77777777" w:rsidR="00655E7B" w:rsidRPr="0035210F" w:rsidRDefault="00655E7B" w:rsidP="004B28FE">
            <w:pPr>
              <w:tabs>
                <w:tab w:val="left" w:pos="318"/>
              </w:tabs>
              <w:spacing w:before="60" w:after="60"/>
              <w:jc w:val="center"/>
              <w:rPr>
                <w:rStyle w:val="Strong"/>
                <w:sz w:val="20"/>
                <w:szCs w:val="20"/>
              </w:rPr>
            </w:pPr>
            <w:r w:rsidRPr="0035210F">
              <w:rPr>
                <w:rStyle w:val="Strong"/>
                <w:sz w:val="20"/>
                <w:szCs w:val="20"/>
              </w:rPr>
              <w:t>100.0%</w:t>
            </w:r>
          </w:p>
        </w:tc>
        <w:tc>
          <w:tcPr>
            <w:tcW w:w="596" w:type="dxa"/>
            <w:gridSpan w:val="2"/>
            <w:tcBorders>
              <w:left w:val="single" w:sz="4" w:space="0" w:color="0079C1"/>
            </w:tcBorders>
            <w:shd w:val="clear" w:color="auto" w:fill="E2F4FF" w:themeFill="accent1" w:themeFillTint="33"/>
            <w:vAlign w:val="center"/>
          </w:tcPr>
          <w:p w14:paraId="46BC4F1B" w14:textId="77777777" w:rsidR="00655E7B" w:rsidRPr="0035210F" w:rsidRDefault="00655E7B" w:rsidP="004B28FE">
            <w:pPr>
              <w:tabs>
                <w:tab w:val="left" w:pos="318"/>
              </w:tabs>
              <w:spacing w:before="60" w:after="60"/>
              <w:jc w:val="center"/>
              <w:rPr>
                <w:rStyle w:val="Strong"/>
                <w:sz w:val="20"/>
                <w:szCs w:val="20"/>
              </w:rPr>
            </w:pPr>
            <w:r w:rsidRPr="0035210F">
              <w:rPr>
                <w:rStyle w:val="Strong"/>
                <w:sz w:val="20"/>
                <w:szCs w:val="20"/>
              </w:rPr>
              <w:t>20</w:t>
            </w:r>
          </w:p>
        </w:tc>
        <w:tc>
          <w:tcPr>
            <w:tcW w:w="933" w:type="dxa"/>
            <w:gridSpan w:val="2"/>
            <w:tcBorders>
              <w:right w:val="single" w:sz="4" w:space="0" w:color="0079C1"/>
            </w:tcBorders>
            <w:shd w:val="clear" w:color="auto" w:fill="E2F4FF" w:themeFill="accent1" w:themeFillTint="33"/>
            <w:vAlign w:val="center"/>
          </w:tcPr>
          <w:p w14:paraId="4133A7DC" w14:textId="77777777" w:rsidR="00655E7B" w:rsidRPr="0035210F" w:rsidRDefault="00655E7B" w:rsidP="004B28FE">
            <w:pPr>
              <w:tabs>
                <w:tab w:val="left" w:pos="318"/>
              </w:tabs>
              <w:spacing w:before="60" w:after="60"/>
              <w:jc w:val="center"/>
              <w:rPr>
                <w:rStyle w:val="Strong"/>
                <w:sz w:val="20"/>
                <w:szCs w:val="20"/>
              </w:rPr>
            </w:pPr>
            <w:r w:rsidRPr="0035210F">
              <w:rPr>
                <w:rStyle w:val="Strong"/>
                <w:sz w:val="20"/>
                <w:szCs w:val="20"/>
              </w:rPr>
              <w:t>100.0%</w:t>
            </w:r>
          </w:p>
        </w:tc>
        <w:tc>
          <w:tcPr>
            <w:tcW w:w="637" w:type="dxa"/>
            <w:gridSpan w:val="2"/>
            <w:tcBorders>
              <w:left w:val="single" w:sz="4" w:space="0" w:color="0079C1"/>
            </w:tcBorders>
            <w:shd w:val="clear" w:color="auto" w:fill="E2F4FF" w:themeFill="accent1" w:themeFillTint="33"/>
            <w:vAlign w:val="center"/>
          </w:tcPr>
          <w:p w14:paraId="75BB6FB8" w14:textId="77777777" w:rsidR="00655E7B" w:rsidRPr="0035210F" w:rsidRDefault="00655E7B" w:rsidP="004B28FE">
            <w:pPr>
              <w:tabs>
                <w:tab w:val="left" w:pos="318"/>
              </w:tabs>
              <w:spacing w:before="60" w:after="60"/>
              <w:jc w:val="center"/>
              <w:rPr>
                <w:rStyle w:val="Strong"/>
                <w:sz w:val="20"/>
                <w:szCs w:val="20"/>
              </w:rPr>
            </w:pPr>
            <w:r w:rsidRPr="0035210F">
              <w:rPr>
                <w:rStyle w:val="Strong"/>
                <w:sz w:val="20"/>
                <w:szCs w:val="20"/>
              </w:rPr>
              <w:t>147</w:t>
            </w:r>
          </w:p>
        </w:tc>
        <w:tc>
          <w:tcPr>
            <w:tcW w:w="952" w:type="dxa"/>
            <w:shd w:val="clear" w:color="auto" w:fill="E2F4FF" w:themeFill="accent1" w:themeFillTint="33"/>
            <w:vAlign w:val="center"/>
          </w:tcPr>
          <w:p w14:paraId="32B9ED04" w14:textId="77777777" w:rsidR="00655E7B" w:rsidRPr="0035210F" w:rsidRDefault="00655E7B" w:rsidP="004B28FE">
            <w:pPr>
              <w:tabs>
                <w:tab w:val="left" w:pos="318"/>
              </w:tabs>
              <w:spacing w:before="60" w:after="60"/>
              <w:jc w:val="center"/>
              <w:rPr>
                <w:rStyle w:val="Strong"/>
                <w:sz w:val="20"/>
                <w:szCs w:val="20"/>
              </w:rPr>
            </w:pPr>
            <w:r w:rsidRPr="0035210F">
              <w:rPr>
                <w:rStyle w:val="Strong"/>
                <w:sz w:val="20"/>
                <w:szCs w:val="20"/>
              </w:rPr>
              <w:t>100.0%</w:t>
            </w:r>
          </w:p>
        </w:tc>
      </w:tr>
    </w:tbl>
    <w:bookmarkEnd w:id="202"/>
    <w:p w14:paraId="57298020" w14:textId="67BD1754" w:rsidR="00655E7B" w:rsidRDefault="00655E7B" w:rsidP="00655E7B">
      <w:pPr>
        <w:spacing w:before="240" w:after="240" w:line="264" w:lineRule="auto"/>
        <w:rPr>
          <w:lang w:eastAsia="en-AU"/>
        </w:rPr>
      </w:pPr>
      <w:r w:rsidRPr="00D12620">
        <w:rPr>
          <w:lang w:eastAsia="en-AU"/>
        </w:rPr>
        <w:t xml:space="preserve">Of those who had previously adopted a child, 39.7% reported that they had adopted a child with special needs.  </w:t>
      </w:r>
    </w:p>
    <w:p w14:paraId="3D87E42D" w14:textId="77777777" w:rsidR="00655E7B" w:rsidRPr="00C10184" w:rsidRDefault="00655E7B" w:rsidP="00443759">
      <w:pPr>
        <w:pStyle w:val="Heading8"/>
      </w:pPr>
      <w:r>
        <w:t xml:space="preserve">In-depth follow-up interviews with survey respondents </w:t>
      </w:r>
    </w:p>
    <w:p w14:paraId="2149630C" w14:textId="3EE1C2D9" w:rsidR="00655E7B" w:rsidRDefault="00655E7B" w:rsidP="00655E7B">
      <w:pPr>
        <w:pStyle w:val="Paragraph"/>
      </w:pPr>
      <w:r>
        <w:t xml:space="preserve">In-depth interviews were undertaken with 25 respondents to the online survey who had indicated that they had used the IAA service and were happy to be contacted for a more detailed discussion.  The in-depth interviews were carried out via teleconference where possible and via email if the interviewee was living outside of Australia or this method was requested.  </w:t>
      </w:r>
      <w:bookmarkStart w:id="203" w:name="_Hlk488927311"/>
      <w:r>
        <w:t xml:space="preserve">The majority of interviewees were people </w:t>
      </w:r>
      <w:r w:rsidRPr="00F76235">
        <w:t>considering ICA, 21 (77.7%) with the remainder from other groups as detailed in</w:t>
      </w:r>
      <w:r w:rsidR="00045E34">
        <w:t xml:space="preserve"> (</w:t>
      </w:r>
      <w:r w:rsidR="00045E34" w:rsidRPr="00045E34">
        <w:rPr>
          <w:i/>
        </w:rPr>
        <w:fldChar w:fldCharType="begin"/>
      </w:r>
      <w:r w:rsidR="00045E34" w:rsidRPr="00045E34">
        <w:rPr>
          <w:i/>
        </w:rPr>
        <w:instrText xml:space="preserve"> REF _Ref488927949 \h </w:instrText>
      </w:r>
      <w:r w:rsidR="00045E34">
        <w:rPr>
          <w:i/>
        </w:rPr>
        <w:instrText xml:space="preserve"> \* MERGEFORMAT </w:instrText>
      </w:r>
      <w:r w:rsidR="00045E34" w:rsidRPr="00045E34">
        <w:rPr>
          <w:i/>
        </w:rPr>
      </w:r>
      <w:r w:rsidR="00045E34" w:rsidRPr="00045E34">
        <w:rPr>
          <w:i/>
        </w:rPr>
        <w:fldChar w:fldCharType="separate"/>
      </w:r>
      <w:r w:rsidR="00487073" w:rsidRPr="00487073">
        <w:rPr>
          <w:i/>
        </w:rPr>
        <w:t xml:space="preserve">Table </w:t>
      </w:r>
      <w:r w:rsidR="00487073" w:rsidRPr="00487073">
        <w:rPr>
          <w:i/>
          <w:noProof/>
        </w:rPr>
        <w:t>C</w:t>
      </w:r>
      <w:r w:rsidR="00487073" w:rsidRPr="00487073">
        <w:rPr>
          <w:i/>
          <w:noProof/>
        </w:rPr>
        <w:noBreakHyphen/>
        <w:t>11</w:t>
      </w:r>
      <w:r w:rsidR="00045E34" w:rsidRPr="00045E34">
        <w:rPr>
          <w:i/>
        </w:rPr>
        <w:fldChar w:fldCharType="end"/>
      </w:r>
      <w:r w:rsidR="00045E34" w:rsidRPr="00045E34">
        <w:rPr>
          <w:i/>
        </w:rPr>
        <w:t>)</w:t>
      </w:r>
      <w:r w:rsidRPr="00F76235">
        <w:rPr>
          <w:rStyle w:val="Emphasis"/>
        </w:rPr>
        <w:t>.</w:t>
      </w:r>
      <w:r w:rsidRPr="00F76235">
        <w:t xml:space="preserve">  </w:t>
      </w:r>
      <w:bookmarkEnd w:id="203"/>
      <w:r w:rsidRPr="00F76235">
        <w:t>Two</w:t>
      </w:r>
      <w:r>
        <w:t xml:space="preserve"> interviewees are categorised into two groups, </w:t>
      </w:r>
      <w:r w:rsidR="00C61524">
        <w:t>one interviewee</w:t>
      </w:r>
      <w:r>
        <w:t xml:space="preserve"> </w:t>
      </w:r>
      <w:r w:rsidR="00C61524">
        <w:t xml:space="preserve">who was </w:t>
      </w:r>
      <w:r>
        <w:t>considering ICA and</w:t>
      </w:r>
      <w:r w:rsidR="00C61524">
        <w:t xml:space="preserve"> was an </w:t>
      </w:r>
      <w:r>
        <w:t xml:space="preserve">adoptive parent, and </w:t>
      </w:r>
      <w:r w:rsidR="00C61524">
        <w:t>one interviewee who was</w:t>
      </w:r>
      <w:r>
        <w:t xml:space="preserve"> considering ICA </w:t>
      </w:r>
      <w:r w:rsidRPr="00F76235">
        <w:t>and local adoption,</w:t>
      </w:r>
      <w:r>
        <w:t xml:space="preserve"> resulting in a total of 27 responses.</w:t>
      </w:r>
    </w:p>
    <w:p w14:paraId="50DF4FC6" w14:textId="7D0B33AF" w:rsidR="009C3CC8" w:rsidRPr="009C3CC8" w:rsidRDefault="009C3CC8" w:rsidP="009C3CC8">
      <w:pPr>
        <w:pStyle w:val="Caption"/>
      </w:pPr>
      <w:bookmarkStart w:id="204" w:name="_Ref488927949"/>
      <w:r>
        <w:t xml:space="preserve">Table </w:t>
      </w:r>
      <w:r>
        <w:fldChar w:fldCharType="begin"/>
      </w:r>
      <w:r>
        <w:instrText xml:space="preserve"> STYLEREF 7 \s </w:instrText>
      </w:r>
      <w:r>
        <w:fldChar w:fldCharType="separate"/>
      </w:r>
      <w:r w:rsidR="00487073">
        <w:rPr>
          <w:noProof/>
        </w:rPr>
        <w:t>C</w:t>
      </w:r>
      <w:r>
        <w:fldChar w:fldCharType="end"/>
      </w:r>
      <w:r>
        <w:noBreakHyphen/>
      </w:r>
      <w:r>
        <w:fldChar w:fldCharType="begin"/>
      </w:r>
      <w:r>
        <w:instrText xml:space="preserve"> SEQ Table_Apx \* ARABIC \s 7 </w:instrText>
      </w:r>
      <w:r>
        <w:fldChar w:fldCharType="separate"/>
      </w:r>
      <w:r w:rsidR="00487073">
        <w:rPr>
          <w:noProof/>
        </w:rPr>
        <w:t>11</w:t>
      </w:r>
      <w:r>
        <w:fldChar w:fldCharType="end"/>
      </w:r>
      <w:bookmarkEnd w:id="204"/>
      <w:r>
        <w:t>:</w:t>
      </w:r>
      <w:r>
        <w:tab/>
        <w:t>Interviewees’ stage in the ICA process</w:t>
      </w:r>
    </w:p>
    <w:tbl>
      <w:tblPr>
        <w:tblStyle w:val="TableGrid6"/>
        <w:tblW w:w="0" w:type="auto"/>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Description w:val="Table C 11: Interviewees’ stage in the ICA process"/>
      </w:tblPr>
      <w:tblGrid>
        <w:gridCol w:w="3227"/>
        <w:gridCol w:w="3544"/>
      </w:tblGrid>
      <w:tr w:rsidR="00655E7B" w:rsidRPr="0035210F" w14:paraId="4D264EDE" w14:textId="77777777" w:rsidTr="008E7495">
        <w:trPr>
          <w:tblHeader/>
        </w:trPr>
        <w:tc>
          <w:tcPr>
            <w:tcW w:w="3227" w:type="dxa"/>
            <w:tcBorders>
              <w:top w:val="single" w:sz="4" w:space="0" w:color="0079C1" w:themeColor="text2"/>
              <w:bottom w:val="single" w:sz="4" w:space="0" w:color="0079C1" w:themeColor="text2"/>
            </w:tcBorders>
            <w:shd w:val="clear" w:color="auto" w:fill="0079C1" w:themeFill="text2"/>
          </w:tcPr>
          <w:p w14:paraId="479B77E6" w14:textId="77777777" w:rsidR="00655E7B" w:rsidRPr="0035210F" w:rsidRDefault="00655E7B" w:rsidP="004B28FE">
            <w:pPr>
              <w:keepLines/>
              <w:tabs>
                <w:tab w:val="left" w:pos="318"/>
              </w:tabs>
              <w:spacing w:before="120" w:after="120"/>
              <w:rPr>
                <w:rFonts w:eastAsiaTheme="minorHAnsi" w:cs="Calibri"/>
                <w:b/>
                <w:color w:val="FFFFFF" w:themeColor="background1"/>
                <w:sz w:val="20"/>
                <w:szCs w:val="20"/>
                <w:lang w:eastAsia="en-AU"/>
              </w:rPr>
            </w:pPr>
            <w:r w:rsidRPr="0035210F">
              <w:rPr>
                <w:rFonts w:eastAsiaTheme="minorHAnsi" w:cs="Calibri"/>
                <w:b/>
                <w:color w:val="FFFFFF" w:themeColor="background1"/>
                <w:sz w:val="20"/>
                <w:szCs w:val="20"/>
                <w:lang w:eastAsia="en-AU"/>
              </w:rPr>
              <w:t xml:space="preserve">Grouping </w:t>
            </w:r>
          </w:p>
        </w:tc>
        <w:tc>
          <w:tcPr>
            <w:tcW w:w="3544" w:type="dxa"/>
            <w:tcBorders>
              <w:top w:val="single" w:sz="4" w:space="0" w:color="0079C1" w:themeColor="text2"/>
              <w:bottom w:val="single" w:sz="4" w:space="0" w:color="0079C1" w:themeColor="text2"/>
            </w:tcBorders>
            <w:shd w:val="clear" w:color="auto" w:fill="0079C1" w:themeFill="text2"/>
          </w:tcPr>
          <w:p w14:paraId="32539FCD" w14:textId="77777777" w:rsidR="00655E7B" w:rsidRPr="0035210F"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35210F">
              <w:rPr>
                <w:rFonts w:eastAsiaTheme="minorHAnsi" w:cs="Calibri"/>
                <w:b/>
                <w:color w:val="FFFFFF" w:themeColor="background1"/>
                <w:sz w:val="20"/>
                <w:szCs w:val="20"/>
                <w:lang w:eastAsia="en-AU"/>
              </w:rPr>
              <w:t>Number of respondents</w:t>
            </w:r>
          </w:p>
        </w:tc>
      </w:tr>
      <w:tr w:rsidR="00655E7B" w:rsidRPr="0035210F" w14:paraId="3FE074BA" w14:textId="77777777" w:rsidTr="004B28FE">
        <w:tc>
          <w:tcPr>
            <w:tcW w:w="3227" w:type="dxa"/>
            <w:tcBorders>
              <w:top w:val="single" w:sz="4" w:space="0" w:color="0079C1" w:themeColor="text2"/>
            </w:tcBorders>
          </w:tcPr>
          <w:p w14:paraId="51AC7ADB" w14:textId="77777777" w:rsidR="00655E7B" w:rsidRPr="0035210F" w:rsidRDefault="00655E7B" w:rsidP="004B28FE">
            <w:pPr>
              <w:tabs>
                <w:tab w:val="left" w:pos="318"/>
              </w:tabs>
              <w:spacing w:before="60" w:after="60"/>
              <w:rPr>
                <w:color w:val="000000" w:themeColor="text1"/>
                <w:sz w:val="20"/>
              </w:rPr>
            </w:pPr>
            <w:r w:rsidRPr="0035210F">
              <w:rPr>
                <w:color w:val="000000" w:themeColor="text1"/>
                <w:sz w:val="20"/>
              </w:rPr>
              <w:t>Considering ICA</w:t>
            </w:r>
          </w:p>
        </w:tc>
        <w:tc>
          <w:tcPr>
            <w:tcW w:w="3544" w:type="dxa"/>
            <w:tcBorders>
              <w:top w:val="single" w:sz="4" w:space="0" w:color="0079C1" w:themeColor="text2"/>
            </w:tcBorders>
          </w:tcPr>
          <w:p w14:paraId="60F20616" w14:textId="77777777" w:rsidR="00655E7B" w:rsidRPr="0035210F" w:rsidRDefault="00655E7B" w:rsidP="004B28FE">
            <w:pPr>
              <w:tabs>
                <w:tab w:val="left" w:pos="318"/>
              </w:tabs>
              <w:spacing w:before="60" w:after="60"/>
              <w:jc w:val="center"/>
              <w:rPr>
                <w:color w:val="000000" w:themeColor="text1"/>
                <w:sz w:val="20"/>
              </w:rPr>
            </w:pPr>
            <w:r w:rsidRPr="0035210F">
              <w:rPr>
                <w:color w:val="000000" w:themeColor="text1"/>
                <w:sz w:val="20"/>
              </w:rPr>
              <w:t>21</w:t>
            </w:r>
          </w:p>
        </w:tc>
      </w:tr>
      <w:tr w:rsidR="00655E7B" w:rsidRPr="0035210F" w14:paraId="1379CFC7" w14:textId="77777777" w:rsidTr="004B28FE">
        <w:tc>
          <w:tcPr>
            <w:tcW w:w="3227" w:type="dxa"/>
          </w:tcPr>
          <w:p w14:paraId="20EACB47" w14:textId="77777777" w:rsidR="00655E7B" w:rsidRPr="0035210F" w:rsidRDefault="00655E7B" w:rsidP="004B28FE">
            <w:pPr>
              <w:tabs>
                <w:tab w:val="left" w:pos="318"/>
              </w:tabs>
              <w:spacing w:before="60" w:after="60"/>
              <w:rPr>
                <w:color w:val="000000" w:themeColor="text1"/>
                <w:sz w:val="20"/>
              </w:rPr>
            </w:pPr>
            <w:r w:rsidRPr="0035210F">
              <w:rPr>
                <w:color w:val="000000" w:themeColor="text1"/>
                <w:sz w:val="20"/>
              </w:rPr>
              <w:t>Considering local adoption</w:t>
            </w:r>
          </w:p>
        </w:tc>
        <w:tc>
          <w:tcPr>
            <w:tcW w:w="3544" w:type="dxa"/>
          </w:tcPr>
          <w:p w14:paraId="6A85361C" w14:textId="77777777" w:rsidR="00655E7B" w:rsidRPr="0035210F" w:rsidRDefault="00655E7B" w:rsidP="004B28FE">
            <w:pPr>
              <w:tabs>
                <w:tab w:val="left" w:pos="318"/>
              </w:tabs>
              <w:spacing w:before="60" w:after="60"/>
              <w:jc w:val="center"/>
              <w:rPr>
                <w:color w:val="000000" w:themeColor="text1"/>
                <w:sz w:val="20"/>
              </w:rPr>
            </w:pPr>
            <w:r w:rsidRPr="0035210F">
              <w:rPr>
                <w:color w:val="000000" w:themeColor="text1"/>
                <w:sz w:val="20"/>
              </w:rPr>
              <w:t>1</w:t>
            </w:r>
          </w:p>
        </w:tc>
      </w:tr>
      <w:tr w:rsidR="00655E7B" w:rsidRPr="0035210F" w14:paraId="0716CBDB" w14:textId="77777777" w:rsidTr="004B28FE">
        <w:tc>
          <w:tcPr>
            <w:tcW w:w="3227" w:type="dxa"/>
          </w:tcPr>
          <w:p w14:paraId="4324C595" w14:textId="77777777" w:rsidR="00655E7B" w:rsidRPr="0035210F" w:rsidRDefault="00655E7B" w:rsidP="004B28FE">
            <w:pPr>
              <w:tabs>
                <w:tab w:val="left" w:pos="318"/>
              </w:tabs>
              <w:spacing w:before="60" w:after="60"/>
              <w:rPr>
                <w:color w:val="000000" w:themeColor="text1"/>
                <w:sz w:val="20"/>
              </w:rPr>
            </w:pPr>
            <w:r w:rsidRPr="0035210F">
              <w:rPr>
                <w:color w:val="000000" w:themeColor="text1"/>
                <w:sz w:val="20"/>
              </w:rPr>
              <w:t>Considering expat adoption</w:t>
            </w:r>
          </w:p>
        </w:tc>
        <w:tc>
          <w:tcPr>
            <w:tcW w:w="3544" w:type="dxa"/>
          </w:tcPr>
          <w:p w14:paraId="74BCB91F" w14:textId="77777777" w:rsidR="00655E7B" w:rsidRPr="0035210F" w:rsidRDefault="00655E7B" w:rsidP="004B28FE">
            <w:pPr>
              <w:tabs>
                <w:tab w:val="left" w:pos="318"/>
              </w:tabs>
              <w:spacing w:before="60" w:after="60"/>
              <w:jc w:val="center"/>
              <w:rPr>
                <w:color w:val="000000" w:themeColor="text1"/>
                <w:sz w:val="20"/>
              </w:rPr>
            </w:pPr>
            <w:r w:rsidRPr="0035210F">
              <w:rPr>
                <w:color w:val="000000" w:themeColor="text1"/>
                <w:sz w:val="20"/>
              </w:rPr>
              <w:t>1</w:t>
            </w:r>
          </w:p>
        </w:tc>
      </w:tr>
      <w:tr w:rsidR="00655E7B" w:rsidRPr="0035210F" w14:paraId="75406062" w14:textId="77777777" w:rsidTr="004B28FE">
        <w:tc>
          <w:tcPr>
            <w:tcW w:w="3227" w:type="dxa"/>
          </w:tcPr>
          <w:p w14:paraId="10975220" w14:textId="77777777" w:rsidR="00655E7B" w:rsidRPr="0035210F" w:rsidRDefault="00655E7B" w:rsidP="004B28FE">
            <w:pPr>
              <w:tabs>
                <w:tab w:val="left" w:pos="318"/>
              </w:tabs>
              <w:spacing w:before="60" w:after="60"/>
              <w:rPr>
                <w:color w:val="000000" w:themeColor="text1"/>
                <w:sz w:val="20"/>
              </w:rPr>
            </w:pPr>
            <w:r w:rsidRPr="0035210F">
              <w:rPr>
                <w:color w:val="000000" w:themeColor="text1"/>
                <w:sz w:val="20"/>
              </w:rPr>
              <w:t>ICA adoptive parent</w:t>
            </w:r>
          </w:p>
        </w:tc>
        <w:tc>
          <w:tcPr>
            <w:tcW w:w="3544" w:type="dxa"/>
          </w:tcPr>
          <w:p w14:paraId="183646A2" w14:textId="77777777" w:rsidR="00655E7B" w:rsidRPr="0035210F" w:rsidRDefault="00655E7B" w:rsidP="004B28FE">
            <w:pPr>
              <w:tabs>
                <w:tab w:val="left" w:pos="318"/>
              </w:tabs>
              <w:spacing w:before="60" w:after="60"/>
              <w:jc w:val="center"/>
              <w:rPr>
                <w:color w:val="000000" w:themeColor="text1"/>
                <w:sz w:val="20"/>
              </w:rPr>
            </w:pPr>
            <w:r w:rsidRPr="0035210F">
              <w:rPr>
                <w:color w:val="000000" w:themeColor="text1"/>
                <w:sz w:val="20"/>
              </w:rPr>
              <w:t>2</w:t>
            </w:r>
          </w:p>
        </w:tc>
      </w:tr>
      <w:tr w:rsidR="00655E7B" w:rsidRPr="0035210F" w14:paraId="0193AFC0" w14:textId="77777777" w:rsidTr="004B28FE">
        <w:tc>
          <w:tcPr>
            <w:tcW w:w="3227" w:type="dxa"/>
          </w:tcPr>
          <w:p w14:paraId="41BE7DE5" w14:textId="77777777" w:rsidR="00655E7B" w:rsidRPr="0035210F" w:rsidRDefault="00655E7B" w:rsidP="004B28FE">
            <w:pPr>
              <w:tabs>
                <w:tab w:val="left" w:pos="318"/>
              </w:tabs>
              <w:spacing w:before="60" w:after="60"/>
              <w:rPr>
                <w:color w:val="000000" w:themeColor="text1"/>
                <w:sz w:val="20"/>
              </w:rPr>
            </w:pPr>
            <w:r w:rsidRPr="0035210F">
              <w:rPr>
                <w:color w:val="000000" w:themeColor="text1"/>
                <w:sz w:val="20"/>
              </w:rPr>
              <w:t>Expat adoptive parents</w:t>
            </w:r>
          </w:p>
        </w:tc>
        <w:tc>
          <w:tcPr>
            <w:tcW w:w="3544" w:type="dxa"/>
          </w:tcPr>
          <w:p w14:paraId="43F0A26B" w14:textId="77777777" w:rsidR="00655E7B" w:rsidRPr="0035210F" w:rsidRDefault="00655E7B" w:rsidP="004B28FE">
            <w:pPr>
              <w:tabs>
                <w:tab w:val="left" w:pos="318"/>
              </w:tabs>
              <w:spacing w:before="60" w:after="60"/>
              <w:jc w:val="center"/>
              <w:rPr>
                <w:color w:val="000000" w:themeColor="text1"/>
                <w:sz w:val="20"/>
              </w:rPr>
            </w:pPr>
            <w:r w:rsidRPr="0035210F">
              <w:rPr>
                <w:color w:val="000000" w:themeColor="text1"/>
                <w:sz w:val="20"/>
              </w:rPr>
              <w:t>1</w:t>
            </w:r>
          </w:p>
        </w:tc>
      </w:tr>
      <w:tr w:rsidR="00655E7B" w:rsidRPr="0035210F" w14:paraId="20EDF394" w14:textId="77777777" w:rsidTr="004B28FE">
        <w:tc>
          <w:tcPr>
            <w:tcW w:w="3227" w:type="dxa"/>
          </w:tcPr>
          <w:p w14:paraId="19CA1A2A" w14:textId="77777777" w:rsidR="00655E7B" w:rsidRPr="0035210F" w:rsidRDefault="00655E7B" w:rsidP="004B28FE">
            <w:pPr>
              <w:tabs>
                <w:tab w:val="left" w:pos="318"/>
              </w:tabs>
              <w:spacing w:before="60" w:after="60"/>
              <w:rPr>
                <w:color w:val="000000" w:themeColor="text1"/>
                <w:sz w:val="20"/>
              </w:rPr>
            </w:pPr>
            <w:r w:rsidRPr="0035210F">
              <w:rPr>
                <w:color w:val="000000" w:themeColor="text1"/>
                <w:sz w:val="20"/>
              </w:rPr>
              <w:t>Adoptee</w:t>
            </w:r>
          </w:p>
        </w:tc>
        <w:tc>
          <w:tcPr>
            <w:tcW w:w="3544" w:type="dxa"/>
          </w:tcPr>
          <w:p w14:paraId="795A86AF" w14:textId="77777777" w:rsidR="00655E7B" w:rsidRPr="0035210F" w:rsidRDefault="00655E7B" w:rsidP="004B28FE">
            <w:pPr>
              <w:tabs>
                <w:tab w:val="left" w:pos="318"/>
              </w:tabs>
              <w:spacing w:before="60" w:after="60"/>
              <w:jc w:val="center"/>
              <w:rPr>
                <w:color w:val="000000" w:themeColor="text1"/>
                <w:sz w:val="20"/>
              </w:rPr>
            </w:pPr>
            <w:r w:rsidRPr="0035210F">
              <w:rPr>
                <w:color w:val="000000" w:themeColor="text1"/>
                <w:sz w:val="20"/>
              </w:rPr>
              <w:t>1</w:t>
            </w:r>
          </w:p>
        </w:tc>
      </w:tr>
      <w:tr w:rsidR="00655E7B" w:rsidRPr="0035210F" w14:paraId="21C83143" w14:textId="77777777" w:rsidTr="004B28FE">
        <w:tc>
          <w:tcPr>
            <w:tcW w:w="3227" w:type="dxa"/>
          </w:tcPr>
          <w:p w14:paraId="63A64AB5" w14:textId="77777777" w:rsidR="00655E7B" w:rsidRPr="0035210F" w:rsidRDefault="00655E7B" w:rsidP="004B28FE">
            <w:pPr>
              <w:tabs>
                <w:tab w:val="left" w:pos="318"/>
              </w:tabs>
              <w:spacing w:before="60" w:after="60"/>
              <w:rPr>
                <w:b/>
                <w:color w:val="000000" w:themeColor="text1"/>
                <w:sz w:val="20"/>
              </w:rPr>
            </w:pPr>
            <w:r w:rsidRPr="0035210F">
              <w:rPr>
                <w:b/>
                <w:color w:val="000000" w:themeColor="text1"/>
                <w:sz w:val="20"/>
              </w:rPr>
              <w:t>Total</w:t>
            </w:r>
          </w:p>
        </w:tc>
        <w:tc>
          <w:tcPr>
            <w:tcW w:w="3544" w:type="dxa"/>
          </w:tcPr>
          <w:p w14:paraId="7D8CE8B4" w14:textId="77777777" w:rsidR="00655E7B" w:rsidRPr="0035210F" w:rsidRDefault="00655E7B" w:rsidP="004B28FE">
            <w:pPr>
              <w:tabs>
                <w:tab w:val="left" w:pos="318"/>
              </w:tabs>
              <w:spacing w:before="60" w:after="60"/>
              <w:jc w:val="center"/>
              <w:rPr>
                <w:color w:val="000000" w:themeColor="text1"/>
                <w:sz w:val="20"/>
              </w:rPr>
            </w:pPr>
            <w:r w:rsidRPr="0035210F">
              <w:rPr>
                <w:color w:val="000000" w:themeColor="text1"/>
                <w:sz w:val="20"/>
              </w:rPr>
              <w:t>27</w:t>
            </w:r>
          </w:p>
        </w:tc>
      </w:tr>
    </w:tbl>
    <w:p w14:paraId="18169229" w14:textId="231B387A" w:rsidR="00655E7B" w:rsidRDefault="00655E7B" w:rsidP="00655E7B">
      <w:pPr>
        <w:pStyle w:val="Paragraph"/>
      </w:pPr>
      <w:r>
        <w:t>While the reasons for using the IAA service varied</w:t>
      </w:r>
      <w:r w:rsidR="00F76235">
        <w:t>, the</w:t>
      </w:r>
      <w:r>
        <w:t xml:space="preserve"> majority of interviewees were seeking general information on ICA.  The reasons are detailed in </w:t>
      </w:r>
      <w:r w:rsidR="00F76235">
        <w:rPr>
          <w:rStyle w:val="Emphasis"/>
        </w:rPr>
        <w:t>Table B-12</w:t>
      </w:r>
      <w:r>
        <w:t xml:space="preserve">.  Three of the interviewees had more than one reason for using the service, resulting in a total of 28 responses. </w:t>
      </w:r>
    </w:p>
    <w:p w14:paraId="17777A51" w14:textId="38CD35C4" w:rsidR="009C3CC8" w:rsidRPr="009C3CC8" w:rsidRDefault="009C3CC8" w:rsidP="009C3CC8">
      <w:pPr>
        <w:pStyle w:val="Caption"/>
      </w:pPr>
      <w:r>
        <w:t xml:space="preserve">Table </w:t>
      </w:r>
      <w:r>
        <w:fldChar w:fldCharType="begin"/>
      </w:r>
      <w:r>
        <w:instrText xml:space="preserve"> STYLEREF 7 \s </w:instrText>
      </w:r>
      <w:r>
        <w:fldChar w:fldCharType="separate"/>
      </w:r>
      <w:r w:rsidR="00487073">
        <w:rPr>
          <w:noProof/>
        </w:rPr>
        <w:t>C</w:t>
      </w:r>
      <w:r>
        <w:fldChar w:fldCharType="end"/>
      </w:r>
      <w:r>
        <w:noBreakHyphen/>
      </w:r>
      <w:r>
        <w:fldChar w:fldCharType="begin"/>
      </w:r>
      <w:r>
        <w:instrText xml:space="preserve"> SEQ Table_Apx \* ARABIC \s 7 </w:instrText>
      </w:r>
      <w:r>
        <w:fldChar w:fldCharType="separate"/>
      </w:r>
      <w:r w:rsidR="00487073">
        <w:rPr>
          <w:noProof/>
        </w:rPr>
        <w:t>12</w:t>
      </w:r>
      <w:r>
        <w:fldChar w:fldCharType="end"/>
      </w:r>
      <w:r>
        <w:t>:</w:t>
      </w:r>
      <w:r>
        <w:tab/>
        <w:t>Interviewees’ r</w:t>
      </w:r>
      <w:r w:rsidRPr="00262D6D">
        <w:t>easons for using IAA service</w:t>
      </w:r>
    </w:p>
    <w:tbl>
      <w:tblPr>
        <w:tblStyle w:val="TableGrid7"/>
        <w:tblW w:w="0" w:type="auto"/>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Description w:val="Table C 12: Interviewees’ reasons for using IAA service"/>
      </w:tblPr>
      <w:tblGrid>
        <w:gridCol w:w="3794"/>
        <w:gridCol w:w="2977"/>
      </w:tblGrid>
      <w:tr w:rsidR="00655E7B" w:rsidRPr="0035210F" w14:paraId="40C82C7D" w14:textId="77777777" w:rsidTr="008E7495">
        <w:trPr>
          <w:tblHeader/>
        </w:trPr>
        <w:tc>
          <w:tcPr>
            <w:tcW w:w="3794" w:type="dxa"/>
            <w:tcBorders>
              <w:top w:val="single" w:sz="4" w:space="0" w:color="0079C1" w:themeColor="text2"/>
              <w:bottom w:val="single" w:sz="4" w:space="0" w:color="0079C1" w:themeColor="text2"/>
            </w:tcBorders>
            <w:shd w:val="clear" w:color="auto" w:fill="0079C1" w:themeFill="text2"/>
          </w:tcPr>
          <w:p w14:paraId="41E76142" w14:textId="77777777" w:rsidR="00655E7B" w:rsidRPr="0035210F" w:rsidRDefault="00655E7B" w:rsidP="004B28FE">
            <w:pPr>
              <w:keepLines/>
              <w:tabs>
                <w:tab w:val="left" w:pos="318"/>
              </w:tabs>
              <w:spacing w:before="120" w:after="120"/>
              <w:rPr>
                <w:rFonts w:eastAsiaTheme="minorHAnsi" w:cs="Calibri"/>
                <w:b/>
                <w:color w:val="FFFFFF" w:themeColor="background1"/>
                <w:sz w:val="20"/>
                <w:szCs w:val="20"/>
                <w:lang w:eastAsia="en-AU"/>
              </w:rPr>
            </w:pPr>
            <w:r w:rsidRPr="0035210F">
              <w:rPr>
                <w:rFonts w:eastAsiaTheme="minorHAnsi" w:cs="Calibri"/>
                <w:b/>
                <w:color w:val="FFFFFF" w:themeColor="background1"/>
                <w:sz w:val="20"/>
                <w:szCs w:val="20"/>
                <w:lang w:eastAsia="en-AU"/>
              </w:rPr>
              <w:t xml:space="preserve">Reason </w:t>
            </w:r>
          </w:p>
        </w:tc>
        <w:tc>
          <w:tcPr>
            <w:tcW w:w="2977" w:type="dxa"/>
            <w:tcBorders>
              <w:top w:val="single" w:sz="4" w:space="0" w:color="0079C1" w:themeColor="text2"/>
              <w:bottom w:val="single" w:sz="4" w:space="0" w:color="0079C1" w:themeColor="text2"/>
            </w:tcBorders>
            <w:shd w:val="clear" w:color="auto" w:fill="0079C1" w:themeFill="text2"/>
          </w:tcPr>
          <w:p w14:paraId="648AED8D" w14:textId="77777777" w:rsidR="00655E7B" w:rsidRPr="0035210F"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35210F">
              <w:rPr>
                <w:rFonts w:eastAsiaTheme="minorHAnsi" w:cs="Calibri"/>
                <w:b/>
                <w:color w:val="FFFFFF" w:themeColor="background1"/>
                <w:sz w:val="20"/>
                <w:szCs w:val="20"/>
                <w:lang w:eastAsia="en-AU"/>
              </w:rPr>
              <w:t>Number of interviewees</w:t>
            </w:r>
          </w:p>
        </w:tc>
      </w:tr>
      <w:tr w:rsidR="00655E7B" w:rsidRPr="0035210F" w14:paraId="66204203" w14:textId="77777777" w:rsidTr="00D67696">
        <w:tc>
          <w:tcPr>
            <w:tcW w:w="3794" w:type="dxa"/>
            <w:tcBorders>
              <w:top w:val="single" w:sz="4" w:space="0" w:color="0079C1" w:themeColor="text2"/>
            </w:tcBorders>
          </w:tcPr>
          <w:p w14:paraId="5A5F9153" w14:textId="77777777" w:rsidR="00655E7B" w:rsidRPr="0035210F" w:rsidRDefault="00655E7B" w:rsidP="004B28FE">
            <w:pPr>
              <w:tabs>
                <w:tab w:val="left" w:pos="318"/>
              </w:tabs>
              <w:spacing w:before="60" w:after="60"/>
              <w:rPr>
                <w:color w:val="000000" w:themeColor="text1"/>
                <w:sz w:val="20"/>
                <w:szCs w:val="20"/>
              </w:rPr>
            </w:pPr>
            <w:r w:rsidRPr="0035210F">
              <w:rPr>
                <w:color w:val="000000" w:themeColor="text1"/>
                <w:sz w:val="20"/>
                <w:szCs w:val="20"/>
              </w:rPr>
              <w:t>Information on ICA</w:t>
            </w:r>
          </w:p>
        </w:tc>
        <w:tc>
          <w:tcPr>
            <w:tcW w:w="2977" w:type="dxa"/>
            <w:tcBorders>
              <w:top w:val="single" w:sz="4" w:space="0" w:color="0079C1" w:themeColor="text2"/>
            </w:tcBorders>
          </w:tcPr>
          <w:p w14:paraId="1F56F5CB" w14:textId="77777777" w:rsidR="00655E7B" w:rsidRPr="0035210F" w:rsidRDefault="00655E7B" w:rsidP="004B28FE">
            <w:pPr>
              <w:tabs>
                <w:tab w:val="left" w:pos="318"/>
              </w:tabs>
              <w:spacing w:before="60" w:after="60"/>
              <w:jc w:val="center"/>
              <w:rPr>
                <w:color w:val="000000" w:themeColor="text1"/>
                <w:sz w:val="20"/>
                <w:szCs w:val="20"/>
              </w:rPr>
            </w:pPr>
            <w:r w:rsidRPr="0035210F">
              <w:rPr>
                <w:color w:val="000000" w:themeColor="text1"/>
                <w:sz w:val="20"/>
                <w:szCs w:val="20"/>
              </w:rPr>
              <w:t>22</w:t>
            </w:r>
          </w:p>
        </w:tc>
      </w:tr>
      <w:tr w:rsidR="00655E7B" w:rsidRPr="0035210F" w14:paraId="7866B028" w14:textId="77777777" w:rsidTr="00D67696">
        <w:tc>
          <w:tcPr>
            <w:tcW w:w="3794" w:type="dxa"/>
          </w:tcPr>
          <w:p w14:paraId="7E91620D" w14:textId="77777777" w:rsidR="00655E7B" w:rsidRPr="0035210F" w:rsidRDefault="00655E7B" w:rsidP="004B28FE">
            <w:pPr>
              <w:tabs>
                <w:tab w:val="left" w:pos="318"/>
              </w:tabs>
              <w:spacing w:before="60" w:after="60"/>
              <w:rPr>
                <w:color w:val="000000" w:themeColor="text1"/>
                <w:sz w:val="20"/>
                <w:szCs w:val="20"/>
              </w:rPr>
            </w:pPr>
            <w:r w:rsidRPr="0035210F">
              <w:rPr>
                <w:color w:val="000000" w:themeColor="text1"/>
                <w:sz w:val="20"/>
                <w:szCs w:val="20"/>
              </w:rPr>
              <w:t>Information on expat adoption</w:t>
            </w:r>
          </w:p>
        </w:tc>
        <w:tc>
          <w:tcPr>
            <w:tcW w:w="2977" w:type="dxa"/>
          </w:tcPr>
          <w:p w14:paraId="2A6B7B52" w14:textId="77777777" w:rsidR="00655E7B" w:rsidRPr="0035210F" w:rsidRDefault="00655E7B" w:rsidP="004B28FE">
            <w:pPr>
              <w:tabs>
                <w:tab w:val="left" w:pos="318"/>
              </w:tabs>
              <w:spacing w:before="60" w:after="60"/>
              <w:jc w:val="center"/>
              <w:rPr>
                <w:color w:val="000000" w:themeColor="text1"/>
                <w:sz w:val="20"/>
                <w:szCs w:val="20"/>
              </w:rPr>
            </w:pPr>
            <w:r w:rsidRPr="0035210F">
              <w:rPr>
                <w:color w:val="000000" w:themeColor="text1"/>
                <w:sz w:val="20"/>
                <w:szCs w:val="20"/>
              </w:rPr>
              <w:t>1</w:t>
            </w:r>
          </w:p>
        </w:tc>
      </w:tr>
      <w:tr w:rsidR="00655E7B" w:rsidRPr="0035210F" w14:paraId="3E55C337" w14:textId="77777777" w:rsidTr="00D67696">
        <w:tc>
          <w:tcPr>
            <w:tcW w:w="3794" w:type="dxa"/>
          </w:tcPr>
          <w:p w14:paraId="1680F7A7" w14:textId="77777777" w:rsidR="00655E7B" w:rsidRPr="0035210F" w:rsidRDefault="00655E7B" w:rsidP="00F76235">
            <w:pPr>
              <w:tabs>
                <w:tab w:val="left" w:pos="318"/>
              </w:tabs>
              <w:spacing w:before="60" w:after="60"/>
              <w:rPr>
                <w:color w:val="000000" w:themeColor="text1"/>
                <w:sz w:val="20"/>
                <w:szCs w:val="20"/>
              </w:rPr>
            </w:pPr>
            <w:r w:rsidRPr="0035210F">
              <w:rPr>
                <w:color w:val="000000" w:themeColor="text1"/>
                <w:sz w:val="20"/>
                <w:szCs w:val="20"/>
              </w:rPr>
              <w:t>Information on local adoption</w:t>
            </w:r>
          </w:p>
        </w:tc>
        <w:tc>
          <w:tcPr>
            <w:tcW w:w="2977" w:type="dxa"/>
          </w:tcPr>
          <w:p w14:paraId="6CA984BA" w14:textId="77777777" w:rsidR="00655E7B" w:rsidRPr="0035210F" w:rsidRDefault="00655E7B" w:rsidP="00D67696">
            <w:pPr>
              <w:tabs>
                <w:tab w:val="left" w:pos="318"/>
              </w:tabs>
              <w:spacing w:before="60" w:after="60"/>
              <w:jc w:val="center"/>
              <w:rPr>
                <w:color w:val="000000" w:themeColor="text1"/>
                <w:sz w:val="20"/>
                <w:szCs w:val="20"/>
              </w:rPr>
            </w:pPr>
            <w:r w:rsidRPr="0035210F">
              <w:rPr>
                <w:color w:val="000000" w:themeColor="text1"/>
                <w:sz w:val="20"/>
                <w:szCs w:val="20"/>
              </w:rPr>
              <w:t>1</w:t>
            </w:r>
          </w:p>
        </w:tc>
      </w:tr>
      <w:tr w:rsidR="00655E7B" w:rsidRPr="0035210F" w14:paraId="732AA596" w14:textId="77777777" w:rsidTr="00D67696">
        <w:tc>
          <w:tcPr>
            <w:tcW w:w="3794" w:type="dxa"/>
          </w:tcPr>
          <w:p w14:paraId="7B2EE154" w14:textId="77777777" w:rsidR="00655E7B" w:rsidRPr="0035210F" w:rsidRDefault="00655E7B" w:rsidP="004B28FE">
            <w:pPr>
              <w:tabs>
                <w:tab w:val="left" w:pos="318"/>
              </w:tabs>
              <w:spacing w:before="60" w:after="60"/>
              <w:rPr>
                <w:color w:val="000000" w:themeColor="text1"/>
                <w:sz w:val="20"/>
                <w:szCs w:val="20"/>
              </w:rPr>
            </w:pPr>
            <w:r w:rsidRPr="0035210F">
              <w:rPr>
                <w:color w:val="000000" w:themeColor="text1"/>
                <w:sz w:val="20"/>
                <w:szCs w:val="20"/>
              </w:rPr>
              <w:t>Immigration support</w:t>
            </w:r>
          </w:p>
        </w:tc>
        <w:tc>
          <w:tcPr>
            <w:tcW w:w="2977" w:type="dxa"/>
          </w:tcPr>
          <w:p w14:paraId="5087573D" w14:textId="77777777" w:rsidR="00655E7B" w:rsidRPr="0035210F" w:rsidRDefault="00655E7B" w:rsidP="004B28FE">
            <w:pPr>
              <w:tabs>
                <w:tab w:val="left" w:pos="318"/>
              </w:tabs>
              <w:spacing w:before="60" w:after="60"/>
              <w:jc w:val="center"/>
              <w:rPr>
                <w:color w:val="000000" w:themeColor="text1"/>
                <w:sz w:val="20"/>
                <w:szCs w:val="20"/>
              </w:rPr>
            </w:pPr>
            <w:r w:rsidRPr="0035210F">
              <w:rPr>
                <w:color w:val="000000" w:themeColor="text1"/>
                <w:sz w:val="20"/>
                <w:szCs w:val="20"/>
              </w:rPr>
              <w:t>2</w:t>
            </w:r>
          </w:p>
        </w:tc>
      </w:tr>
      <w:tr w:rsidR="00655E7B" w:rsidRPr="0035210F" w14:paraId="22A49A69" w14:textId="77777777" w:rsidTr="00D67696">
        <w:tc>
          <w:tcPr>
            <w:tcW w:w="3794" w:type="dxa"/>
          </w:tcPr>
          <w:p w14:paraId="461F50F2" w14:textId="77777777" w:rsidR="00655E7B" w:rsidRPr="0035210F" w:rsidRDefault="00655E7B" w:rsidP="004B28FE">
            <w:pPr>
              <w:tabs>
                <w:tab w:val="left" w:pos="318"/>
              </w:tabs>
              <w:spacing w:before="60" w:after="60"/>
              <w:rPr>
                <w:color w:val="000000" w:themeColor="text1"/>
                <w:sz w:val="20"/>
                <w:szCs w:val="20"/>
              </w:rPr>
            </w:pPr>
            <w:r w:rsidRPr="0035210F">
              <w:rPr>
                <w:color w:val="000000" w:themeColor="text1"/>
                <w:sz w:val="20"/>
                <w:szCs w:val="20"/>
              </w:rPr>
              <w:t>Post-adoption support</w:t>
            </w:r>
          </w:p>
        </w:tc>
        <w:tc>
          <w:tcPr>
            <w:tcW w:w="2977" w:type="dxa"/>
          </w:tcPr>
          <w:p w14:paraId="3A712BA8" w14:textId="77777777" w:rsidR="00655E7B" w:rsidRPr="0035210F" w:rsidRDefault="00655E7B" w:rsidP="004B28FE">
            <w:pPr>
              <w:tabs>
                <w:tab w:val="left" w:pos="318"/>
              </w:tabs>
              <w:spacing w:before="60" w:after="60"/>
              <w:jc w:val="center"/>
              <w:rPr>
                <w:color w:val="000000" w:themeColor="text1"/>
                <w:sz w:val="20"/>
                <w:szCs w:val="20"/>
              </w:rPr>
            </w:pPr>
            <w:r w:rsidRPr="0035210F">
              <w:rPr>
                <w:color w:val="000000" w:themeColor="text1"/>
                <w:sz w:val="20"/>
                <w:szCs w:val="20"/>
              </w:rPr>
              <w:t>2</w:t>
            </w:r>
          </w:p>
        </w:tc>
      </w:tr>
      <w:tr w:rsidR="00655E7B" w:rsidRPr="0035210F" w14:paraId="572BC1EE" w14:textId="77777777" w:rsidTr="00D67696">
        <w:tc>
          <w:tcPr>
            <w:tcW w:w="3794" w:type="dxa"/>
          </w:tcPr>
          <w:p w14:paraId="1FC46179" w14:textId="77777777" w:rsidR="00655E7B" w:rsidRPr="0035210F" w:rsidRDefault="00655E7B" w:rsidP="004B28FE">
            <w:pPr>
              <w:tabs>
                <w:tab w:val="left" w:pos="318"/>
              </w:tabs>
              <w:spacing w:before="60" w:after="60"/>
              <w:rPr>
                <w:b/>
                <w:color w:val="000000" w:themeColor="text1"/>
                <w:sz w:val="20"/>
                <w:szCs w:val="20"/>
              </w:rPr>
            </w:pPr>
            <w:r w:rsidRPr="0035210F">
              <w:rPr>
                <w:b/>
                <w:color w:val="000000" w:themeColor="text1"/>
                <w:sz w:val="20"/>
                <w:szCs w:val="20"/>
              </w:rPr>
              <w:t>Total</w:t>
            </w:r>
          </w:p>
        </w:tc>
        <w:tc>
          <w:tcPr>
            <w:tcW w:w="2977" w:type="dxa"/>
          </w:tcPr>
          <w:p w14:paraId="4BDC22B1" w14:textId="77777777" w:rsidR="00655E7B" w:rsidRPr="0035210F" w:rsidRDefault="00655E7B" w:rsidP="004B28FE">
            <w:pPr>
              <w:tabs>
                <w:tab w:val="left" w:pos="318"/>
              </w:tabs>
              <w:spacing w:before="60" w:after="60"/>
              <w:jc w:val="center"/>
              <w:rPr>
                <w:color w:val="000000" w:themeColor="text1"/>
                <w:sz w:val="20"/>
                <w:szCs w:val="20"/>
              </w:rPr>
            </w:pPr>
            <w:r w:rsidRPr="0035210F">
              <w:rPr>
                <w:color w:val="000000" w:themeColor="text1"/>
                <w:sz w:val="20"/>
                <w:szCs w:val="20"/>
              </w:rPr>
              <w:t>28*</w:t>
            </w:r>
          </w:p>
        </w:tc>
      </w:tr>
    </w:tbl>
    <w:p w14:paraId="44BBBB4D" w14:textId="77777777" w:rsidR="00655E7B" w:rsidRPr="00BA6DB0" w:rsidRDefault="00655E7B" w:rsidP="00655E7B">
      <w:pPr>
        <w:pStyle w:val="Paragraph"/>
        <w:spacing w:before="0" w:after="0"/>
        <w:rPr>
          <w:sz w:val="18"/>
          <w:szCs w:val="18"/>
        </w:rPr>
      </w:pPr>
      <w:r w:rsidRPr="00BA6DB0">
        <w:rPr>
          <w:sz w:val="18"/>
          <w:szCs w:val="18"/>
        </w:rPr>
        <w:lastRenderedPageBreak/>
        <w:t>* Three of the interviewees had more than one reason for using the service, resulting in a total of 28 responses.</w:t>
      </w:r>
    </w:p>
    <w:p w14:paraId="710D4BC4" w14:textId="77777777" w:rsidR="00655E7B" w:rsidRDefault="00655E7B" w:rsidP="00655E7B">
      <w:pPr>
        <w:pStyle w:val="Paragraph"/>
      </w:pPr>
      <w:r>
        <w:t>All</w:t>
      </w:r>
      <w:r w:rsidRPr="004A71EA">
        <w:t xml:space="preserve"> </w:t>
      </w:r>
      <w:r>
        <w:t xml:space="preserve">interviewees expected accurate and up to date information in a timely manner to inform and guide them through the adoption and immigration processes, and to provide them with post-adoption services. </w:t>
      </w:r>
    </w:p>
    <w:p w14:paraId="26209365" w14:textId="77777777" w:rsidR="00655E7B" w:rsidRDefault="00655E7B" w:rsidP="00655E7B">
      <w:pPr>
        <w:pStyle w:val="Paragraph"/>
      </w:pPr>
      <w:r>
        <w:t>Eight of the 25 interviewees received a referral, with six respondents saying they found the referral useful.</w:t>
      </w:r>
    </w:p>
    <w:p w14:paraId="41D0A096" w14:textId="77777777" w:rsidR="00655E7B" w:rsidRPr="00CB4CC9" w:rsidRDefault="00655E7B" w:rsidP="007F0F4F">
      <w:pPr>
        <w:pStyle w:val="Heading9"/>
      </w:pPr>
      <w:r w:rsidRPr="00CB4CC9">
        <w:t xml:space="preserve">Reasons </w:t>
      </w:r>
      <w:r>
        <w:t xml:space="preserve">IAA is </w:t>
      </w:r>
      <w:r w:rsidRPr="00CB4CC9">
        <w:t>not meeting expectation</w:t>
      </w:r>
      <w:r>
        <w:t>s</w:t>
      </w:r>
    </w:p>
    <w:p w14:paraId="7BAD7BE5" w14:textId="34690493" w:rsidR="00655E7B" w:rsidRDefault="00655E7B" w:rsidP="00655E7B">
      <w:pPr>
        <w:pStyle w:val="Paragraph"/>
      </w:pPr>
      <w:r>
        <w:t>The interviewees who indicated that the service did not meet their expectations</w:t>
      </w:r>
      <w:r w:rsidR="00F76235">
        <w:t xml:space="preserve"> </w:t>
      </w:r>
      <w:r>
        <w:t>expressed frustration with</w:t>
      </w:r>
      <w:r w:rsidR="00D70F9D">
        <w:t xml:space="preserve"> the following, some of which were outside the scope of the IAA service</w:t>
      </w:r>
      <w:r>
        <w:t>:</w:t>
      </w:r>
    </w:p>
    <w:p w14:paraId="4977057D" w14:textId="77777777" w:rsidR="00655E7B" w:rsidRDefault="00655E7B" w:rsidP="00655E7B">
      <w:pPr>
        <w:pStyle w:val="Bullet1"/>
      </w:pPr>
      <w:r>
        <w:t xml:space="preserve">The inability: </w:t>
      </w:r>
    </w:p>
    <w:p w14:paraId="761A6BA4" w14:textId="31B814E4" w:rsidR="00655E7B" w:rsidRDefault="00F76235" w:rsidP="00655E7B">
      <w:pPr>
        <w:pStyle w:val="Bullet2"/>
      </w:pPr>
      <w:r>
        <w:t>T</w:t>
      </w:r>
      <w:r w:rsidR="00655E7B">
        <w:t>o adopt from countries of their choice</w:t>
      </w:r>
      <w:r w:rsidR="00D70F9D">
        <w:rPr>
          <w:rStyle w:val="FootnoteReference"/>
        </w:rPr>
        <w:footnoteReference w:id="6"/>
      </w:r>
      <w:r w:rsidR="00655E7B">
        <w:t xml:space="preserve"> </w:t>
      </w:r>
    </w:p>
    <w:p w14:paraId="6EA06D9C" w14:textId="6084CFDA" w:rsidR="00655E7B" w:rsidRDefault="00F76235" w:rsidP="00655E7B">
      <w:pPr>
        <w:pStyle w:val="Bullet2"/>
      </w:pPr>
      <w:r>
        <w:t>T</w:t>
      </w:r>
      <w:r w:rsidR="00655E7B">
        <w:t>o adopt while they are living outside of Australia</w:t>
      </w:r>
    </w:p>
    <w:p w14:paraId="1B99DD67" w14:textId="03B0F476" w:rsidR="00655E7B" w:rsidRDefault="00F76235" w:rsidP="00655E7B">
      <w:pPr>
        <w:pStyle w:val="Bullet2"/>
      </w:pPr>
      <w:r>
        <w:t>O</w:t>
      </w:r>
      <w:r w:rsidR="00655E7B">
        <w:t>f the IAA to influence the STCA processes</w:t>
      </w:r>
    </w:p>
    <w:p w14:paraId="78CF8943" w14:textId="19FA6660" w:rsidR="00655E7B" w:rsidRDefault="00F76235" w:rsidP="00655E7B">
      <w:pPr>
        <w:pStyle w:val="Bullet2"/>
      </w:pPr>
      <w:r>
        <w:t>To secure</w:t>
      </w:r>
      <w:r w:rsidR="00655E7B">
        <w:t xml:space="preserve"> Australian citizenship for expatriate adoptees while they are living outside of Australia</w:t>
      </w:r>
    </w:p>
    <w:p w14:paraId="4CD1CF2B" w14:textId="77777777" w:rsidR="00655E7B" w:rsidRDefault="00655E7B" w:rsidP="00EA0E41">
      <w:pPr>
        <w:pStyle w:val="Paragraph"/>
        <w:numPr>
          <w:ilvl w:val="0"/>
          <w:numId w:val="18"/>
        </w:numPr>
      </w:pPr>
      <w:r>
        <w:t>The ‘run around’ to get information and approval between the STCAs and IAA.</w:t>
      </w:r>
    </w:p>
    <w:p w14:paraId="280579F7" w14:textId="77777777" w:rsidR="00655E7B" w:rsidRDefault="00655E7B" w:rsidP="00655E7B">
      <w:pPr>
        <w:pStyle w:val="Paragraph"/>
      </w:pPr>
      <w:r>
        <w:t xml:space="preserve">The responses to the question on whether the interviewees received the information they needed are aligned with their expectations and whether they were met.  The interviewees who did not receive the information they needed were the same cohort who did not have their expectations met. </w:t>
      </w:r>
    </w:p>
    <w:p w14:paraId="7524CE4C" w14:textId="01CE559E" w:rsidR="00655E7B" w:rsidRDefault="00655E7B" w:rsidP="00655E7B">
      <w:pPr>
        <w:pStyle w:val="Paragraph"/>
      </w:pPr>
      <w:r>
        <w:t xml:space="preserve">One interviewee, who indicated that the IAA staff did not listen, wanted to adopt a child from a non-partner country.  This interviewee expressed tremendous frustration and could not understand why Australians could not adopt from </w:t>
      </w:r>
      <w:r w:rsidR="00F76235">
        <w:t>a</w:t>
      </w:r>
      <w:r>
        <w:t xml:space="preserve"> non-partner country. </w:t>
      </w:r>
    </w:p>
    <w:p w14:paraId="200B2416" w14:textId="1436EBF9" w:rsidR="00655E7B" w:rsidRDefault="00655E7B" w:rsidP="00655E7B">
      <w:pPr>
        <w:pStyle w:val="Paragraph"/>
      </w:pPr>
      <w:r>
        <w:t xml:space="preserve">Interviewees were asked whether the IAA service made their experiences of the ICA process positive.  All but two respondents answered affirmatively.  Of the two negative responses, one related to an intended adoption from a non-partner country and the other related to an interviewee who wanted to obtain Australian citizenship for adoptees while living overseas. </w:t>
      </w:r>
      <w:r w:rsidR="00D70F9D">
        <w:t xml:space="preserve"> Again, these latter responses reflect issues that were outside the scope of the service. </w:t>
      </w:r>
    </w:p>
    <w:p w14:paraId="667417D0" w14:textId="77777777" w:rsidR="00655E7B" w:rsidRDefault="00655E7B" w:rsidP="00655E7B">
      <w:pPr>
        <w:pStyle w:val="Paragraph"/>
      </w:pPr>
      <w:r>
        <w:t xml:space="preserve">Several interviewees did not respond to </w:t>
      </w:r>
      <w:r w:rsidRPr="002C7D71">
        <w:t>question</w:t>
      </w:r>
      <w:r>
        <w:t>s about whether the IAA staff listened, whether the service had a positive impact on their ICA experience or whether there were any gaps in the IAA service</w:t>
      </w:r>
      <w:r w:rsidRPr="002C7D71">
        <w:t>.</w:t>
      </w:r>
      <w:r>
        <w:t xml:space="preserve"> The same cohort did not respond to these three questions. </w:t>
      </w:r>
    </w:p>
    <w:p w14:paraId="0EC26CC5" w14:textId="77777777" w:rsidR="00655E7B" w:rsidRPr="00611CEE" w:rsidRDefault="00655E7B" w:rsidP="007F0F4F">
      <w:pPr>
        <w:pStyle w:val="Heading9"/>
      </w:pPr>
      <w:r w:rsidRPr="00611CEE">
        <w:t xml:space="preserve">What difference has </w:t>
      </w:r>
      <w:r>
        <w:t>the</w:t>
      </w:r>
      <w:r w:rsidRPr="00611CEE">
        <w:t xml:space="preserve"> IAA made to the ICA experience?</w:t>
      </w:r>
    </w:p>
    <w:p w14:paraId="53D36BC0" w14:textId="77777777" w:rsidR="00655E7B" w:rsidRDefault="00655E7B" w:rsidP="00655E7B">
      <w:pPr>
        <w:pStyle w:val="Paragraph"/>
      </w:pPr>
      <w:r>
        <w:t>There were four responses to this question with three of them indicating that it has improved their access to information on ICA.  The fourth response expressed disappointment with the IAA service, claiming it has “</w:t>
      </w:r>
      <w:r w:rsidRPr="00BA6DB0">
        <w:rPr>
          <w:rStyle w:val="Emphasis"/>
        </w:rPr>
        <w:t>added more uncertainty to the process and was a big waste of money</w:t>
      </w:r>
      <w:r>
        <w:t>”.</w:t>
      </w:r>
    </w:p>
    <w:p w14:paraId="70D988B4" w14:textId="77777777" w:rsidR="00655E7B" w:rsidRPr="00C63497" w:rsidRDefault="00655E7B" w:rsidP="007F0F4F">
      <w:pPr>
        <w:pStyle w:val="Heading9"/>
      </w:pPr>
      <w:r w:rsidRPr="00C63497">
        <w:lastRenderedPageBreak/>
        <w:t>Other comments</w:t>
      </w:r>
    </w:p>
    <w:p w14:paraId="645E4711" w14:textId="5F476A87" w:rsidR="00655E7B" w:rsidRDefault="00655E7B" w:rsidP="00655E7B">
      <w:pPr>
        <w:pStyle w:val="Paragraph"/>
      </w:pPr>
      <w:r>
        <w:t>At the conclusion of the in-depth interview, interviewees were invited to provide any further comments. Most interviewees used the opportunity to suggest improvements, voice their frustrations and disappointment, and share their stories.  Where pertinent, these comments have been included in previous sections of this report.  The following comments have not been included earlier in the report</w:t>
      </w:r>
      <w:r w:rsidR="00A91B9F">
        <w:t>, some of which are out of the control of IAA:</w:t>
      </w:r>
    </w:p>
    <w:p w14:paraId="0FD943C0" w14:textId="77777777" w:rsidR="00655E7B" w:rsidRDefault="00655E7B" w:rsidP="00EA0E41">
      <w:pPr>
        <w:pStyle w:val="Paragraph"/>
        <w:numPr>
          <w:ilvl w:val="0"/>
          <w:numId w:val="19"/>
        </w:numPr>
      </w:pPr>
      <w:r>
        <w:t>Ten interviewees said the ICA process could be simpler, with one respondent raising strong objection to the personal nature of the control that the STCA can impose on people considering or going through the process of ICA</w:t>
      </w:r>
    </w:p>
    <w:p w14:paraId="1D08D7CC" w14:textId="77777777" w:rsidR="00655E7B" w:rsidRDefault="00655E7B" w:rsidP="00EA0E41">
      <w:pPr>
        <w:pStyle w:val="Paragraph"/>
        <w:numPr>
          <w:ilvl w:val="0"/>
          <w:numId w:val="19"/>
        </w:numPr>
      </w:pPr>
      <w:r>
        <w:t>Three respondents complimented the IAA service and indicated that they were happy and impressed with the whole service</w:t>
      </w:r>
    </w:p>
    <w:p w14:paraId="774B65AD" w14:textId="77777777" w:rsidR="00655E7B" w:rsidRDefault="00655E7B" w:rsidP="00EA0E41">
      <w:pPr>
        <w:pStyle w:val="Paragraph"/>
        <w:numPr>
          <w:ilvl w:val="0"/>
          <w:numId w:val="19"/>
        </w:numPr>
      </w:pPr>
      <w:r>
        <w:t xml:space="preserve">The requirement to be in a stable traditional male/female relationship was commented on as being unfair by two respondents </w:t>
      </w:r>
    </w:p>
    <w:p w14:paraId="2288A35F" w14:textId="77777777" w:rsidR="00655E7B" w:rsidRDefault="00655E7B" w:rsidP="00EA0E41">
      <w:pPr>
        <w:pStyle w:val="Paragraph"/>
        <w:numPr>
          <w:ilvl w:val="0"/>
          <w:numId w:val="19"/>
        </w:numPr>
      </w:pPr>
      <w:r>
        <w:t>The cost of ICA was considered too expensive by two respondents.</w:t>
      </w:r>
    </w:p>
    <w:p w14:paraId="6EF0415C" w14:textId="77777777" w:rsidR="00655E7B" w:rsidRDefault="00655E7B" w:rsidP="007F0F4F">
      <w:pPr>
        <w:pStyle w:val="Heading9"/>
      </w:pPr>
      <w:r>
        <w:t>Those who have not used the service</w:t>
      </w:r>
    </w:p>
    <w:p w14:paraId="12085C10" w14:textId="77777777" w:rsidR="00655E7B" w:rsidRPr="00B97DCD" w:rsidRDefault="00655E7B" w:rsidP="00655E7B">
      <w:pPr>
        <w:pStyle w:val="Paragraph"/>
      </w:pPr>
      <w:r w:rsidRPr="00B97DCD">
        <w:t xml:space="preserve">In-depth consultations were conducted with 10 survey respondents who had indicated that they had </w:t>
      </w:r>
      <w:r>
        <w:t xml:space="preserve">not </w:t>
      </w:r>
      <w:r w:rsidRPr="00B97DCD">
        <w:t xml:space="preserve">used the IAA service and provided consent to be contacted for a more detailed discussion. </w:t>
      </w:r>
      <w:r>
        <w:t xml:space="preserve"> </w:t>
      </w:r>
      <w:r w:rsidRPr="00B97DCD">
        <w:t xml:space="preserve">The original aim was to speak with 25 people but thematic saturation was reached much earlier than this. </w:t>
      </w:r>
      <w:r>
        <w:t xml:space="preserve"> </w:t>
      </w:r>
      <w:r w:rsidRPr="00B97DCD">
        <w:t xml:space="preserve">The in-depth consultations were carried out </w:t>
      </w:r>
      <w:r>
        <w:t>by telephone</w:t>
      </w:r>
      <w:r w:rsidRPr="00B97DCD">
        <w:t xml:space="preserve"> and included people from different stages of the ICA process. </w:t>
      </w:r>
    </w:p>
    <w:p w14:paraId="65C08C2E" w14:textId="77777777" w:rsidR="00655E7B" w:rsidRPr="00B97DCD" w:rsidRDefault="00655E7B" w:rsidP="00655E7B">
      <w:pPr>
        <w:pStyle w:val="Bullet1"/>
      </w:pPr>
      <w:r w:rsidRPr="00B97DCD">
        <w:t>Three respondents were thinking about/wanting to adopt</w:t>
      </w:r>
    </w:p>
    <w:p w14:paraId="26CEADA9" w14:textId="77777777" w:rsidR="00655E7B" w:rsidRPr="00B97DCD" w:rsidRDefault="00655E7B" w:rsidP="00655E7B">
      <w:pPr>
        <w:pStyle w:val="Bullet1"/>
      </w:pPr>
      <w:r w:rsidRPr="00B97DCD">
        <w:t>Three respondents had decided against adoption</w:t>
      </w:r>
    </w:p>
    <w:p w14:paraId="61E8E3EA" w14:textId="77777777" w:rsidR="00655E7B" w:rsidRPr="00B97DCD" w:rsidRDefault="00655E7B" w:rsidP="00655E7B">
      <w:pPr>
        <w:pStyle w:val="Bullet1"/>
      </w:pPr>
      <w:r w:rsidRPr="00B97DCD">
        <w:t>One had already adopted a child, and was seeking to adopt again</w:t>
      </w:r>
    </w:p>
    <w:p w14:paraId="3E7C78B3" w14:textId="77777777" w:rsidR="00655E7B" w:rsidRPr="00B97DCD" w:rsidRDefault="00655E7B" w:rsidP="00655E7B">
      <w:pPr>
        <w:pStyle w:val="Bullet1"/>
      </w:pPr>
      <w:r w:rsidRPr="00B97DCD">
        <w:t>Three were at the post adoption stage</w:t>
      </w:r>
    </w:p>
    <w:p w14:paraId="482F4C0F" w14:textId="6A2CA8F3" w:rsidR="00655E7B" w:rsidRPr="00C952AA" w:rsidRDefault="00655E7B" w:rsidP="00655E7B">
      <w:pPr>
        <w:pStyle w:val="Paragraph"/>
      </w:pPr>
      <w:r w:rsidRPr="00C952AA">
        <w:t xml:space="preserve">Most (80%) of respondents were female, all respondents were married, 90% were Australian citizens (10% unknown) and 90% were non-Indigenous (10% unknown).  Half of the respondents </w:t>
      </w:r>
      <w:r>
        <w:t>were aged between</w:t>
      </w:r>
      <w:r w:rsidRPr="00C952AA">
        <w:t xml:space="preserve"> 46</w:t>
      </w:r>
      <w:r>
        <w:t xml:space="preserve"> and </w:t>
      </w:r>
      <w:r w:rsidRPr="00C952AA">
        <w:t>55, 40% were aged 30-45 and</w:t>
      </w:r>
      <w:r>
        <w:t xml:space="preserve"> the age of one person</w:t>
      </w:r>
      <w:r w:rsidRPr="00C952AA">
        <w:t xml:space="preserve"> was unknown.</w:t>
      </w:r>
      <w:r>
        <w:t xml:space="preserve"> </w:t>
      </w:r>
      <w:r w:rsidRPr="00C952AA">
        <w:t xml:space="preserve"> Half of the respondents were not from a </w:t>
      </w:r>
      <w:r>
        <w:t>CALD</w:t>
      </w:r>
      <w:r w:rsidRPr="00C952AA">
        <w:t xml:space="preserve"> background, 40% indicated that they were and 10% was </w:t>
      </w:r>
      <w:r w:rsidR="00F76235">
        <w:t>not stated</w:t>
      </w:r>
      <w:r w:rsidRPr="00C952AA">
        <w:t xml:space="preserve"> </w:t>
      </w:r>
    </w:p>
    <w:p w14:paraId="5985BDE7" w14:textId="728EB821" w:rsidR="00655E7B" w:rsidRPr="00C952AA" w:rsidRDefault="00655E7B" w:rsidP="00655E7B">
      <w:pPr>
        <w:pStyle w:val="Paragraph"/>
      </w:pPr>
      <w:r w:rsidRPr="00C952AA">
        <w:t xml:space="preserve">The major reason cited for not using the IAA service was that it did not exist when respondents commenced the ICA process. </w:t>
      </w:r>
      <w:r>
        <w:t xml:space="preserve"> </w:t>
      </w:r>
      <w:r w:rsidRPr="00C952AA">
        <w:t xml:space="preserve">The breakdown of </w:t>
      </w:r>
      <w:r>
        <w:t>interviewees’</w:t>
      </w:r>
      <w:r w:rsidRPr="00C952AA">
        <w:t xml:space="preserve"> reasons is detailed in </w:t>
      </w:r>
      <w:r w:rsidR="00F76235" w:rsidRPr="00F76235">
        <w:rPr>
          <w:rStyle w:val="Emphasis"/>
        </w:rPr>
        <w:t>Table B-14</w:t>
      </w:r>
      <w:r w:rsidRPr="00F76235">
        <w:rPr>
          <w:rStyle w:val="Emphasis"/>
        </w:rPr>
        <w:t>.</w:t>
      </w:r>
      <w:r w:rsidRPr="00C952AA">
        <w:t xml:space="preserve"> </w:t>
      </w:r>
    </w:p>
    <w:p w14:paraId="5E10ED1D" w14:textId="011FE251" w:rsidR="009C3CC8" w:rsidRPr="009C3CC8" w:rsidRDefault="009C3CC8" w:rsidP="009C3CC8">
      <w:pPr>
        <w:pStyle w:val="Caption"/>
      </w:pPr>
      <w:r>
        <w:t xml:space="preserve">Table </w:t>
      </w:r>
      <w:r>
        <w:fldChar w:fldCharType="begin"/>
      </w:r>
      <w:r>
        <w:instrText xml:space="preserve"> STYLEREF 7 \s </w:instrText>
      </w:r>
      <w:r>
        <w:fldChar w:fldCharType="separate"/>
      </w:r>
      <w:r w:rsidR="00487073">
        <w:rPr>
          <w:noProof/>
        </w:rPr>
        <w:t>C</w:t>
      </w:r>
      <w:r>
        <w:fldChar w:fldCharType="end"/>
      </w:r>
      <w:r>
        <w:noBreakHyphen/>
      </w:r>
      <w:r>
        <w:fldChar w:fldCharType="begin"/>
      </w:r>
      <w:r>
        <w:instrText xml:space="preserve"> SEQ Table_Apx \* ARABIC \s 7 </w:instrText>
      </w:r>
      <w:r>
        <w:fldChar w:fldCharType="separate"/>
      </w:r>
      <w:r w:rsidR="00487073">
        <w:rPr>
          <w:noProof/>
        </w:rPr>
        <w:t>13</w:t>
      </w:r>
      <w:r>
        <w:fldChar w:fldCharType="end"/>
      </w:r>
      <w:r>
        <w:t>:</w:t>
      </w:r>
      <w:r>
        <w:tab/>
        <w:t>Interviewees’ r</w:t>
      </w:r>
      <w:r w:rsidRPr="00262D6D">
        <w:t xml:space="preserve">easons for not using </w:t>
      </w:r>
      <w:r>
        <w:t xml:space="preserve">the </w:t>
      </w:r>
      <w:r w:rsidRPr="00262D6D">
        <w:t>IAA service</w:t>
      </w:r>
    </w:p>
    <w:tbl>
      <w:tblPr>
        <w:tblStyle w:val="TableGrid9"/>
        <w:tblW w:w="0" w:type="auto"/>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Description w:val="Table C 13: Interviewees’ reasons for not using the IAA service"/>
      </w:tblPr>
      <w:tblGrid>
        <w:gridCol w:w="4077"/>
        <w:gridCol w:w="2694"/>
      </w:tblGrid>
      <w:tr w:rsidR="00655E7B" w:rsidRPr="0035210F" w14:paraId="3AEED58C" w14:textId="77777777" w:rsidTr="008E7495">
        <w:trPr>
          <w:tblHeader/>
        </w:trPr>
        <w:tc>
          <w:tcPr>
            <w:tcW w:w="4077" w:type="dxa"/>
            <w:tcBorders>
              <w:top w:val="single" w:sz="4" w:space="0" w:color="0079C1" w:themeColor="text2"/>
              <w:bottom w:val="single" w:sz="4" w:space="0" w:color="0079C1" w:themeColor="text2"/>
            </w:tcBorders>
            <w:shd w:val="clear" w:color="auto" w:fill="0079C1" w:themeFill="text2"/>
          </w:tcPr>
          <w:p w14:paraId="147F1768" w14:textId="77777777" w:rsidR="00655E7B" w:rsidRPr="0035210F" w:rsidRDefault="00655E7B" w:rsidP="004B28FE">
            <w:pPr>
              <w:keepLines/>
              <w:tabs>
                <w:tab w:val="left" w:pos="318"/>
              </w:tabs>
              <w:spacing w:before="120" w:after="120"/>
              <w:rPr>
                <w:rFonts w:eastAsiaTheme="minorHAnsi" w:cs="Calibri"/>
                <w:b/>
                <w:color w:val="FFFFFF" w:themeColor="background1"/>
                <w:sz w:val="20"/>
                <w:szCs w:val="20"/>
                <w:lang w:eastAsia="en-AU"/>
              </w:rPr>
            </w:pPr>
            <w:r w:rsidRPr="0035210F">
              <w:rPr>
                <w:rFonts w:eastAsiaTheme="minorHAnsi" w:cs="Calibri"/>
                <w:b/>
                <w:color w:val="FFFFFF" w:themeColor="background1"/>
                <w:sz w:val="20"/>
                <w:szCs w:val="20"/>
                <w:lang w:eastAsia="en-AU"/>
              </w:rPr>
              <w:t>Reason</w:t>
            </w:r>
          </w:p>
        </w:tc>
        <w:tc>
          <w:tcPr>
            <w:tcW w:w="2694" w:type="dxa"/>
            <w:tcBorders>
              <w:top w:val="single" w:sz="4" w:space="0" w:color="0079C1" w:themeColor="text2"/>
              <w:bottom w:val="single" w:sz="4" w:space="0" w:color="0079C1" w:themeColor="text2"/>
            </w:tcBorders>
            <w:shd w:val="clear" w:color="auto" w:fill="0079C1" w:themeFill="text2"/>
          </w:tcPr>
          <w:p w14:paraId="6AB19D5C" w14:textId="77777777" w:rsidR="00655E7B" w:rsidRPr="0035210F" w:rsidRDefault="00655E7B" w:rsidP="004B28FE">
            <w:pPr>
              <w:keepLines/>
              <w:tabs>
                <w:tab w:val="left" w:pos="318"/>
              </w:tabs>
              <w:spacing w:before="120" w:after="120"/>
              <w:jc w:val="center"/>
              <w:rPr>
                <w:rFonts w:eastAsiaTheme="minorHAnsi" w:cs="Calibri"/>
                <w:b/>
                <w:color w:val="FFFFFF" w:themeColor="background1"/>
                <w:sz w:val="20"/>
                <w:szCs w:val="20"/>
                <w:lang w:eastAsia="en-AU"/>
              </w:rPr>
            </w:pPr>
            <w:r w:rsidRPr="0035210F">
              <w:rPr>
                <w:rFonts w:eastAsiaTheme="minorHAnsi" w:cs="Calibri"/>
                <w:b/>
                <w:color w:val="FFFFFF" w:themeColor="background1"/>
                <w:sz w:val="20"/>
                <w:szCs w:val="20"/>
                <w:lang w:eastAsia="en-AU"/>
              </w:rPr>
              <w:t>Number of interviewees</w:t>
            </w:r>
          </w:p>
        </w:tc>
      </w:tr>
      <w:tr w:rsidR="00655E7B" w:rsidRPr="0035210F" w14:paraId="2BE490A2" w14:textId="77777777" w:rsidTr="004B28FE">
        <w:tc>
          <w:tcPr>
            <w:tcW w:w="4077" w:type="dxa"/>
            <w:tcBorders>
              <w:top w:val="single" w:sz="4" w:space="0" w:color="0079C1" w:themeColor="text2"/>
            </w:tcBorders>
          </w:tcPr>
          <w:p w14:paraId="778330C0" w14:textId="77777777" w:rsidR="00655E7B" w:rsidRPr="0035210F" w:rsidRDefault="00655E7B" w:rsidP="004B28FE">
            <w:pPr>
              <w:tabs>
                <w:tab w:val="left" w:pos="318"/>
              </w:tabs>
              <w:spacing w:before="60" w:after="60"/>
              <w:rPr>
                <w:color w:val="000000" w:themeColor="text1"/>
                <w:sz w:val="20"/>
                <w:szCs w:val="20"/>
              </w:rPr>
            </w:pPr>
            <w:r w:rsidRPr="0035210F">
              <w:rPr>
                <w:color w:val="000000" w:themeColor="text1"/>
                <w:sz w:val="20"/>
                <w:szCs w:val="20"/>
              </w:rPr>
              <w:t>IAA did not exist</w:t>
            </w:r>
          </w:p>
        </w:tc>
        <w:tc>
          <w:tcPr>
            <w:tcW w:w="2694" w:type="dxa"/>
            <w:tcBorders>
              <w:top w:val="single" w:sz="4" w:space="0" w:color="0079C1" w:themeColor="text2"/>
            </w:tcBorders>
          </w:tcPr>
          <w:p w14:paraId="7EF22E3B" w14:textId="77777777" w:rsidR="00655E7B" w:rsidRPr="0035210F" w:rsidRDefault="00655E7B" w:rsidP="004B28FE">
            <w:pPr>
              <w:tabs>
                <w:tab w:val="left" w:pos="318"/>
              </w:tabs>
              <w:spacing w:before="60" w:after="60"/>
              <w:jc w:val="center"/>
              <w:rPr>
                <w:color w:val="000000" w:themeColor="text1"/>
                <w:sz w:val="20"/>
                <w:szCs w:val="20"/>
              </w:rPr>
            </w:pPr>
            <w:r w:rsidRPr="0035210F">
              <w:rPr>
                <w:color w:val="000000" w:themeColor="text1"/>
                <w:sz w:val="20"/>
                <w:szCs w:val="20"/>
              </w:rPr>
              <w:t>5</w:t>
            </w:r>
          </w:p>
        </w:tc>
      </w:tr>
      <w:tr w:rsidR="00655E7B" w:rsidRPr="0035210F" w14:paraId="13D749F0" w14:textId="77777777" w:rsidTr="004B28FE">
        <w:tc>
          <w:tcPr>
            <w:tcW w:w="4077" w:type="dxa"/>
          </w:tcPr>
          <w:p w14:paraId="7A8D72C9" w14:textId="77777777" w:rsidR="00655E7B" w:rsidRPr="0035210F" w:rsidRDefault="00655E7B" w:rsidP="004B28FE">
            <w:pPr>
              <w:tabs>
                <w:tab w:val="left" w:pos="318"/>
              </w:tabs>
              <w:spacing w:before="60" w:after="60"/>
              <w:rPr>
                <w:color w:val="000000" w:themeColor="text1"/>
                <w:sz w:val="20"/>
                <w:szCs w:val="20"/>
              </w:rPr>
            </w:pPr>
            <w:r w:rsidRPr="0035210F">
              <w:rPr>
                <w:color w:val="000000" w:themeColor="text1"/>
                <w:sz w:val="20"/>
                <w:szCs w:val="20"/>
              </w:rPr>
              <w:t>I did not know about it</w:t>
            </w:r>
          </w:p>
        </w:tc>
        <w:tc>
          <w:tcPr>
            <w:tcW w:w="2694" w:type="dxa"/>
          </w:tcPr>
          <w:p w14:paraId="1F79845B" w14:textId="77777777" w:rsidR="00655E7B" w:rsidRPr="0035210F" w:rsidRDefault="00655E7B" w:rsidP="004B28FE">
            <w:pPr>
              <w:tabs>
                <w:tab w:val="left" w:pos="318"/>
              </w:tabs>
              <w:spacing w:before="60" w:after="60"/>
              <w:jc w:val="center"/>
              <w:rPr>
                <w:color w:val="000000" w:themeColor="text1"/>
                <w:sz w:val="20"/>
                <w:szCs w:val="20"/>
              </w:rPr>
            </w:pPr>
            <w:r w:rsidRPr="0035210F">
              <w:rPr>
                <w:color w:val="000000" w:themeColor="text1"/>
                <w:sz w:val="20"/>
                <w:szCs w:val="20"/>
              </w:rPr>
              <w:t>2</w:t>
            </w:r>
          </w:p>
        </w:tc>
      </w:tr>
      <w:tr w:rsidR="00655E7B" w:rsidRPr="0035210F" w14:paraId="2C2536A8" w14:textId="77777777" w:rsidTr="004B28FE">
        <w:tc>
          <w:tcPr>
            <w:tcW w:w="4077" w:type="dxa"/>
          </w:tcPr>
          <w:p w14:paraId="453C3C7A" w14:textId="77777777" w:rsidR="00655E7B" w:rsidRPr="0035210F" w:rsidRDefault="00655E7B" w:rsidP="004B28FE">
            <w:pPr>
              <w:tabs>
                <w:tab w:val="left" w:pos="318"/>
              </w:tabs>
              <w:spacing w:before="60" w:after="60"/>
              <w:rPr>
                <w:color w:val="000000" w:themeColor="text1"/>
                <w:sz w:val="20"/>
                <w:szCs w:val="20"/>
              </w:rPr>
            </w:pPr>
            <w:r w:rsidRPr="0035210F">
              <w:rPr>
                <w:color w:val="000000" w:themeColor="text1"/>
                <w:sz w:val="20"/>
                <w:szCs w:val="20"/>
              </w:rPr>
              <w:t>I had no need to use it</w:t>
            </w:r>
          </w:p>
        </w:tc>
        <w:tc>
          <w:tcPr>
            <w:tcW w:w="2694" w:type="dxa"/>
          </w:tcPr>
          <w:p w14:paraId="32E8E851" w14:textId="77777777" w:rsidR="00655E7B" w:rsidRPr="0035210F" w:rsidRDefault="00655E7B" w:rsidP="004B28FE">
            <w:pPr>
              <w:tabs>
                <w:tab w:val="left" w:pos="318"/>
              </w:tabs>
              <w:spacing w:before="60" w:after="60"/>
              <w:jc w:val="center"/>
              <w:rPr>
                <w:color w:val="000000" w:themeColor="text1"/>
                <w:sz w:val="20"/>
                <w:szCs w:val="20"/>
              </w:rPr>
            </w:pPr>
            <w:r w:rsidRPr="0035210F">
              <w:rPr>
                <w:color w:val="000000" w:themeColor="text1"/>
                <w:sz w:val="20"/>
                <w:szCs w:val="20"/>
              </w:rPr>
              <w:t>1</w:t>
            </w:r>
          </w:p>
        </w:tc>
      </w:tr>
      <w:tr w:rsidR="00655E7B" w:rsidRPr="0035210F" w14:paraId="14EF9E64" w14:textId="77777777" w:rsidTr="004B28FE">
        <w:tc>
          <w:tcPr>
            <w:tcW w:w="4077" w:type="dxa"/>
          </w:tcPr>
          <w:p w14:paraId="2AAE8C98" w14:textId="77777777" w:rsidR="00655E7B" w:rsidRPr="0035210F" w:rsidRDefault="00655E7B" w:rsidP="004B28FE">
            <w:pPr>
              <w:tabs>
                <w:tab w:val="left" w:pos="318"/>
              </w:tabs>
              <w:spacing w:before="60" w:after="60"/>
              <w:rPr>
                <w:color w:val="000000" w:themeColor="text1"/>
                <w:sz w:val="20"/>
                <w:szCs w:val="20"/>
              </w:rPr>
            </w:pPr>
            <w:r w:rsidRPr="0035210F">
              <w:rPr>
                <w:color w:val="000000" w:themeColor="text1"/>
                <w:sz w:val="20"/>
                <w:szCs w:val="20"/>
              </w:rPr>
              <w:t>IAA does not assist people living overseas</w:t>
            </w:r>
          </w:p>
        </w:tc>
        <w:tc>
          <w:tcPr>
            <w:tcW w:w="2694" w:type="dxa"/>
          </w:tcPr>
          <w:p w14:paraId="05547A97" w14:textId="77777777" w:rsidR="00655E7B" w:rsidRPr="0035210F" w:rsidRDefault="00655E7B" w:rsidP="004B28FE">
            <w:pPr>
              <w:tabs>
                <w:tab w:val="left" w:pos="318"/>
              </w:tabs>
              <w:spacing w:before="60" w:after="60"/>
              <w:jc w:val="center"/>
              <w:rPr>
                <w:color w:val="000000" w:themeColor="text1"/>
                <w:sz w:val="20"/>
                <w:szCs w:val="20"/>
              </w:rPr>
            </w:pPr>
            <w:r w:rsidRPr="0035210F">
              <w:rPr>
                <w:color w:val="000000" w:themeColor="text1"/>
                <w:sz w:val="20"/>
                <w:szCs w:val="20"/>
              </w:rPr>
              <w:t>1</w:t>
            </w:r>
          </w:p>
        </w:tc>
      </w:tr>
      <w:tr w:rsidR="00655E7B" w:rsidRPr="0035210F" w14:paraId="2F43ADC5" w14:textId="77777777" w:rsidTr="004B28FE">
        <w:tc>
          <w:tcPr>
            <w:tcW w:w="4077" w:type="dxa"/>
          </w:tcPr>
          <w:p w14:paraId="479C2A42" w14:textId="15314013" w:rsidR="00655E7B" w:rsidRPr="0035210F" w:rsidRDefault="00F76235" w:rsidP="004B28FE">
            <w:pPr>
              <w:tabs>
                <w:tab w:val="left" w:pos="318"/>
              </w:tabs>
              <w:spacing w:before="60" w:after="60"/>
              <w:rPr>
                <w:color w:val="000000" w:themeColor="text1"/>
                <w:sz w:val="20"/>
                <w:szCs w:val="20"/>
              </w:rPr>
            </w:pPr>
            <w:r w:rsidRPr="0035210F">
              <w:rPr>
                <w:color w:val="000000" w:themeColor="text1"/>
                <w:sz w:val="20"/>
                <w:szCs w:val="20"/>
              </w:rPr>
              <w:lastRenderedPageBreak/>
              <w:t>Not stated</w:t>
            </w:r>
          </w:p>
        </w:tc>
        <w:tc>
          <w:tcPr>
            <w:tcW w:w="2694" w:type="dxa"/>
          </w:tcPr>
          <w:p w14:paraId="4D0E0E34" w14:textId="77777777" w:rsidR="00655E7B" w:rsidRPr="0035210F" w:rsidRDefault="00655E7B" w:rsidP="004B28FE">
            <w:pPr>
              <w:tabs>
                <w:tab w:val="left" w:pos="318"/>
              </w:tabs>
              <w:spacing w:before="60" w:after="60"/>
              <w:jc w:val="center"/>
              <w:rPr>
                <w:color w:val="000000" w:themeColor="text1"/>
                <w:sz w:val="20"/>
                <w:szCs w:val="20"/>
              </w:rPr>
            </w:pPr>
            <w:r w:rsidRPr="0035210F">
              <w:rPr>
                <w:color w:val="000000" w:themeColor="text1"/>
                <w:sz w:val="20"/>
                <w:szCs w:val="20"/>
              </w:rPr>
              <w:t>1</w:t>
            </w:r>
          </w:p>
        </w:tc>
      </w:tr>
      <w:tr w:rsidR="00655E7B" w:rsidRPr="0035210F" w14:paraId="1DF0C62D" w14:textId="77777777" w:rsidTr="004B28FE">
        <w:tc>
          <w:tcPr>
            <w:tcW w:w="4077" w:type="dxa"/>
          </w:tcPr>
          <w:p w14:paraId="526E1FFA" w14:textId="77777777" w:rsidR="00655E7B" w:rsidRPr="0035210F" w:rsidRDefault="00655E7B" w:rsidP="004B28FE">
            <w:pPr>
              <w:tabs>
                <w:tab w:val="left" w:pos="318"/>
              </w:tabs>
              <w:spacing w:before="60" w:after="60"/>
              <w:rPr>
                <w:b/>
                <w:color w:val="000000" w:themeColor="text1"/>
                <w:sz w:val="20"/>
                <w:szCs w:val="20"/>
              </w:rPr>
            </w:pPr>
            <w:r w:rsidRPr="0035210F">
              <w:rPr>
                <w:b/>
                <w:color w:val="000000" w:themeColor="text1"/>
                <w:sz w:val="20"/>
                <w:szCs w:val="20"/>
              </w:rPr>
              <w:t>Total</w:t>
            </w:r>
          </w:p>
        </w:tc>
        <w:tc>
          <w:tcPr>
            <w:tcW w:w="2694" w:type="dxa"/>
          </w:tcPr>
          <w:p w14:paraId="65CDA99D" w14:textId="77777777" w:rsidR="00655E7B" w:rsidRPr="0035210F" w:rsidRDefault="00655E7B" w:rsidP="004B28FE">
            <w:pPr>
              <w:tabs>
                <w:tab w:val="left" w:pos="318"/>
              </w:tabs>
              <w:spacing w:before="60" w:after="60"/>
              <w:jc w:val="center"/>
              <w:rPr>
                <w:color w:val="000000" w:themeColor="text1"/>
                <w:sz w:val="20"/>
                <w:szCs w:val="20"/>
              </w:rPr>
            </w:pPr>
            <w:r w:rsidRPr="0035210F">
              <w:rPr>
                <w:color w:val="000000" w:themeColor="text1"/>
                <w:sz w:val="20"/>
                <w:szCs w:val="20"/>
              </w:rPr>
              <w:t>10</w:t>
            </w:r>
          </w:p>
        </w:tc>
      </w:tr>
    </w:tbl>
    <w:p w14:paraId="38EF7388" w14:textId="77777777" w:rsidR="00655E7B" w:rsidRPr="00C952AA" w:rsidRDefault="00655E7B" w:rsidP="00655E7B">
      <w:pPr>
        <w:pStyle w:val="Paragraph"/>
      </w:pPr>
      <w:r w:rsidRPr="00C952AA">
        <w:t xml:space="preserve">Two of the three respondents who indicated that they had decided not to continue with ICA had instead decided to apply for permanent foster care, and one had </w:t>
      </w:r>
      <w:r>
        <w:t>decided</w:t>
      </w:r>
      <w:r w:rsidRPr="00C952AA">
        <w:t xml:space="preserve"> against ICA as they were unable to adopt from their preferred country.</w:t>
      </w:r>
    </w:p>
    <w:p w14:paraId="552FF14F" w14:textId="1EB81231" w:rsidR="00655E7B" w:rsidRPr="00C952AA" w:rsidRDefault="00655E7B" w:rsidP="00655E7B">
      <w:pPr>
        <w:pStyle w:val="Paragraph"/>
      </w:pPr>
      <w:r w:rsidRPr="00C952AA">
        <w:t>In response to the hypothetical question on whether the service could have assisted them in making decisions, of the people who answered</w:t>
      </w:r>
      <w:r>
        <w:t xml:space="preserve"> (n=5)</w:t>
      </w:r>
      <w:r w:rsidRPr="00C952AA">
        <w:t xml:space="preserve">: one </w:t>
      </w:r>
      <w:r>
        <w:t>interviewee</w:t>
      </w:r>
      <w:r w:rsidRPr="00C952AA">
        <w:t xml:space="preserve"> said the service could not have assisted as it has no power to influence the states, </w:t>
      </w:r>
      <w:r>
        <w:t>another</w:t>
      </w:r>
      <w:r w:rsidRPr="00C952AA">
        <w:t xml:space="preserve"> indicated that the service could have assisted in the </w:t>
      </w:r>
      <w:r w:rsidR="00C61524" w:rsidRPr="00C952AA">
        <w:t>decision-making</w:t>
      </w:r>
      <w:r w:rsidRPr="00C952AA">
        <w:t xml:space="preserve"> process and three people said it </w:t>
      </w:r>
      <w:r>
        <w:t>may</w:t>
      </w:r>
      <w:r w:rsidRPr="00C952AA">
        <w:t xml:space="preserve"> have</w:t>
      </w:r>
      <w:r>
        <w:t xml:space="preserve"> assisted them</w:t>
      </w:r>
      <w:r w:rsidRPr="00C952AA">
        <w:t>.</w:t>
      </w:r>
    </w:p>
    <w:p w14:paraId="2B4959CA" w14:textId="77777777" w:rsidR="00655E7B" w:rsidRPr="00C952AA" w:rsidRDefault="00655E7B" w:rsidP="00655E7B">
      <w:pPr>
        <w:pStyle w:val="Paragraph"/>
      </w:pPr>
      <w:r>
        <w:t xml:space="preserve">Interviewees were asked </w:t>
      </w:r>
      <w:r w:rsidRPr="00C952AA">
        <w:t>if they thought the IAA service could have supported them through the adoption process</w:t>
      </w:r>
      <w:r>
        <w:t xml:space="preserve">.  Four people replied in the affirmative, </w:t>
      </w:r>
      <w:r w:rsidRPr="00C952AA">
        <w:t xml:space="preserve">one said no and one </w:t>
      </w:r>
      <w:r>
        <w:t>was undecided</w:t>
      </w:r>
      <w:r w:rsidRPr="00C952AA">
        <w:t>.</w:t>
      </w:r>
    </w:p>
    <w:p w14:paraId="4440DBF9" w14:textId="77777777" w:rsidR="00655E7B" w:rsidRPr="00B97DCD" w:rsidRDefault="00655E7B" w:rsidP="007F0F4F">
      <w:pPr>
        <w:pStyle w:val="Heading9"/>
      </w:pPr>
      <w:r w:rsidRPr="00B97DCD">
        <w:t>Other comments</w:t>
      </w:r>
    </w:p>
    <w:p w14:paraId="0743B88D" w14:textId="77777777" w:rsidR="00655E7B" w:rsidRPr="00B97DCD" w:rsidRDefault="00655E7B" w:rsidP="00655E7B">
      <w:pPr>
        <w:pStyle w:val="Paragraph"/>
      </w:pPr>
      <w:r>
        <w:t>Interviewees</w:t>
      </w:r>
      <w:r w:rsidRPr="00B97DCD">
        <w:t xml:space="preserve"> were given the opportunity to provide </w:t>
      </w:r>
      <w:r>
        <w:t>further</w:t>
      </w:r>
      <w:r w:rsidRPr="00B97DCD">
        <w:t xml:space="preserve"> comments at the conclusion of the in-depth interview</w:t>
      </w:r>
      <w:r>
        <w:t>s</w:t>
      </w:r>
      <w:r w:rsidRPr="00B97DCD">
        <w:t>.</w:t>
      </w:r>
      <w:r>
        <w:t xml:space="preserve"> </w:t>
      </w:r>
      <w:r w:rsidRPr="00B97DCD">
        <w:t xml:space="preserve"> Most respondents used the opportunity to suggest improvements, voice their frustrations and disappointment, and share their stories. </w:t>
      </w:r>
      <w:r>
        <w:t xml:space="preserve"> </w:t>
      </w:r>
      <w:r w:rsidRPr="00B97DCD">
        <w:t>Where appropriate the comments have been included under the previous discussion</w:t>
      </w:r>
      <w:r>
        <w:t xml:space="preserve"> sections</w:t>
      </w:r>
      <w:r w:rsidRPr="00B97DCD">
        <w:t xml:space="preserve">. </w:t>
      </w:r>
      <w:r>
        <w:t xml:space="preserve"> </w:t>
      </w:r>
      <w:r w:rsidRPr="00B97DCD">
        <w:t xml:space="preserve">The following comments </w:t>
      </w:r>
      <w:r>
        <w:t>were also provided:</w:t>
      </w:r>
    </w:p>
    <w:p w14:paraId="4C0BAB93" w14:textId="77777777" w:rsidR="00655E7B" w:rsidRPr="00B97DCD" w:rsidRDefault="00655E7B" w:rsidP="00655E7B">
      <w:pPr>
        <w:pStyle w:val="Quote"/>
      </w:pPr>
      <w:r>
        <w:t>“</w:t>
      </w:r>
      <w:r w:rsidRPr="00B97DCD">
        <w:t xml:space="preserve">[The </w:t>
      </w:r>
      <w:r>
        <w:t>ICA</w:t>
      </w:r>
      <w:r w:rsidRPr="00B97DCD">
        <w:t xml:space="preserve"> system]</w:t>
      </w:r>
      <w:r>
        <w:t xml:space="preserve"> </w:t>
      </w:r>
      <w:r w:rsidRPr="00B97DCD">
        <w:t>should be more like the fostering system – based on the assumption that people are good and are here to help”</w:t>
      </w:r>
    </w:p>
    <w:p w14:paraId="7B63C034" w14:textId="52F134B6" w:rsidR="00655E7B" w:rsidRPr="00B97DCD" w:rsidRDefault="00AC40BB" w:rsidP="00655E7B">
      <w:pPr>
        <w:pStyle w:val="Quote"/>
      </w:pPr>
      <w:r>
        <w:t xml:space="preserve"> </w:t>
      </w:r>
      <w:r w:rsidR="00655E7B">
        <w:t>“</w:t>
      </w:r>
      <w:r w:rsidR="00655E7B" w:rsidRPr="00B97DCD">
        <w:t xml:space="preserve">There is no recourse – you can’t speak out. I can’t understand why they would want to put people into the system when they can’t deliver. People in government have no </w:t>
      </w:r>
      <w:r w:rsidR="00C61524" w:rsidRPr="00B97DCD">
        <w:t>long-term</w:t>
      </w:r>
      <w:r w:rsidR="00655E7B" w:rsidRPr="00B97DCD">
        <w:t xml:space="preserve"> history. The process as promised is different from reality. If we’d known more information we might have made different decisions but the information always changes. In the </w:t>
      </w:r>
      <w:r w:rsidR="00C61524" w:rsidRPr="00B97DCD">
        <w:t>past,</w:t>
      </w:r>
      <w:r w:rsidR="00655E7B" w:rsidRPr="00B97DCD">
        <w:t xml:space="preserve"> you could be charged for making comments to the media about adoption processes.”</w:t>
      </w:r>
    </w:p>
    <w:p w14:paraId="53E535C4" w14:textId="77777777" w:rsidR="005B5427" w:rsidRDefault="005B5427">
      <w:r>
        <w:br w:type="page"/>
      </w:r>
    </w:p>
    <w:p w14:paraId="1B4C81FD" w14:textId="77777777" w:rsidR="005B5427" w:rsidRDefault="005B5427" w:rsidP="005B5427"/>
    <w:bookmarkStart w:id="205" w:name="_Toc490481646"/>
    <w:p w14:paraId="0E87CB51" w14:textId="74813425" w:rsidR="00326D84" w:rsidRDefault="00326D84" w:rsidP="00A26468">
      <w:pPr>
        <w:pStyle w:val="Heading7"/>
      </w:pPr>
      <w:r>
        <w:rPr>
          <w:noProof/>
          <w:lang w:val="en-AU"/>
        </w:rPr>
        <mc:AlternateContent>
          <mc:Choice Requires="wps">
            <w:drawing>
              <wp:anchor distT="0" distB="0" distL="114300" distR="114300" simplePos="0" relativeHeight="251660288" behindDoc="1" locked="0" layoutInCell="1" allowOverlap="1" wp14:anchorId="0A8FABDC" wp14:editId="7C86185E">
                <wp:simplePos x="0" y="0"/>
                <wp:positionH relativeFrom="page">
                  <wp:align>left</wp:align>
                </wp:positionH>
                <wp:positionV relativeFrom="page">
                  <wp:align>top</wp:align>
                </wp:positionV>
                <wp:extent cx="7560310" cy="10763885"/>
                <wp:effectExtent l="0" t="0" r="2540" b="0"/>
                <wp:wrapNone/>
                <wp:docPr id="10" name="Rectangle 10" title="&quot; &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7638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2E74F" id="Rectangle 10" o:spid="_x0000_s1026" alt="Title: &quot; &quot;" style="position:absolute;margin-left:0;margin-top:0;width:595.3pt;height:847.55pt;z-index:-2516561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8PJrAIAALcFAAAOAAAAZHJzL2Uyb0RvYy54bWysVN9P2zAQfp+0/8Hyw95G0kKBZaSoAjFN&#10;qgABE8/GsZtojs/YbtPy1+9sJ6FjaA/T+pD6fN9998N3d3a+bRXZCOsa0CWdHOSUCM2havSqpD8e&#10;rj6fUuI80xVToEVJd8LR8/nHD2edKcQUalCVsARJtCs6U9Lae1NkmeO1aJk7ACM0KiXYlnkU7Sqr&#10;LOuQvVXZNM+Psw5sZSxw4RzeXiYlnUd+KQX3N1I64YkqKcbm49fG71P4ZvMzVqwsM3XD+zDYP0TR&#10;skaj05HqknlG1rb5g6ptuAUH0h9waDOQsuEi5oDZTPI32dzXzIiYCxbHmbFM7v/R8uvNrSVNhW+H&#10;5dGsxTe6w6oxvVKChDvfeIWXn57X4L+S9BfK1hlXoPW9ubUhcWeWwH86VGS/aYLgesxW2jZgMW2y&#10;jW+wG99AbD3heHkyO84Pg1+Oukl+cnx4ejoL/jJWDPbGOv9NQEvCoaQW443FZ5ul8wk6QGJooJrq&#10;qlEqCqGzxIWyZMOwJ/x22pO7fZTSAashWCXCcBMzS8nEtPxOiYBT+k5ILCKGP42BxPZ9dcI4F9pP&#10;kqpmlUi+Zzn+Bu9DWDHRSBiYJfofuXuCAZlIBu4UZY8PpiJ2/2ic/y2wZDxaRM+g/WjcNhrsewQK&#10;s+o9J/xQpFSaUKUnqHbYYhbS7DnDrxp8tiVz/pZZHDZ8a1wg/gY/UkFXUuhPlNRgX967D3icAdRS&#10;0uHwltQ9r5kVlKjvGqfjy+ToKLRuFI5mJ1MU7L7maV+j1+0FYC9McFUZHo8B79VwlBbaR9wzi+AV&#10;VUxz9F1S7u0gXPi0VHBTcbFYRBhOuGF+qe8ND+ShqqEtH7aPzJq+dz32/TUMg86KNy2csMFSw2Lt&#10;QTaxv1/r2tcbt0NsnH6ThfWzL0fU676d/wIAAP//AwBQSwMEFAAGAAgAAAAhAIEMYbbcAAAABwEA&#10;AA8AAABkcnMvZG93bnJldi54bWxMj0FPwzAMhe+T9h8iI3Hb0oIoXWk6TUjdEW2FaVevMW1F41RN&#10;tpV/T8YFLtaznvXe53w9mV5caHSdZQXxMgJBXFvdcaPg471cpCCcR9bYWyYF3+RgXcxnOWbaXnlP&#10;l8o3IoSwy1BB6/2QSenqlgy6pR2Ig/dpR4M+rGMj9YjXEG56+RBFiTTYcWhocaDXluqv6mwUlMdn&#10;SvfxbrudDo+7VFdvvkRS6v5u2ryA8DT5v2O44Qd0KALTyZ5ZO9ErCI/433nz4lWUgDgFlayeYpBF&#10;Lv/zFz8AAAD//wMAUEsBAi0AFAAGAAgAAAAhALaDOJL+AAAA4QEAABMAAAAAAAAAAAAAAAAAAAAA&#10;AFtDb250ZW50X1R5cGVzXS54bWxQSwECLQAUAAYACAAAACEAOP0h/9YAAACUAQAACwAAAAAAAAAA&#10;AAAAAAAvAQAAX3JlbHMvLnJlbHNQSwECLQAUAAYACAAAACEAQ4fDyawCAAC3BQAADgAAAAAAAAAA&#10;AAAAAAAuAgAAZHJzL2Uyb0RvYy54bWxQSwECLQAUAAYACAAAACEAgQxhttwAAAAHAQAADwAAAAAA&#10;AAAAAAAAAAAGBQAAZHJzL2Rvd25yZXYueG1sUEsFBgAAAAAEAAQA8wAAAA8GAAAAAA==&#10;" fillcolor="#0079c1 [3215]" stroked="f" strokeweight="2pt">
                <v:path arrowok="t"/>
                <w10:wrap anchorx="page" anchory="page"/>
              </v:rect>
            </w:pict>
          </mc:Fallback>
        </mc:AlternateContent>
      </w:r>
      <w:r>
        <w:t>Cited references</w:t>
      </w:r>
      <w:bookmarkEnd w:id="205"/>
      <w:r>
        <w:br w:type="page"/>
      </w:r>
    </w:p>
    <w:p w14:paraId="3B231CC4" w14:textId="2A01E54F" w:rsidR="00FE3F3F" w:rsidRDefault="00326D84" w:rsidP="00FE3F3F">
      <w:pPr>
        <w:pStyle w:val="Heading8"/>
      </w:pPr>
      <w:r>
        <w:lastRenderedPageBreak/>
        <w:t>Cited references</w:t>
      </w:r>
    </w:p>
    <w:p w14:paraId="0124137C" w14:textId="44C8FFBD"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ACT Government Community Services 2015, </w:t>
      </w:r>
      <w:r w:rsidR="00BE5E53" w:rsidRPr="006812F2">
        <w:rPr>
          <w:i/>
          <w:iCs/>
          <w:noProof/>
          <w:szCs w:val="24"/>
        </w:rPr>
        <w:t xml:space="preserve">Intercountry Adoption: Information </w:t>
      </w:r>
      <w:r w:rsidR="001F7469">
        <w:rPr>
          <w:i/>
          <w:iCs/>
          <w:noProof/>
          <w:szCs w:val="24"/>
        </w:rPr>
        <w:t>f</w:t>
      </w:r>
      <w:r w:rsidR="00BE5E53" w:rsidRPr="006812F2">
        <w:rPr>
          <w:i/>
          <w:iCs/>
          <w:noProof/>
          <w:szCs w:val="24"/>
        </w:rPr>
        <w:t>or Applicants</w:t>
      </w:r>
      <w:r w:rsidRPr="006812F2">
        <w:rPr>
          <w:noProof/>
          <w:szCs w:val="24"/>
        </w:rPr>
        <w:t>, viewed 20 July 2016, &lt;http://www.communityservices.act.gov.au/__data/assets/pdf_file/0011/808445/Intercountry-Adoption-in-the-ACT.pdf&gt;.</w:t>
      </w:r>
    </w:p>
    <w:p w14:paraId="600C3AD6" w14:textId="6E07D2DE"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Adopt Change n.d., </w:t>
      </w:r>
      <w:r w:rsidRPr="006812F2">
        <w:rPr>
          <w:i/>
          <w:iCs/>
          <w:noProof/>
          <w:szCs w:val="24"/>
        </w:rPr>
        <w:t xml:space="preserve">Agencies </w:t>
      </w:r>
      <w:r w:rsidR="00BE5E53">
        <w:rPr>
          <w:i/>
          <w:iCs/>
          <w:noProof/>
          <w:szCs w:val="24"/>
        </w:rPr>
        <w:t>a</w:t>
      </w:r>
      <w:r w:rsidR="00BE5E53" w:rsidRPr="006812F2">
        <w:rPr>
          <w:i/>
          <w:iCs/>
          <w:noProof/>
          <w:szCs w:val="24"/>
        </w:rPr>
        <w:t>nd Support</w:t>
      </w:r>
      <w:r w:rsidRPr="006812F2">
        <w:rPr>
          <w:noProof/>
          <w:szCs w:val="24"/>
        </w:rPr>
        <w:t>.</w:t>
      </w:r>
    </w:p>
    <w:p w14:paraId="503A05D3" w14:textId="315D4219"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Adopt Change 2015, </w:t>
      </w:r>
      <w:r w:rsidRPr="006812F2">
        <w:rPr>
          <w:i/>
          <w:iCs/>
          <w:noProof/>
          <w:szCs w:val="24"/>
        </w:rPr>
        <w:t xml:space="preserve">Modern </w:t>
      </w:r>
      <w:r w:rsidR="00BE5E53" w:rsidRPr="006812F2">
        <w:rPr>
          <w:i/>
          <w:iCs/>
          <w:noProof/>
          <w:szCs w:val="24"/>
        </w:rPr>
        <w:t xml:space="preserve">Families: Attitudes </w:t>
      </w:r>
      <w:r w:rsidR="001F7469">
        <w:rPr>
          <w:i/>
          <w:iCs/>
          <w:noProof/>
          <w:szCs w:val="24"/>
        </w:rPr>
        <w:t>a</w:t>
      </w:r>
      <w:r w:rsidR="00BE5E53" w:rsidRPr="006812F2">
        <w:rPr>
          <w:i/>
          <w:iCs/>
          <w:noProof/>
          <w:szCs w:val="24"/>
        </w:rPr>
        <w:t xml:space="preserve">nd Perceptions </w:t>
      </w:r>
      <w:r w:rsidR="001F7469">
        <w:rPr>
          <w:i/>
          <w:iCs/>
          <w:noProof/>
          <w:szCs w:val="24"/>
        </w:rPr>
        <w:t>o</w:t>
      </w:r>
      <w:r w:rsidR="00BE5E53" w:rsidRPr="006812F2">
        <w:rPr>
          <w:i/>
          <w:iCs/>
          <w:noProof/>
          <w:szCs w:val="24"/>
        </w:rPr>
        <w:t xml:space="preserve">f Adoption </w:t>
      </w:r>
      <w:r w:rsidR="001F7469">
        <w:rPr>
          <w:i/>
          <w:iCs/>
          <w:noProof/>
          <w:szCs w:val="24"/>
        </w:rPr>
        <w:t>i</w:t>
      </w:r>
      <w:r w:rsidR="00BE5E53" w:rsidRPr="006812F2">
        <w:rPr>
          <w:i/>
          <w:iCs/>
          <w:noProof/>
          <w:szCs w:val="24"/>
        </w:rPr>
        <w:t>n Australia</w:t>
      </w:r>
      <w:r w:rsidRPr="006812F2">
        <w:rPr>
          <w:noProof/>
          <w:szCs w:val="24"/>
        </w:rPr>
        <w:t>, viewed 20 July 2016, &lt;http://www.adoptchange.org.au/Assets/714/1/FINAL-AdoptChange-ResearchAugust2015.pdf&gt;.</w:t>
      </w:r>
    </w:p>
    <w:p w14:paraId="5CFE4C0A" w14:textId="0EF96E0F"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Adoption First Steps 2014, </w:t>
      </w:r>
      <w:r w:rsidRPr="006812F2">
        <w:rPr>
          <w:i/>
          <w:iCs/>
          <w:noProof/>
          <w:szCs w:val="24"/>
        </w:rPr>
        <w:t xml:space="preserve">What </w:t>
      </w:r>
      <w:r w:rsidR="00BE5E53" w:rsidRPr="006812F2">
        <w:rPr>
          <w:i/>
          <w:iCs/>
          <w:noProof/>
          <w:szCs w:val="24"/>
        </w:rPr>
        <w:t>Are The Costs</w:t>
      </w:r>
      <w:r w:rsidRPr="006812F2">
        <w:rPr>
          <w:noProof/>
          <w:szCs w:val="24"/>
        </w:rPr>
        <w:t>.</w:t>
      </w:r>
    </w:p>
    <w:p w14:paraId="22B7F40D" w14:textId="1C0CB566"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Australian Association of Social Workers 2015, </w:t>
      </w:r>
      <w:r w:rsidRPr="006812F2">
        <w:rPr>
          <w:i/>
          <w:iCs/>
          <w:noProof/>
          <w:szCs w:val="24"/>
        </w:rPr>
        <w:t xml:space="preserve">Position </w:t>
      </w:r>
      <w:r w:rsidR="00BE5E53" w:rsidRPr="006812F2">
        <w:rPr>
          <w:i/>
          <w:iCs/>
          <w:noProof/>
          <w:szCs w:val="24"/>
        </w:rPr>
        <w:t>Statement: Intercountry Adoption</w:t>
      </w:r>
      <w:r w:rsidRPr="006812F2">
        <w:rPr>
          <w:noProof/>
          <w:szCs w:val="24"/>
        </w:rPr>
        <w:t>.</w:t>
      </w:r>
    </w:p>
    <w:p w14:paraId="061A5717" w14:textId="0ED58146"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Australian Government Attorney-General’s Department n.d., </w:t>
      </w:r>
      <w:r w:rsidRPr="006812F2">
        <w:rPr>
          <w:i/>
          <w:iCs/>
          <w:noProof/>
          <w:szCs w:val="24"/>
        </w:rPr>
        <w:t xml:space="preserve">Intercountry </w:t>
      </w:r>
      <w:r w:rsidR="00BE5E53" w:rsidRPr="006812F2">
        <w:rPr>
          <w:i/>
          <w:iCs/>
          <w:noProof/>
          <w:szCs w:val="24"/>
        </w:rPr>
        <w:t>Adoption Reforms</w:t>
      </w:r>
      <w:r w:rsidRPr="006812F2">
        <w:rPr>
          <w:noProof/>
          <w:szCs w:val="24"/>
        </w:rPr>
        <w:t>, viewed 27 July 2016 a, &lt;https://www.ag.gov.au/FamiliesAndMarriage/IntercountryAdoption/Pages/reforms.aspx&gt;.</w:t>
      </w:r>
    </w:p>
    <w:p w14:paraId="3B8BC1F5" w14:textId="62F9274D"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Australian Government Attorney-General’s Department n.d., </w:t>
      </w:r>
      <w:r w:rsidRPr="006812F2">
        <w:rPr>
          <w:i/>
          <w:iCs/>
          <w:noProof/>
          <w:szCs w:val="24"/>
        </w:rPr>
        <w:t xml:space="preserve">Country </w:t>
      </w:r>
      <w:r w:rsidR="00BE5E53" w:rsidRPr="006812F2">
        <w:rPr>
          <w:i/>
          <w:iCs/>
          <w:noProof/>
          <w:szCs w:val="24"/>
        </w:rPr>
        <w:t>Programmes</w:t>
      </w:r>
      <w:r w:rsidRPr="006812F2">
        <w:rPr>
          <w:noProof/>
          <w:szCs w:val="24"/>
        </w:rPr>
        <w:t>, viewed 3 August 2016 b, &lt;https://www.ag.gov.au/FamiliesAndMarriage/IntercountryAdoption/CountryProgrammes/Pages/default.aspx&gt;.</w:t>
      </w:r>
    </w:p>
    <w:p w14:paraId="7B9C9B1C" w14:textId="124C7D61"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Australian Government Attorney-General’s Department n.d., </w:t>
      </w:r>
      <w:r w:rsidRPr="006812F2">
        <w:rPr>
          <w:i/>
          <w:iCs/>
          <w:noProof/>
          <w:szCs w:val="24"/>
        </w:rPr>
        <w:t xml:space="preserve">Intercountry </w:t>
      </w:r>
      <w:r w:rsidR="00BE5E53" w:rsidRPr="006812F2">
        <w:rPr>
          <w:i/>
          <w:iCs/>
          <w:noProof/>
          <w:szCs w:val="24"/>
        </w:rPr>
        <w:t>Adoption Statistics</w:t>
      </w:r>
      <w:r w:rsidRPr="006812F2">
        <w:rPr>
          <w:noProof/>
          <w:szCs w:val="24"/>
        </w:rPr>
        <w:t>.</w:t>
      </w:r>
    </w:p>
    <w:p w14:paraId="41F76979" w14:textId="76936089"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Australian Government Attorney-General’s Department n.d., </w:t>
      </w:r>
      <w:r w:rsidRPr="006812F2">
        <w:rPr>
          <w:i/>
          <w:iCs/>
          <w:noProof/>
          <w:szCs w:val="24"/>
        </w:rPr>
        <w:t xml:space="preserve">Intercountry </w:t>
      </w:r>
      <w:r w:rsidR="00BE5E53" w:rsidRPr="006812F2">
        <w:rPr>
          <w:i/>
          <w:iCs/>
          <w:noProof/>
          <w:szCs w:val="24"/>
        </w:rPr>
        <w:t>Adoption</w:t>
      </w:r>
      <w:r w:rsidRPr="006812F2">
        <w:rPr>
          <w:noProof/>
          <w:szCs w:val="24"/>
        </w:rPr>
        <w:t>.</w:t>
      </w:r>
    </w:p>
    <w:p w14:paraId="4B961ACD" w14:textId="3D3F217F"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Australian Government Department of Immigration and Border Protection n.d., </w:t>
      </w:r>
      <w:r w:rsidRPr="006812F2">
        <w:rPr>
          <w:i/>
          <w:iCs/>
          <w:noProof/>
          <w:szCs w:val="24"/>
        </w:rPr>
        <w:t xml:space="preserve">Adoption </w:t>
      </w:r>
      <w:r w:rsidR="001F7469">
        <w:rPr>
          <w:i/>
          <w:iCs/>
          <w:noProof/>
          <w:szCs w:val="24"/>
        </w:rPr>
        <w:t>o</w:t>
      </w:r>
      <w:r w:rsidR="00BE5E53" w:rsidRPr="006812F2">
        <w:rPr>
          <w:i/>
          <w:iCs/>
          <w:noProof/>
          <w:szCs w:val="24"/>
        </w:rPr>
        <w:t xml:space="preserve">f Children </w:t>
      </w:r>
      <w:r w:rsidR="001F7469">
        <w:rPr>
          <w:i/>
          <w:iCs/>
          <w:noProof/>
          <w:szCs w:val="24"/>
        </w:rPr>
        <w:t>f</w:t>
      </w:r>
      <w:r w:rsidR="00BE5E53" w:rsidRPr="006812F2">
        <w:rPr>
          <w:i/>
          <w:iCs/>
          <w:noProof/>
          <w:szCs w:val="24"/>
        </w:rPr>
        <w:t>rom Outside Australia</w:t>
      </w:r>
      <w:r w:rsidRPr="006812F2">
        <w:rPr>
          <w:noProof/>
          <w:szCs w:val="24"/>
        </w:rPr>
        <w:t>.</w:t>
      </w:r>
    </w:p>
    <w:p w14:paraId="588F0E20" w14:textId="39F4EA11"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Australian Government Department of Prime Minister and Cabinet 2015, </w:t>
      </w:r>
      <w:r w:rsidRPr="006812F2">
        <w:rPr>
          <w:i/>
          <w:iCs/>
          <w:noProof/>
          <w:szCs w:val="24"/>
        </w:rPr>
        <w:t xml:space="preserve">Intercountry </w:t>
      </w:r>
      <w:r w:rsidR="00BE5E53" w:rsidRPr="006812F2">
        <w:rPr>
          <w:i/>
          <w:iCs/>
          <w:noProof/>
          <w:szCs w:val="24"/>
        </w:rPr>
        <w:t xml:space="preserve">Adoption Support Service </w:t>
      </w:r>
      <w:r w:rsidR="001F7469">
        <w:rPr>
          <w:i/>
          <w:iCs/>
          <w:noProof/>
          <w:szCs w:val="24"/>
        </w:rPr>
        <w:t>t</w:t>
      </w:r>
      <w:r w:rsidR="00BE5E53" w:rsidRPr="006812F2">
        <w:rPr>
          <w:i/>
          <w:iCs/>
          <w:noProof/>
          <w:szCs w:val="24"/>
        </w:rPr>
        <w:t>o Help Families</w:t>
      </w:r>
      <w:r w:rsidRPr="006812F2">
        <w:rPr>
          <w:noProof/>
          <w:szCs w:val="24"/>
        </w:rPr>
        <w:t>, viewed 27 July 2016, &lt;https://pmtranscripts.dpmc.gov.au/release/transcript-24143&gt;.</w:t>
      </w:r>
    </w:p>
    <w:p w14:paraId="031DD1CC" w14:textId="1EF168FC"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Australian Government Department of the Prime Minister and Cabinet 2014, </w:t>
      </w:r>
      <w:r w:rsidRPr="006812F2">
        <w:rPr>
          <w:i/>
          <w:iCs/>
          <w:noProof/>
          <w:szCs w:val="24"/>
        </w:rPr>
        <w:t xml:space="preserve">Report </w:t>
      </w:r>
      <w:r w:rsidR="001F7469">
        <w:rPr>
          <w:i/>
          <w:iCs/>
          <w:noProof/>
          <w:szCs w:val="24"/>
        </w:rPr>
        <w:t>o</w:t>
      </w:r>
      <w:r w:rsidR="00BE5E53" w:rsidRPr="006812F2">
        <w:rPr>
          <w:i/>
          <w:iCs/>
          <w:noProof/>
          <w:szCs w:val="24"/>
        </w:rPr>
        <w:t xml:space="preserve">f The Interdepartmental Committee </w:t>
      </w:r>
      <w:r w:rsidR="001F7469">
        <w:rPr>
          <w:i/>
          <w:iCs/>
          <w:noProof/>
          <w:szCs w:val="24"/>
        </w:rPr>
        <w:t>o</w:t>
      </w:r>
      <w:r w:rsidR="00BE5E53" w:rsidRPr="006812F2">
        <w:rPr>
          <w:i/>
          <w:iCs/>
          <w:noProof/>
          <w:szCs w:val="24"/>
        </w:rPr>
        <w:t>n Intercountry Adoption</w:t>
      </w:r>
      <w:r w:rsidRPr="006812F2">
        <w:rPr>
          <w:noProof/>
          <w:szCs w:val="24"/>
        </w:rPr>
        <w:t>, Commonwealth of Australia, Canberra.</w:t>
      </w:r>
    </w:p>
    <w:p w14:paraId="2A062F5D" w14:textId="10C3662C"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Australian Institute of Health and Welfare 2015, </w:t>
      </w:r>
      <w:r w:rsidRPr="006812F2">
        <w:rPr>
          <w:i/>
          <w:iCs/>
          <w:noProof/>
          <w:szCs w:val="24"/>
        </w:rPr>
        <w:t xml:space="preserve">Adoptions </w:t>
      </w:r>
      <w:r w:rsidR="00BE5E53" w:rsidRPr="006812F2">
        <w:rPr>
          <w:i/>
          <w:iCs/>
          <w:noProof/>
          <w:szCs w:val="24"/>
        </w:rPr>
        <w:t xml:space="preserve">Australia </w:t>
      </w:r>
      <w:r w:rsidRPr="006812F2">
        <w:rPr>
          <w:i/>
          <w:iCs/>
          <w:noProof/>
          <w:szCs w:val="24"/>
        </w:rPr>
        <w:t>2014-15</w:t>
      </w:r>
      <w:r w:rsidRPr="006812F2">
        <w:rPr>
          <w:noProof/>
          <w:szCs w:val="24"/>
        </w:rPr>
        <w:t>.</w:t>
      </w:r>
    </w:p>
    <w:p w14:paraId="4A53DBBA" w14:textId="52D8FADF"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Beverly, B, McGuinness, T, &amp; Blanton, D 2008, ‘Communication and </w:t>
      </w:r>
      <w:r w:rsidR="001F7469">
        <w:rPr>
          <w:noProof/>
          <w:szCs w:val="24"/>
        </w:rPr>
        <w:t>A</w:t>
      </w:r>
      <w:r w:rsidRPr="006812F2">
        <w:rPr>
          <w:noProof/>
          <w:szCs w:val="24"/>
        </w:rPr>
        <w:t xml:space="preserve">cademic </w:t>
      </w:r>
      <w:r w:rsidR="001F7469">
        <w:rPr>
          <w:noProof/>
          <w:szCs w:val="24"/>
        </w:rPr>
        <w:t>C</w:t>
      </w:r>
      <w:r w:rsidRPr="006812F2">
        <w:rPr>
          <w:noProof/>
          <w:szCs w:val="24"/>
        </w:rPr>
        <w:t xml:space="preserve">hallenges in </w:t>
      </w:r>
      <w:r w:rsidR="001F7469">
        <w:rPr>
          <w:noProof/>
          <w:szCs w:val="24"/>
        </w:rPr>
        <w:t>E</w:t>
      </w:r>
      <w:r w:rsidRPr="006812F2">
        <w:rPr>
          <w:noProof/>
          <w:szCs w:val="24"/>
        </w:rPr>
        <w:t xml:space="preserve">arly </w:t>
      </w:r>
      <w:r w:rsidR="001F7469">
        <w:rPr>
          <w:noProof/>
          <w:szCs w:val="24"/>
        </w:rPr>
        <w:t>A</w:t>
      </w:r>
      <w:r w:rsidRPr="006812F2">
        <w:rPr>
          <w:noProof/>
          <w:szCs w:val="24"/>
        </w:rPr>
        <w:t xml:space="preserve">dolescence for </w:t>
      </w:r>
      <w:r w:rsidR="001F7469">
        <w:rPr>
          <w:noProof/>
          <w:szCs w:val="24"/>
        </w:rPr>
        <w:t>C</w:t>
      </w:r>
      <w:r w:rsidRPr="006812F2">
        <w:rPr>
          <w:noProof/>
          <w:szCs w:val="24"/>
        </w:rPr>
        <w:t xml:space="preserve">hildren who have been </w:t>
      </w:r>
      <w:r w:rsidR="001F7469">
        <w:rPr>
          <w:noProof/>
          <w:szCs w:val="24"/>
        </w:rPr>
        <w:t>A</w:t>
      </w:r>
      <w:r w:rsidRPr="006812F2">
        <w:rPr>
          <w:noProof/>
          <w:szCs w:val="24"/>
        </w:rPr>
        <w:t xml:space="preserve">dopted from the </w:t>
      </w:r>
      <w:r w:rsidR="001F7469">
        <w:rPr>
          <w:noProof/>
          <w:szCs w:val="24"/>
        </w:rPr>
        <w:t>F</w:t>
      </w:r>
      <w:r w:rsidRPr="006812F2">
        <w:rPr>
          <w:noProof/>
          <w:szCs w:val="24"/>
        </w:rPr>
        <w:t xml:space="preserve">ormer </w:t>
      </w:r>
      <w:r w:rsidR="001F7469">
        <w:rPr>
          <w:noProof/>
          <w:szCs w:val="24"/>
        </w:rPr>
        <w:t>S</w:t>
      </w:r>
      <w:r w:rsidRPr="006812F2">
        <w:rPr>
          <w:noProof/>
          <w:szCs w:val="24"/>
        </w:rPr>
        <w:t xml:space="preserve">oviet </w:t>
      </w:r>
      <w:r w:rsidR="001F7469">
        <w:rPr>
          <w:noProof/>
          <w:szCs w:val="24"/>
        </w:rPr>
        <w:t>U</w:t>
      </w:r>
      <w:r w:rsidRPr="006812F2">
        <w:rPr>
          <w:noProof/>
          <w:szCs w:val="24"/>
        </w:rPr>
        <w:t xml:space="preserve">nion’, </w:t>
      </w:r>
      <w:r w:rsidRPr="006812F2">
        <w:rPr>
          <w:i/>
          <w:iCs/>
          <w:noProof/>
          <w:szCs w:val="24"/>
        </w:rPr>
        <w:t>Language, Speech and Hearing Services in Schools</w:t>
      </w:r>
      <w:r w:rsidRPr="006812F2">
        <w:rPr>
          <w:noProof/>
          <w:szCs w:val="24"/>
        </w:rPr>
        <w:t>, vol. 39, no. 3, pp. 303–314.</w:t>
      </w:r>
    </w:p>
    <w:p w14:paraId="0E21505B" w14:textId="066CF3BD"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Center for Adoption Policy n.d., </w:t>
      </w:r>
      <w:r w:rsidRPr="006812F2">
        <w:rPr>
          <w:i/>
          <w:iCs/>
          <w:noProof/>
          <w:szCs w:val="24"/>
        </w:rPr>
        <w:t xml:space="preserve">Who </w:t>
      </w:r>
      <w:r w:rsidR="00BE5E53" w:rsidRPr="006812F2">
        <w:rPr>
          <w:i/>
          <w:iCs/>
          <w:noProof/>
          <w:szCs w:val="24"/>
        </w:rPr>
        <w:t>We Are</w:t>
      </w:r>
      <w:r w:rsidRPr="006812F2">
        <w:rPr>
          <w:noProof/>
          <w:szCs w:val="24"/>
        </w:rPr>
        <w:t>, viewed 20 July 2016, &lt;http://www.adoptionpolicy.org/who.html&gt;.</w:t>
      </w:r>
    </w:p>
    <w:p w14:paraId="2F14681C" w14:textId="691D278F"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Center for Adoption Policy 2010, </w:t>
      </w:r>
      <w:r w:rsidR="009143A3" w:rsidRPr="006812F2">
        <w:rPr>
          <w:i/>
          <w:iCs/>
          <w:noProof/>
          <w:szCs w:val="24"/>
        </w:rPr>
        <w:t xml:space="preserve">Best Practices </w:t>
      </w:r>
      <w:r w:rsidR="001F7469">
        <w:rPr>
          <w:i/>
          <w:iCs/>
          <w:noProof/>
          <w:szCs w:val="24"/>
        </w:rPr>
        <w:t>i</w:t>
      </w:r>
      <w:r w:rsidR="009143A3" w:rsidRPr="006812F2">
        <w:rPr>
          <w:i/>
          <w:iCs/>
          <w:noProof/>
          <w:szCs w:val="24"/>
        </w:rPr>
        <w:t>n International Adoption: Proposed Framework</w:t>
      </w:r>
      <w:r w:rsidRPr="006812F2">
        <w:rPr>
          <w:noProof/>
          <w:szCs w:val="24"/>
        </w:rPr>
        <w:t>.</w:t>
      </w:r>
    </w:p>
    <w:p w14:paraId="3CEAC4BA" w14:textId="0AC0DB14"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Child Welfare Information Gateway n.d., </w:t>
      </w:r>
      <w:r w:rsidRPr="006812F2">
        <w:rPr>
          <w:i/>
          <w:iCs/>
          <w:noProof/>
          <w:szCs w:val="24"/>
        </w:rPr>
        <w:t xml:space="preserve">The </w:t>
      </w:r>
      <w:r w:rsidR="001F7469">
        <w:rPr>
          <w:i/>
          <w:iCs/>
          <w:noProof/>
          <w:szCs w:val="24"/>
        </w:rPr>
        <w:t>I</w:t>
      </w:r>
      <w:r w:rsidRPr="006812F2">
        <w:rPr>
          <w:i/>
          <w:iCs/>
          <w:noProof/>
          <w:szCs w:val="24"/>
        </w:rPr>
        <w:t xml:space="preserve">ntercountry </w:t>
      </w:r>
      <w:r w:rsidR="001F7469">
        <w:rPr>
          <w:i/>
          <w:iCs/>
          <w:noProof/>
          <w:szCs w:val="24"/>
        </w:rPr>
        <w:t>A</w:t>
      </w:r>
      <w:r w:rsidRPr="006812F2">
        <w:rPr>
          <w:i/>
          <w:iCs/>
          <w:noProof/>
          <w:szCs w:val="24"/>
        </w:rPr>
        <w:t xml:space="preserve">doption </w:t>
      </w:r>
      <w:r w:rsidR="001F7469">
        <w:rPr>
          <w:i/>
          <w:iCs/>
          <w:noProof/>
          <w:szCs w:val="24"/>
        </w:rPr>
        <w:t>P</w:t>
      </w:r>
      <w:r w:rsidRPr="006812F2">
        <w:rPr>
          <w:i/>
          <w:iCs/>
          <w:noProof/>
          <w:szCs w:val="24"/>
        </w:rPr>
        <w:t>rocess</w:t>
      </w:r>
      <w:r w:rsidRPr="006812F2">
        <w:rPr>
          <w:noProof/>
          <w:szCs w:val="24"/>
        </w:rPr>
        <w:t>, viewed 20 July 2016, &lt;https://www.childwelfare.gov/topics/adoption/adoptive/choices/other-country/adoption-process/#general&gt;.</w:t>
      </w:r>
    </w:p>
    <w:p w14:paraId="1589E326" w14:textId="236D209F"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Clare, C 2014, ‘Intercountry </w:t>
      </w:r>
      <w:r w:rsidR="001F7469">
        <w:rPr>
          <w:noProof/>
          <w:szCs w:val="24"/>
        </w:rPr>
        <w:t>A</w:t>
      </w:r>
      <w:r w:rsidRPr="006812F2">
        <w:rPr>
          <w:noProof/>
          <w:szCs w:val="24"/>
        </w:rPr>
        <w:t xml:space="preserve">doption </w:t>
      </w:r>
      <w:r w:rsidR="001F7469">
        <w:rPr>
          <w:noProof/>
          <w:szCs w:val="24"/>
        </w:rPr>
        <w:t>R</w:t>
      </w:r>
      <w:r w:rsidRPr="006812F2">
        <w:rPr>
          <w:noProof/>
          <w:szCs w:val="24"/>
        </w:rPr>
        <w:t xml:space="preserve">eform: </w:t>
      </w:r>
      <w:r w:rsidR="001F7469">
        <w:rPr>
          <w:noProof/>
          <w:szCs w:val="24"/>
        </w:rPr>
        <w:t>A</w:t>
      </w:r>
      <w:r w:rsidRPr="006812F2">
        <w:rPr>
          <w:noProof/>
          <w:szCs w:val="24"/>
        </w:rPr>
        <w:t xml:space="preserve"> </w:t>
      </w:r>
      <w:r w:rsidR="001F7469">
        <w:rPr>
          <w:noProof/>
          <w:szCs w:val="24"/>
        </w:rPr>
        <w:t>S</w:t>
      </w:r>
      <w:r w:rsidRPr="006812F2">
        <w:rPr>
          <w:noProof/>
          <w:szCs w:val="24"/>
        </w:rPr>
        <w:t xml:space="preserve">ervice </w:t>
      </w:r>
      <w:r w:rsidR="001F7469">
        <w:rPr>
          <w:noProof/>
          <w:szCs w:val="24"/>
        </w:rPr>
        <w:t>P</w:t>
      </w:r>
      <w:r w:rsidRPr="006812F2">
        <w:rPr>
          <w:noProof/>
          <w:szCs w:val="24"/>
        </w:rPr>
        <w:t xml:space="preserve">rovider’s </w:t>
      </w:r>
      <w:r w:rsidR="001F7469">
        <w:rPr>
          <w:noProof/>
          <w:szCs w:val="24"/>
        </w:rPr>
        <w:t>C</w:t>
      </w:r>
      <w:r w:rsidRPr="006812F2">
        <w:rPr>
          <w:noProof/>
          <w:szCs w:val="24"/>
        </w:rPr>
        <w:t xml:space="preserve">ontribution to the </w:t>
      </w:r>
      <w:r w:rsidR="001F7469">
        <w:rPr>
          <w:noProof/>
          <w:szCs w:val="24"/>
        </w:rPr>
        <w:t>D</w:t>
      </w:r>
      <w:r w:rsidRPr="006812F2">
        <w:rPr>
          <w:noProof/>
          <w:szCs w:val="24"/>
        </w:rPr>
        <w:t xml:space="preserve">ebate’, </w:t>
      </w:r>
      <w:r w:rsidRPr="006812F2">
        <w:rPr>
          <w:i/>
          <w:iCs/>
          <w:noProof/>
          <w:szCs w:val="24"/>
        </w:rPr>
        <w:t>Australian Journal of Adoption</w:t>
      </w:r>
      <w:r w:rsidRPr="006812F2">
        <w:rPr>
          <w:noProof/>
          <w:szCs w:val="24"/>
        </w:rPr>
        <w:t>, vol. 8, no. 1.</w:t>
      </w:r>
    </w:p>
    <w:p w14:paraId="65DBD888" w14:textId="1BA47747" w:rsidR="007A71EA" w:rsidRPr="006812F2" w:rsidRDefault="007A71EA" w:rsidP="007A71EA">
      <w:pPr>
        <w:widowControl w:val="0"/>
        <w:autoSpaceDE w:val="0"/>
        <w:autoSpaceDN w:val="0"/>
        <w:adjustRightInd w:val="0"/>
        <w:spacing w:before="240" w:after="240"/>
        <w:rPr>
          <w:noProof/>
          <w:szCs w:val="24"/>
        </w:rPr>
      </w:pPr>
      <w:r w:rsidRPr="006812F2">
        <w:rPr>
          <w:noProof/>
          <w:szCs w:val="24"/>
        </w:rPr>
        <w:lastRenderedPageBreak/>
        <w:t>Commonwealth of Australia Department of Social Services n.d</w:t>
      </w:r>
      <w:r w:rsidR="009143A3" w:rsidRPr="006812F2">
        <w:rPr>
          <w:noProof/>
          <w:szCs w:val="24"/>
        </w:rPr>
        <w:t xml:space="preserve">., </w:t>
      </w:r>
      <w:r w:rsidRPr="006812F2">
        <w:rPr>
          <w:i/>
          <w:iCs/>
          <w:noProof/>
          <w:szCs w:val="24"/>
        </w:rPr>
        <w:t xml:space="preserve">Characteristics </w:t>
      </w:r>
      <w:r w:rsidR="001F7469">
        <w:rPr>
          <w:i/>
          <w:iCs/>
          <w:noProof/>
          <w:szCs w:val="24"/>
        </w:rPr>
        <w:t>o</w:t>
      </w:r>
      <w:r w:rsidR="009143A3" w:rsidRPr="006812F2">
        <w:rPr>
          <w:i/>
          <w:iCs/>
          <w:noProof/>
          <w:szCs w:val="24"/>
        </w:rPr>
        <w:t xml:space="preserve">f Children </w:t>
      </w:r>
      <w:r w:rsidR="001F7469">
        <w:rPr>
          <w:i/>
          <w:iCs/>
          <w:noProof/>
          <w:szCs w:val="24"/>
        </w:rPr>
        <w:t>T</w:t>
      </w:r>
      <w:r w:rsidR="009143A3" w:rsidRPr="006812F2">
        <w:rPr>
          <w:i/>
          <w:iCs/>
          <w:noProof/>
          <w:szCs w:val="24"/>
        </w:rPr>
        <w:t xml:space="preserve">hat </w:t>
      </w:r>
      <w:r w:rsidR="001F7469">
        <w:rPr>
          <w:i/>
          <w:iCs/>
          <w:noProof/>
          <w:szCs w:val="24"/>
        </w:rPr>
        <w:t>W</w:t>
      </w:r>
      <w:r w:rsidR="009143A3" w:rsidRPr="006812F2">
        <w:rPr>
          <w:i/>
          <w:iCs/>
          <w:noProof/>
          <w:szCs w:val="24"/>
        </w:rPr>
        <w:t xml:space="preserve">ould Benefit </w:t>
      </w:r>
      <w:r w:rsidR="001F7469">
        <w:rPr>
          <w:i/>
          <w:iCs/>
          <w:noProof/>
          <w:szCs w:val="24"/>
        </w:rPr>
        <w:t>f</w:t>
      </w:r>
      <w:r w:rsidR="009143A3" w:rsidRPr="006812F2">
        <w:rPr>
          <w:i/>
          <w:iCs/>
          <w:noProof/>
          <w:szCs w:val="24"/>
        </w:rPr>
        <w:t>rom Intercountry Adoption</w:t>
      </w:r>
      <w:r w:rsidRPr="006812F2">
        <w:rPr>
          <w:noProof/>
          <w:szCs w:val="24"/>
        </w:rPr>
        <w:t>.</w:t>
      </w:r>
    </w:p>
    <w:p w14:paraId="3E0ECE4B" w14:textId="6B90A9BF" w:rsidR="007A71EA" w:rsidRPr="006812F2" w:rsidRDefault="007A71EA" w:rsidP="007A71EA">
      <w:pPr>
        <w:widowControl w:val="0"/>
        <w:autoSpaceDE w:val="0"/>
        <w:autoSpaceDN w:val="0"/>
        <w:adjustRightInd w:val="0"/>
        <w:spacing w:before="240" w:after="240"/>
        <w:rPr>
          <w:noProof/>
          <w:szCs w:val="24"/>
        </w:rPr>
      </w:pPr>
      <w:r w:rsidRPr="006812F2">
        <w:rPr>
          <w:i/>
          <w:iCs/>
          <w:noProof/>
          <w:szCs w:val="24"/>
        </w:rPr>
        <w:t>Commonwealth</w:t>
      </w:r>
      <w:r w:rsidR="009143A3" w:rsidRPr="006812F2">
        <w:rPr>
          <w:i/>
          <w:iCs/>
          <w:noProof/>
          <w:szCs w:val="24"/>
        </w:rPr>
        <w:t xml:space="preserve">-State Agreement </w:t>
      </w:r>
      <w:r w:rsidR="001F7469">
        <w:rPr>
          <w:i/>
          <w:iCs/>
          <w:noProof/>
          <w:szCs w:val="24"/>
        </w:rPr>
        <w:t>f</w:t>
      </w:r>
      <w:r w:rsidR="009143A3" w:rsidRPr="006812F2">
        <w:rPr>
          <w:i/>
          <w:iCs/>
          <w:noProof/>
          <w:szCs w:val="24"/>
        </w:rPr>
        <w:t xml:space="preserve">or </w:t>
      </w:r>
      <w:r w:rsidR="001F7469">
        <w:rPr>
          <w:i/>
          <w:iCs/>
          <w:noProof/>
          <w:szCs w:val="24"/>
        </w:rPr>
        <w:t>t</w:t>
      </w:r>
      <w:r w:rsidR="009143A3" w:rsidRPr="006812F2">
        <w:rPr>
          <w:i/>
          <w:iCs/>
          <w:noProof/>
          <w:szCs w:val="24"/>
        </w:rPr>
        <w:t xml:space="preserve">he Continued Operation </w:t>
      </w:r>
      <w:r w:rsidR="001F7469">
        <w:rPr>
          <w:i/>
          <w:iCs/>
          <w:noProof/>
          <w:szCs w:val="24"/>
        </w:rPr>
        <w:t>o</w:t>
      </w:r>
      <w:r w:rsidR="009143A3" w:rsidRPr="006812F2">
        <w:rPr>
          <w:i/>
          <w:iCs/>
          <w:noProof/>
          <w:szCs w:val="24"/>
        </w:rPr>
        <w:t>f Australia’s Intercountry Adoption Program</w:t>
      </w:r>
      <w:r w:rsidRPr="006812F2">
        <w:rPr>
          <w:noProof/>
          <w:szCs w:val="24"/>
        </w:rPr>
        <w:t xml:space="preserve"> 2008, viewed 27 July 2016, &lt;https://www.ag.gov.au/FamiliesAndMarriage/IntercountryAdoption/Documents/Program.pdf&gt;.</w:t>
      </w:r>
    </w:p>
    <w:p w14:paraId="590CFADF" w14:textId="7EDCCA88"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Compassion for Orphans 2014, </w:t>
      </w:r>
      <w:r w:rsidRPr="006812F2">
        <w:rPr>
          <w:i/>
          <w:iCs/>
          <w:noProof/>
          <w:szCs w:val="24"/>
        </w:rPr>
        <w:t xml:space="preserve">Details </w:t>
      </w:r>
      <w:r w:rsidR="001F7469">
        <w:rPr>
          <w:i/>
          <w:iCs/>
          <w:noProof/>
          <w:szCs w:val="24"/>
        </w:rPr>
        <w:t>o</w:t>
      </w:r>
      <w:r w:rsidR="009143A3" w:rsidRPr="006812F2">
        <w:rPr>
          <w:i/>
          <w:iCs/>
          <w:noProof/>
          <w:szCs w:val="24"/>
        </w:rPr>
        <w:t xml:space="preserve">f Pre-Adoption Education, Pre-Adoption Support </w:t>
      </w:r>
      <w:r w:rsidR="001F7469">
        <w:rPr>
          <w:i/>
          <w:iCs/>
          <w:noProof/>
          <w:szCs w:val="24"/>
        </w:rPr>
        <w:t>a</w:t>
      </w:r>
      <w:r w:rsidR="009143A3" w:rsidRPr="006812F2">
        <w:rPr>
          <w:i/>
          <w:iCs/>
          <w:noProof/>
          <w:szCs w:val="24"/>
        </w:rPr>
        <w:t>nd Post-Adoption Support</w:t>
      </w:r>
      <w:r w:rsidRPr="006812F2">
        <w:rPr>
          <w:noProof/>
          <w:szCs w:val="24"/>
        </w:rPr>
        <w:t>, viewed 23 March 2016, &lt;http://www.cfo.org.nz/index.php/details-of-pre-adoption-education&gt;.</w:t>
      </w:r>
    </w:p>
    <w:p w14:paraId="62011EDE" w14:textId="7752CFD2"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Council of Australian Governments 2014a, </w:t>
      </w:r>
      <w:r w:rsidR="009143A3" w:rsidRPr="006812F2">
        <w:rPr>
          <w:i/>
          <w:iCs/>
          <w:noProof/>
          <w:szCs w:val="24"/>
        </w:rPr>
        <w:t>C</w:t>
      </w:r>
      <w:r w:rsidR="009143A3">
        <w:rPr>
          <w:i/>
          <w:iCs/>
          <w:noProof/>
          <w:szCs w:val="24"/>
        </w:rPr>
        <w:t>OAG</w:t>
      </w:r>
      <w:r w:rsidR="009143A3" w:rsidRPr="006812F2">
        <w:rPr>
          <w:i/>
          <w:iCs/>
          <w:noProof/>
          <w:szCs w:val="24"/>
        </w:rPr>
        <w:t xml:space="preserve"> Communique</w:t>
      </w:r>
      <w:r w:rsidRPr="006812F2">
        <w:rPr>
          <w:noProof/>
          <w:szCs w:val="24"/>
        </w:rPr>
        <w:t>, Canberra.</w:t>
      </w:r>
    </w:p>
    <w:p w14:paraId="600A0D07" w14:textId="54797A5A"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Council of Australian Governments 2014b, </w:t>
      </w:r>
      <w:r w:rsidR="009143A3" w:rsidRPr="006812F2">
        <w:rPr>
          <w:i/>
          <w:iCs/>
          <w:noProof/>
          <w:szCs w:val="24"/>
        </w:rPr>
        <w:t>C</w:t>
      </w:r>
      <w:r w:rsidR="009143A3">
        <w:rPr>
          <w:i/>
          <w:iCs/>
          <w:noProof/>
          <w:szCs w:val="24"/>
        </w:rPr>
        <w:t>OAG</w:t>
      </w:r>
      <w:r w:rsidR="009143A3" w:rsidRPr="006812F2">
        <w:rPr>
          <w:i/>
          <w:iCs/>
          <w:noProof/>
          <w:szCs w:val="24"/>
        </w:rPr>
        <w:t xml:space="preserve"> </w:t>
      </w:r>
      <w:r w:rsidR="009143A3">
        <w:rPr>
          <w:i/>
          <w:iCs/>
          <w:noProof/>
          <w:szCs w:val="24"/>
        </w:rPr>
        <w:t>C</w:t>
      </w:r>
      <w:r w:rsidRPr="006812F2">
        <w:rPr>
          <w:i/>
          <w:iCs/>
          <w:noProof/>
          <w:szCs w:val="24"/>
        </w:rPr>
        <w:t>ommunique</w:t>
      </w:r>
      <w:r w:rsidRPr="006812F2">
        <w:rPr>
          <w:noProof/>
          <w:szCs w:val="24"/>
        </w:rPr>
        <w:t>, October, Canberra.</w:t>
      </w:r>
    </w:p>
    <w:p w14:paraId="7CA2B256" w14:textId="5654351E" w:rsidR="007A71EA" w:rsidRPr="006812F2" w:rsidRDefault="007A71EA" w:rsidP="007A71EA">
      <w:pPr>
        <w:widowControl w:val="0"/>
        <w:autoSpaceDE w:val="0"/>
        <w:autoSpaceDN w:val="0"/>
        <w:adjustRightInd w:val="0"/>
        <w:spacing w:before="240" w:after="240"/>
        <w:rPr>
          <w:noProof/>
          <w:szCs w:val="24"/>
        </w:rPr>
      </w:pPr>
      <w:r w:rsidRPr="006812F2">
        <w:rPr>
          <w:noProof/>
          <w:szCs w:val="24"/>
        </w:rPr>
        <w:t>Cuthbert, D, Spark, C, &amp; Murphy, K 2010a, ‘“</w:t>
      </w:r>
      <w:r w:rsidR="009143A3" w:rsidRPr="006812F2">
        <w:rPr>
          <w:noProof/>
          <w:szCs w:val="24"/>
        </w:rPr>
        <w:t xml:space="preserve">That Was Then, But This Is Now”: Historical Perspectives </w:t>
      </w:r>
      <w:r w:rsidR="001F7469">
        <w:rPr>
          <w:noProof/>
          <w:szCs w:val="24"/>
        </w:rPr>
        <w:t>o</w:t>
      </w:r>
      <w:r w:rsidR="009143A3" w:rsidRPr="006812F2">
        <w:rPr>
          <w:noProof/>
          <w:szCs w:val="24"/>
        </w:rPr>
        <w:t xml:space="preserve">n Intercountry Adoption </w:t>
      </w:r>
      <w:r w:rsidR="001F7469">
        <w:rPr>
          <w:noProof/>
          <w:szCs w:val="24"/>
        </w:rPr>
        <w:t>a</w:t>
      </w:r>
      <w:r w:rsidR="009143A3" w:rsidRPr="006812F2">
        <w:rPr>
          <w:noProof/>
          <w:szCs w:val="24"/>
        </w:rPr>
        <w:t xml:space="preserve">nd Domestic Child Adoption </w:t>
      </w:r>
      <w:r w:rsidR="001F7469">
        <w:rPr>
          <w:noProof/>
          <w:szCs w:val="24"/>
        </w:rPr>
        <w:t>i</w:t>
      </w:r>
      <w:r w:rsidR="009143A3" w:rsidRPr="006812F2">
        <w:rPr>
          <w:noProof/>
          <w:szCs w:val="24"/>
        </w:rPr>
        <w:t>n Australian Public Policy’</w:t>
      </w:r>
      <w:r w:rsidRPr="006812F2">
        <w:rPr>
          <w:noProof/>
          <w:szCs w:val="24"/>
        </w:rPr>
        <w:t xml:space="preserve">, </w:t>
      </w:r>
      <w:r w:rsidRPr="006812F2">
        <w:rPr>
          <w:i/>
          <w:iCs/>
          <w:noProof/>
          <w:szCs w:val="24"/>
        </w:rPr>
        <w:t>Journal of Historical Sociology</w:t>
      </w:r>
      <w:r w:rsidRPr="006812F2">
        <w:rPr>
          <w:noProof/>
          <w:szCs w:val="24"/>
        </w:rPr>
        <w:t>, vol. 23, no. 3, pp. 427–452.</w:t>
      </w:r>
    </w:p>
    <w:p w14:paraId="08A0838F" w14:textId="47B9D4BB"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Cuthbert, D, Spark, C, &amp; Murphy, K 2010b, </w:t>
      </w:r>
      <w:r w:rsidR="009143A3" w:rsidRPr="006812F2">
        <w:rPr>
          <w:noProof/>
          <w:szCs w:val="24"/>
        </w:rPr>
        <w:t xml:space="preserve">‘“That Was Then, But This Is Now”: Historical Perspectives </w:t>
      </w:r>
      <w:r w:rsidR="001F7469">
        <w:rPr>
          <w:noProof/>
          <w:szCs w:val="24"/>
        </w:rPr>
        <w:t>o</w:t>
      </w:r>
      <w:r w:rsidR="009143A3" w:rsidRPr="006812F2">
        <w:rPr>
          <w:noProof/>
          <w:szCs w:val="24"/>
        </w:rPr>
        <w:t xml:space="preserve">n Intercountry Adoption </w:t>
      </w:r>
      <w:r w:rsidR="001F7469">
        <w:rPr>
          <w:noProof/>
          <w:szCs w:val="24"/>
        </w:rPr>
        <w:t>a</w:t>
      </w:r>
      <w:r w:rsidR="009143A3" w:rsidRPr="006812F2">
        <w:rPr>
          <w:noProof/>
          <w:szCs w:val="24"/>
        </w:rPr>
        <w:t xml:space="preserve">nd Domestic Child Adoption </w:t>
      </w:r>
      <w:r w:rsidR="001F7469">
        <w:rPr>
          <w:noProof/>
          <w:szCs w:val="24"/>
        </w:rPr>
        <w:t>i</w:t>
      </w:r>
      <w:r w:rsidR="009143A3" w:rsidRPr="006812F2">
        <w:rPr>
          <w:noProof/>
          <w:szCs w:val="24"/>
        </w:rPr>
        <w:t>n Australian Public Policy’</w:t>
      </w:r>
      <w:r w:rsidRPr="006812F2">
        <w:rPr>
          <w:noProof/>
          <w:szCs w:val="24"/>
        </w:rPr>
        <w:t xml:space="preserve">, </w:t>
      </w:r>
      <w:r w:rsidRPr="006812F2">
        <w:rPr>
          <w:i/>
          <w:iCs/>
          <w:noProof/>
          <w:szCs w:val="24"/>
        </w:rPr>
        <w:t>Journal of Historical Sociology</w:t>
      </w:r>
      <w:r w:rsidRPr="006812F2">
        <w:rPr>
          <w:noProof/>
          <w:szCs w:val="24"/>
        </w:rPr>
        <w:t>, vol. 23, no. 3, pp. 427–452.</w:t>
      </w:r>
    </w:p>
    <w:p w14:paraId="0A130BB0" w14:textId="3B848A3D"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Department of Human Services Victoria 2015, </w:t>
      </w:r>
      <w:r w:rsidRPr="006812F2">
        <w:rPr>
          <w:i/>
          <w:iCs/>
          <w:noProof/>
          <w:szCs w:val="24"/>
        </w:rPr>
        <w:t xml:space="preserve">Intercountry </w:t>
      </w:r>
      <w:r w:rsidR="009143A3" w:rsidRPr="006812F2">
        <w:rPr>
          <w:i/>
          <w:iCs/>
          <w:noProof/>
          <w:szCs w:val="24"/>
        </w:rPr>
        <w:t>Adoption Information Kit</w:t>
      </w:r>
      <w:r w:rsidRPr="006812F2">
        <w:rPr>
          <w:i/>
          <w:iCs/>
          <w:noProof/>
          <w:szCs w:val="24"/>
        </w:rPr>
        <w:t>, 2014</w:t>
      </w:r>
      <w:r w:rsidRPr="006812F2">
        <w:rPr>
          <w:noProof/>
          <w:szCs w:val="24"/>
        </w:rPr>
        <w:t>, viewed 21 December 2015, &lt;http://www.dhs.vic.gov.au/__data/assets/word_doc/0008/531836/ICAS-Information-Kit-September-2014.doc,&gt;.</w:t>
      </w:r>
    </w:p>
    <w:p w14:paraId="17B41DF4" w14:textId="7CDA5EB7"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Department of the Prime Minister and Cabinet 2014, </w:t>
      </w:r>
      <w:r w:rsidRPr="006812F2">
        <w:rPr>
          <w:i/>
          <w:iCs/>
          <w:noProof/>
          <w:szCs w:val="24"/>
        </w:rPr>
        <w:t xml:space="preserve">Report </w:t>
      </w:r>
      <w:r w:rsidR="001F7469">
        <w:rPr>
          <w:i/>
          <w:iCs/>
          <w:noProof/>
          <w:szCs w:val="24"/>
        </w:rPr>
        <w:t>o</w:t>
      </w:r>
      <w:r w:rsidR="009143A3" w:rsidRPr="006812F2">
        <w:rPr>
          <w:i/>
          <w:iCs/>
          <w:noProof/>
          <w:szCs w:val="24"/>
        </w:rPr>
        <w:t xml:space="preserve">f </w:t>
      </w:r>
      <w:r w:rsidR="001F7469">
        <w:rPr>
          <w:i/>
          <w:iCs/>
          <w:noProof/>
          <w:szCs w:val="24"/>
        </w:rPr>
        <w:t>t</w:t>
      </w:r>
      <w:r w:rsidR="009143A3" w:rsidRPr="006812F2">
        <w:rPr>
          <w:i/>
          <w:iCs/>
          <w:noProof/>
          <w:szCs w:val="24"/>
        </w:rPr>
        <w:t xml:space="preserve">he Interdepartmental Committee </w:t>
      </w:r>
      <w:r w:rsidR="001F7469">
        <w:rPr>
          <w:i/>
          <w:iCs/>
          <w:noProof/>
          <w:szCs w:val="24"/>
        </w:rPr>
        <w:t>o</w:t>
      </w:r>
      <w:r w:rsidR="009143A3" w:rsidRPr="006812F2">
        <w:rPr>
          <w:i/>
          <w:iCs/>
          <w:noProof/>
          <w:szCs w:val="24"/>
        </w:rPr>
        <w:t>n Intercountry Adoption</w:t>
      </w:r>
      <w:r w:rsidRPr="006812F2">
        <w:rPr>
          <w:noProof/>
          <w:szCs w:val="24"/>
        </w:rPr>
        <w:t>.</w:t>
      </w:r>
    </w:p>
    <w:p w14:paraId="73EDEA43" w14:textId="607091DB"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Fronek, P 2012, ‘Operation </w:t>
      </w:r>
      <w:r w:rsidR="009143A3" w:rsidRPr="006812F2">
        <w:rPr>
          <w:noProof/>
          <w:szCs w:val="24"/>
        </w:rPr>
        <w:t xml:space="preserve">Babylift: Advancing Intercountry Adoption </w:t>
      </w:r>
      <w:r w:rsidR="001F7469">
        <w:rPr>
          <w:noProof/>
          <w:szCs w:val="24"/>
        </w:rPr>
        <w:t>i</w:t>
      </w:r>
      <w:r w:rsidR="009143A3" w:rsidRPr="006812F2">
        <w:rPr>
          <w:noProof/>
          <w:szCs w:val="24"/>
        </w:rPr>
        <w:t>nto Australia’</w:t>
      </w:r>
      <w:r w:rsidRPr="006812F2">
        <w:rPr>
          <w:noProof/>
          <w:szCs w:val="24"/>
        </w:rPr>
        <w:t xml:space="preserve">, </w:t>
      </w:r>
      <w:r w:rsidRPr="006812F2">
        <w:rPr>
          <w:i/>
          <w:iCs/>
          <w:noProof/>
          <w:szCs w:val="24"/>
        </w:rPr>
        <w:t>Journal of Australian Studies</w:t>
      </w:r>
      <w:r w:rsidRPr="006812F2">
        <w:rPr>
          <w:noProof/>
          <w:szCs w:val="24"/>
        </w:rPr>
        <w:t>, vol. 36, no. 4, pp. 445–458.</w:t>
      </w:r>
    </w:p>
    <w:p w14:paraId="0940F744" w14:textId="490D5E7B"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Gauthier, K &amp; Genesee, F 2011, ‘Language </w:t>
      </w:r>
      <w:r w:rsidR="009143A3" w:rsidRPr="006812F2">
        <w:rPr>
          <w:noProof/>
          <w:szCs w:val="24"/>
        </w:rPr>
        <w:t xml:space="preserve">Development </w:t>
      </w:r>
      <w:r w:rsidR="001F7469">
        <w:rPr>
          <w:noProof/>
          <w:szCs w:val="24"/>
        </w:rPr>
        <w:t>i</w:t>
      </w:r>
      <w:r w:rsidR="009143A3" w:rsidRPr="006812F2">
        <w:rPr>
          <w:noProof/>
          <w:szCs w:val="24"/>
        </w:rPr>
        <w:t xml:space="preserve">n Internationally Adopted Children: A Special Case </w:t>
      </w:r>
      <w:r w:rsidR="001F7469">
        <w:rPr>
          <w:noProof/>
          <w:szCs w:val="24"/>
        </w:rPr>
        <w:t>o</w:t>
      </w:r>
      <w:r w:rsidR="009143A3" w:rsidRPr="006812F2">
        <w:rPr>
          <w:noProof/>
          <w:szCs w:val="24"/>
        </w:rPr>
        <w:t>f Early Second Language Learning’</w:t>
      </w:r>
      <w:r w:rsidRPr="006812F2">
        <w:rPr>
          <w:noProof/>
          <w:szCs w:val="24"/>
        </w:rPr>
        <w:t xml:space="preserve">, </w:t>
      </w:r>
      <w:r w:rsidRPr="006812F2">
        <w:rPr>
          <w:i/>
          <w:iCs/>
          <w:noProof/>
          <w:szCs w:val="24"/>
        </w:rPr>
        <w:t>Child Development</w:t>
      </w:r>
      <w:r w:rsidRPr="006812F2">
        <w:rPr>
          <w:noProof/>
          <w:szCs w:val="24"/>
        </w:rPr>
        <w:t>, vol. 82, no. 3, pp. 887–901.</w:t>
      </w:r>
    </w:p>
    <w:p w14:paraId="1C5AA6F9" w14:textId="22BA36C0"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Golding, S, Leitão, S, &amp; Williams, C 2015, </w:t>
      </w:r>
      <w:r w:rsidR="009143A3" w:rsidRPr="006812F2">
        <w:rPr>
          <w:noProof/>
          <w:szCs w:val="24"/>
        </w:rPr>
        <w:t>‘</w:t>
      </w:r>
      <w:r w:rsidRPr="006812F2">
        <w:rPr>
          <w:noProof/>
          <w:szCs w:val="24"/>
        </w:rPr>
        <w:t xml:space="preserve">Speech </w:t>
      </w:r>
      <w:r w:rsidR="001F7469">
        <w:rPr>
          <w:noProof/>
          <w:szCs w:val="24"/>
        </w:rPr>
        <w:t>a</w:t>
      </w:r>
      <w:r w:rsidR="009143A3" w:rsidRPr="006812F2">
        <w:rPr>
          <w:noProof/>
          <w:szCs w:val="24"/>
        </w:rPr>
        <w:t xml:space="preserve">nd Language Development </w:t>
      </w:r>
      <w:r w:rsidR="001F7469">
        <w:rPr>
          <w:noProof/>
          <w:szCs w:val="24"/>
        </w:rPr>
        <w:t>o</w:t>
      </w:r>
      <w:r w:rsidR="009143A3" w:rsidRPr="006812F2">
        <w:rPr>
          <w:noProof/>
          <w:szCs w:val="24"/>
        </w:rPr>
        <w:t xml:space="preserve">f Intercountry Adopted Children Aged 3 </w:t>
      </w:r>
      <w:r w:rsidR="001F7469">
        <w:rPr>
          <w:noProof/>
          <w:szCs w:val="24"/>
        </w:rPr>
        <w:t>t</w:t>
      </w:r>
      <w:r w:rsidR="009143A3" w:rsidRPr="006812F2">
        <w:rPr>
          <w:noProof/>
          <w:szCs w:val="24"/>
        </w:rPr>
        <w:t xml:space="preserve">o 6 Years : An Explorative Study </w:t>
      </w:r>
      <w:r w:rsidR="001F7469">
        <w:rPr>
          <w:noProof/>
          <w:szCs w:val="24"/>
        </w:rPr>
        <w:t>o</w:t>
      </w:r>
      <w:r w:rsidR="009143A3" w:rsidRPr="006812F2">
        <w:rPr>
          <w:noProof/>
          <w:szCs w:val="24"/>
        </w:rPr>
        <w:t xml:space="preserve">f Australian Parents ’ Knowledge , Beliefs , </w:t>
      </w:r>
      <w:r w:rsidR="001F7469">
        <w:rPr>
          <w:noProof/>
          <w:szCs w:val="24"/>
        </w:rPr>
        <w:t>a</w:t>
      </w:r>
      <w:r w:rsidR="009143A3" w:rsidRPr="006812F2">
        <w:rPr>
          <w:noProof/>
          <w:szCs w:val="24"/>
        </w:rPr>
        <w:t>nd Experiences’</w:t>
      </w:r>
      <w:r w:rsidRPr="006812F2">
        <w:rPr>
          <w:noProof/>
          <w:szCs w:val="24"/>
        </w:rPr>
        <w:t>, , vol. 6755, no. December.</w:t>
      </w:r>
    </w:p>
    <w:p w14:paraId="5CC46BEE" w14:textId="4A9FB877"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Government of Canada 2012, </w:t>
      </w:r>
      <w:r w:rsidRPr="006812F2">
        <w:rPr>
          <w:i/>
          <w:iCs/>
          <w:noProof/>
          <w:szCs w:val="24"/>
        </w:rPr>
        <w:t>C</w:t>
      </w:r>
      <w:r w:rsidR="009143A3">
        <w:rPr>
          <w:i/>
          <w:iCs/>
          <w:noProof/>
          <w:szCs w:val="24"/>
        </w:rPr>
        <w:t>IC</w:t>
      </w:r>
      <w:r w:rsidRPr="006812F2">
        <w:rPr>
          <w:i/>
          <w:iCs/>
          <w:noProof/>
          <w:szCs w:val="24"/>
        </w:rPr>
        <w:t xml:space="preserve">’s </w:t>
      </w:r>
      <w:r w:rsidR="009143A3" w:rsidRPr="006812F2">
        <w:rPr>
          <w:i/>
          <w:iCs/>
          <w:noProof/>
          <w:szCs w:val="24"/>
        </w:rPr>
        <w:t xml:space="preserve">Role </w:t>
      </w:r>
      <w:r w:rsidR="001F7469">
        <w:rPr>
          <w:i/>
          <w:iCs/>
          <w:noProof/>
          <w:szCs w:val="24"/>
        </w:rPr>
        <w:t>i</w:t>
      </w:r>
      <w:r w:rsidR="009143A3" w:rsidRPr="006812F2">
        <w:rPr>
          <w:i/>
          <w:iCs/>
          <w:noProof/>
          <w:szCs w:val="24"/>
        </w:rPr>
        <w:t>n Adoption</w:t>
      </w:r>
      <w:r w:rsidRPr="006812F2">
        <w:rPr>
          <w:noProof/>
          <w:szCs w:val="24"/>
        </w:rPr>
        <w:t>, viewed 23 March 2016, &lt;http://www.cic.gc.ca/english/immigrate/adoption/role.asp&gt;.</w:t>
      </w:r>
    </w:p>
    <w:p w14:paraId="766D829E" w14:textId="4A6712F8"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Hague Conference on Private International Law 2016, </w:t>
      </w:r>
      <w:r w:rsidRPr="006812F2">
        <w:rPr>
          <w:i/>
          <w:iCs/>
          <w:noProof/>
          <w:szCs w:val="24"/>
        </w:rPr>
        <w:t xml:space="preserve">Convention </w:t>
      </w:r>
      <w:r w:rsidR="009143A3">
        <w:rPr>
          <w:i/>
          <w:iCs/>
          <w:noProof/>
          <w:szCs w:val="24"/>
        </w:rPr>
        <w:t>o</w:t>
      </w:r>
      <w:r w:rsidR="009143A3" w:rsidRPr="006812F2">
        <w:rPr>
          <w:i/>
          <w:iCs/>
          <w:noProof/>
          <w:szCs w:val="24"/>
        </w:rPr>
        <w:t xml:space="preserve">f 29 May 1993 </w:t>
      </w:r>
      <w:r w:rsidR="001F7469">
        <w:rPr>
          <w:i/>
          <w:iCs/>
          <w:noProof/>
          <w:szCs w:val="24"/>
        </w:rPr>
        <w:t>o</w:t>
      </w:r>
      <w:r w:rsidR="009143A3" w:rsidRPr="006812F2">
        <w:rPr>
          <w:i/>
          <w:iCs/>
          <w:noProof/>
          <w:szCs w:val="24"/>
        </w:rPr>
        <w:t xml:space="preserve">n Protection </w:t>
      </w:r>
      <w:r w:rsidR="001F7469">
        <w:rPr>
          <w:i/>
          <w:iCs/>
          <w:noProof/>
          <w:szCs w:val="24"/>
        </w:rPr>
        <w:t>o</w:t>
      </w:r>
      <w:r w:rsidR="009143A3" w:rsidRPr="006812F2">
        <w:rPr>
          <w:i/>
          <w:iCs/>
          <w:noProof/>
          <w:szCs w:val="24"/>
        </w:rPr>
        <w:t xml:space="preserve">f Children </w:t>
      </w:r>
      <w:r w:rsidR="001F7469">
        <w:rPr>
          <w:i/>
          <w:iCs/>
          <w:noProof/>
          <w:szCs w:val="24"/>
        </w:rPr>
        <w:t>a</w:t>
      </w:r>
      <w:r w:rsidR="009143A3" w:rsidRPr="006812F2">
        <w:rPr>
          <w:i/>
          <w:iCs/>
          <w:noProof/>
          <w:szCs w:val="24"/>
        </w:rPr>
        <w:t xml:space="preserve">nd Co-Operation </w:t>
      </w:r>
      <w:r w:rsidR="001F7469">
        <w:rPr>
          <w:i/>
          <w:iCs/>
          <w:noProof/>
          <w:szCs w:val="24"/>
        </w:rPr>
        <w:t>i</w:t>
      </w:r>
      <w:r w:rsidR="009143A3" w:rsidRPr="006812F2">
        <w:rPr>
          <w:i/>
          <w:iCs/>
          <w:noProof/>
          <w:szCs w:val="24"/>
        </w:rPr>
        <w:t xml:space="preserve">n Respect </w:t>
      </w:r>
      <w:r w:rsidR="001F7469">
        <w:rPr>
          <w:i/>
          <w:iCs/>
          <w:noProof/>
          <w:szCs w:val="24"/>
        </w:rPr>
        <w:t>o</w:t>
      </w:r>
      <w:r w:rsidR="009143A3" w:rsidRPr="006812F2">
        <w:rPr>
          <w:i/>
          <w:iCs/>
          <w:noProof/>
          <w:szCs w:val="24"/>
        </w:rPr>
        <w:t>f Intercountry Adoption: Statistics</w:t>
      </w:r>
      <w:r w:rsidRPr="006812F2">
        <w:rPr>
          <w:noProof/>
          <w:szCs w:val="24"/>
        </w:rPr>
        <w:t>, viewed 20 July 2016, &lt;https://www.hcch.net/en/instruments/conventions/publications1/?cid=69&amp;dtid=32&gt;.</w:t>
      </w:r>
    </w:p>
    <w:p w14:paraId="6238DC96" w14:textId="275C5566"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Hague Conference on Private International Law (HCCH) 2008, </w:t>
      </w:r>
      <w:r w:rsidRPr="006812F2">
        <w:rPr>
          <w:i/>
          <w:iCs/>
          <w:noProof/>
          <w:szCs w:val="24"/>
        </w:rPr>
        <w:t xml:space="preserve">The </w:t>
      </w:r>
      <w:r w:rsidR="009143A3" w:rsidRPr="006812F2">
        <w:rPr>
          <w:i/>
          <w:iCs/>
          <w:noProof/>
          <w:szCs w:val="24"/>
        </w:rPr>
        <w:t xml:space="preserve">Implementation </w:t>
      </w:r>
      <w:r w:rsidR="009143A3">
        <w:rPr>
          <w:i/>
          <w:iCs/>
          <w:noProof/>
          <w:szCs w:val="24"/>
        </w:rPr>
        <w:t>a</w:t>
      </w:r>
      <w:r w:rsidR="009143A3" w:rsidRPr="006812F2">
        <w:rPr>
          <w:i/>
          <w:iCs/>
          <w:noProof/>
          <w:szCs w:val="24"/>
        </w:rPr>
        <w:t xml:space="preserve">nd Operation </w:t>
      </w:r>
      <w:r w:rsidR="009143A3">
        <w:rPr>
          <w:i/>
          <w:iCs/>
          <w:noProof/>
          <w:szCs w:val="24"/>
        </w:rPr>
        <w:t>o</w:t>
      </w:r>
      <w:r w:rsidR="009143A3" w:rsidRPr="006812F2">
        <w:rPr>
          <w:i/>
          <w:iCs/>
          <w:noProof/>
          <w:szCs w:val="24"/>
        </w:rPr>
        <w:t xml:space="preserve">f </w:t>
      </w:r>
      <w:r w:rsidR="009143A3">
        <w:rPr>
          <w:i/>
          <w:iCs/>
          <w:noProof/>
          <w:szCs w:val="24"/>
        </w:rPr>
        <w:t>t</w:t>
      </w:r>
      <w:r w:rsidR="009143A3" w:rsidRPr="006812F2">
        <w:rPr>
          <w:i/>
          <w:iCs/>
          <w:noProof/>
          <w:szCs w:val="24"/>
        </w:rPr>
        <w:t xml:space="preserve">he 1993 Hague Intercountry Adoption Convention: Guide </w:t>
      </w:r>
      <w:r w:rsidR="009143A3">
        <w:rPr>
          <w:i/>
          <w:iCs/>
          <w:noProof/>
          <w:szCs w:val="24"/>
        </w:rPr>
        <w:t>t</w:t>
      </w:r>
      <w:r w:rsidR="009143A3" w:rsidRPr="006812F2">
        <w:rPr>
          <w:i/>
          <w:iCs/>
          <w:noProof/>
          <w:szCs w:val="24"/>
        </w:rPr>
        <w:t>o Good Practice</w:t>
      </w:r>
      <w:r w:rsidRPr="006812F2">
        <w:rPr>
          <w:noProof/>
          <w:szCs w:val="24"/>
        </w:rPr>
        <w:t>, Family Law, Bristol.</w:t>
      </w:r>
    </w:p>
    <w:p w14:paraId="3A7343A1" w14:textId="3A14B6C8"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Hassan, E n.d., </w:t>
      </w:r>
      <w:r w:rsidRPr="001F7469">
        <w:rPr>
          <w:iCs/>
          <w:noProof/>
          <w:szCs w:val="24"/>
        </w:rPr>
        <w:t xml:space="preserve">Recall </w:t>
      </w:r>
      <w:r w:rsidR="009143A3" w:rsidRPr="001F7469">
        <w:rPr>
          <w:iCs/>
          <w:noProof/>
          <w:szCs w:val="24"/>
        </w:rPr>
        <w:t>Bias can be a Threat to Retrospective and Prospective Research Designs</w:t>
      </w:r>
      <w:r w:rsidR="009143A3" w:rsidRPr="006812F2">
        <w:rPr>
          <w:noProof/>
          <w:szCs w:val="24"/>
        </w:rPr>
        <w:t xml:space="preserve">, </w:t>
      </w:r>
      <w:r w:rsidRPr="006812F2">
        <w:rPr>
          <w:i/>
          <w:iCs/>
          <w:noProof/>
          <w:szCs w:val="24"/>
        </w:rPr>
        <w:t xml:space="preserve">The Internet Journal </w:t>
      </w:r>
      <w:r w:rsidR="009143A3" w:rsidRPr="006812F2">
        <w:rPr>
          <w:i/>
          <w:iCs/>
          <w:noProof/>
          <w:szCs w:val="24"/>
        </w:rPr>
        <w:t xml:space="preserve">Of </w:t>
      </w:r>
      <w:r w:rsidRPr="006812F2">
        <w:rPr>
          <w:i/>
          <w:iCs/>
          <w:noProof/>
          <w:szCs w:val="24"/>
        </w:rPr>
        <w:t>Epidemiology</w:t>
      </w:r>
      <w:r w:rsidR="009143A3" w:rsidRPr="006812F2">
        <w:rPr>
          <w:i/>
          <w:iCs/>
          <w:noProof/>
          <w:szCs w:val="24"/>
        </w:rPr>
        <w:t xml:space="preserve">. 2005 </w:t>
      </w:r>
      <w:r w:rsidRPr="006812F2">
        <w:rPr>
          <w:i/>
          <w:iCs/>
          <w:noProof/>
          <w:szCs w:val="24"/>
        </w:rPr>
        <w:t xml:space="preserve">Volume </w:t>
      </w:r>
      <w:r w:rsidR="009143A3" w:rsidRPr="006812F2">
        <w:rPr>
          <w:i/>
          <w:iCs/>
          <w:noProof/>
          <w:szCs w:val="24"/>
        </w:rPr>
        <w:t xml:space="preserve">3 </w:t>
      </w:r>
      <w:r w:rsidRPr="006812F2">
        <w:rPr>
          <w:i/>
          <w:iCs/>
          <w:noProof/>
          <w:szCs w:val="24"/>
        </w:rPr>
        <w:t xml:space="preserve">Number </w:t>
      </w:r>
      <w:r w:rsidR="009143A3" w:rsidRPr="006812F2">
        <w:rPr>
          <w:i/>
          <w:iCs/>
          <w:noProof/>
          <w:szCs w:val="24"/>
        </w:rPr>
        <w:t>2</w:t>
      </w:r>
      <w:r w:rsidRPr="006812F2">
        <w:rPr>
          <w:noProof/>
          <w:szCs w:val="24"/>
        </w:rPr>
        <w:t>, viewed 18 May 2016,</w:t>
      </w:r>
      <w:r w:rsidR="009143A3">
        <w:rPr>
          <w:noProof/>
          <w:szCs w:val="24"/>
        </w:rPr>
        <w:t xml:space="preserve"> </w:t>
      </w:r>
      <w:r w:rsidRPr="006812F2">
        <w:rPr>
          <w:noProof/>
          <w:szCs w:val="24"/>
        </w:rPr>
        <w:t>&lt;http://ispub.com/IJE/3/2/13060&gt;.</w:t>
      </w:r>
    </w:p>
    <w:p w14:paraId="72F648DC" w14:textId="47B4D752" w:rsidR="007A71EA" w:rsidRPr="006812F2" w:rsidRDefault="007A71EA" w:rsidP="007A71EA">
      <w:pPr>
        <w:widowControl w:val="0"/>
        <w:autoSpaceDE w:val="0"/>
        <w:autoSpaceDN w:val="0"/>
        <w:adjustRightInd w:val="0"/>
        <w:spacing w:before="240" w:after="240"/>
        <w:rPr>
          <w:noProof/>
          <w:szCs w:val="24"/>
        </w:rPr>
      </w:pPr>
      <w:r w:rsidRPr="006812F2">
        <w:rPr>
          <w:noProof/>
          <w:szCs w:val="24"/>
        </w:rPr>
        <w:t>House Standing Committee on Family and Human Services 2005</w:t>
      </w:r>
      <w:r w:rsidR="009143A3" w:rsidRPr="006812F2">
        <w:rPr>
          <w:noProof/>
          <w:szCs w:val="24"/>
        </w:rPr>
        <w:t xml:space="preserve">, </w:t>
      </w:r>
      <w:r w:rsidRPr="006812F2">
        <w:rPr>
          <w:i/>
          <w:iCs/>
          <w:noProof/>
          <w:szCs w:val="24"/>
        </w:rPr>
        <w:t xml:space="preserve">Overseas </w:t>
      </w:r>
      <w:r w:rsidR="009143A3" w:rsidRPr="006812F2">
        <w:rPr>
          <w:i/>
          <w:iCs/>
          <w:noProof/>
          <w:szCs w:val="24"/>
        </w:rPr>
        <w:t xml:space="preserve">Adoption </w:t>
      </w:r>
      <w:r w:rsidR="009143A3">
        <w:rPr>
          <w:i/>
          <w:iCs/>
          <w:noProof/>
          <w:szCs w:val="24"/>
        </w:rPr>
        <w:t>i</w:t>
      </w:r>
      <w:r w:rsidR="009143A3" w:rsidRPr="006812F2">
        <w:rPr>
          <w:i/>
          <w:iCs/>
          <w:noProof/>
          <w:szCs w:val="24"/>
        </w:rPr>
        <w:t>n Australia</w:t>
      </w:r>
      <w:r w:rsidRPr="006812F2">
        <w:rPr>
          <w:noProof/>
          <w:szCs w:val="24"/>
        </w:rPr>
        <w:t xml:space="preserve">, </w:t>
      </w:r>
      <w:r w:rsidRPr="006812F2">
        <w:rPr>
          <w:noProof/>
          <w:szCs w:val="24"/>
        </w:rPr>
        <w:lastRenderedPageBreak/>
        <w:t>Commonwealth of Australia, Canberra.</w:t>
      </w:r>
    </w:p>
    <w:p w14:paraId="6D5603CD" w14:textId="7FB53542" w:rsidR="007A71EA" w:rsidRPr="006812F2" w:rsidRDefault="009143A3" w:rsidP="007A71EA">
      <w:pPr>
        <w:widowControl w:val="0"/>
        <w:autoSpaceDE w:val="0"/>
        <w:autoSpaceDN w:val="0"/>
        <w:adjustRightInd w:val="0"/>
        <w:spacing w:before="240" w:after="240"/>
        <w:rPr>
          <w:noProof/>
          <w:szCs w:val="24"/>
        </w:rPr>
      </w:pPr>
      <w:r>
        <w:rPr>
          <w:i/>
          <w:iCs/>
          <w:noProof/>
          <w:szCs w:val="24"/>
        </w:rPr>
        <w:t>IAC</w:t>
      </w:r>
      <w:r w:rsidR="007A71EA" w:rsidRPr="006812F2">
        <w:rPr>
          <w:i/>
          <w:iCs/>
          <w:noProof/>
          <w:szCs w:val="24"/>
        </w:rPr>
        <w:t>: the centre for adoption</w:t>
      </w:r>
      <w:r w:rsidR="007A71EA" w:rsidRPr="006812F2">
        <w:rPr>
          <w:noProof/>
          <w:szCs w:val="24"/>
        </w:rPr>
        <w:t xml:space="preserve"> 2016.</w:t>
      </w:r>
    </w:p>
    <w:p w14:paraId="17DCAE42" w14:textId="65C92853"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Intercountry Adoption Australia n.d., </w:t>
      </w:r>
      <w:r w:rsidRPr="006812F2">
        <w:rPr>
          <w:i/>
          <w:iCs/>
          <w:noProof/>
          <w:szCs w:val="24"/>
        </w:rPr>
        <w:t xml:space="preserve">Roles </w:t>
      </w:r>
      <w:r w:rsidR="009143A3">
        <w:rPr>
          <w:i/>
          <w:iCs/>
          <w:noProof/>
          <w:szCs w:val="24"/>
        </w:rPr>
        <w:t>a</w:t>
      </w:r>
      <w:r w:rsidR="009143A3" w:rsidRPr="006812F2">
        <w:rPr>
          <w:i/>
          <w:iCs/>
          <w:noProof/>
          <w:szCs w:val="24"/>
        </w:rPr>
        <w:t>nd Responsibilities</w:t>
      </w:r>
      <w:r w:rsidRPr="006812F2">
        <w:rPr>
          <w:noProof/>
          <w:szCs w:val="24"/>
        </w:rPr>
        <w:t>, viewed 27 July 2016, &lt;http://www.intercountryadoption.gov.au/about/roles-responsibilities/&gt;.</w:t>
      </w:r>
    </w:p>
    <w:p w14:paraId="0815EB47" w14:textId="3D8595FC"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Intercountry Adoption Central Authorities 2016, </w:t>
      </w:r>
      <w:r w:rsidRPr="006812F2">
        <w:rPr>
          <w:i/>
          <w:iCs/>
          <w:noProof/>
          <w:szCs w:val="24"/>
        </w:rPr>
        <w:t xml:space="preserve">Meeting </w:t>
      </w:r>
      <w:r w:rsidR="009143A3" w:rsidRPr="006812F2">
        <w:rPr>
          <w:i/>
          <w:iCs/>
          <w:noProof/>
          <w:szCs w:val="24"/>
        </w:rPr>
        <w:t>Communique</w:t>
      </w:r>
      <w:r w:rsidRPr="006812F2">
        <w:rPr>
          <w:noProof/>
          <w:szCs w:val="24"/>
        </w:rPr>
        <w:t>, viewed 3 August 2016, &lt;https://www.ag.gov.au/FamiliesAndMarriage/IntercountryAdoption/Documents/CentralAuthoritiesmeeting-22-23March2016.DOCX&gt;.</w:t>
      </w:r>
    </w:p>
    <w:p w14:paraId="4BEFB957" w14:textId="38D78D7F" w:rsidR="007A71EA" w:rsidRPr="006812F2" w:rsidRDefault="007A71EA" w:rsidP="007A71EA">
      <w:pPr>
        <w:widowControl w:val="0"/>
        <w:autoSpaceDE w:val="0"/>
        <w:autoSpaceDN w:val="0"/>
        <w:adjustRightInd w:val="0"/>
        <w:spacing w:before="240" w:after="240"/>
        <w:rPr>
          <w:noProof/>
          <w:szCs w:val="24"/>
        </w:rPr>
      </w:pPr>
      <w:r>
        <w:rPr>
          <w:i/>
          <w:iCs/>
          <w:noProof/>
          <w:szCs w:val="24"/>
        </w:rPr>
        <w:t>Intercountry Adoption Reform: Implementation P</w:t>
      </w:r>
      <w:r w:rsidRPr="006812F2">
        <w:rPr>
          <w:i/>
          <w:iCs/>
          <w:noProof/>
          <w:szCs w:val="24"/>
        </w:rPr>
        <w:t>lan</w:t>
      </w:r>
      <w:r w:rsidRPr="006812F2">
        <w:rPr>
          <w:noProof/>
          <w:szCs w:val="24"/>
        </w:rPr>
        <w:t xml:space="preserve"> 2015, Australian Government Department of Social Services and Attorney-General’s Department, Canberra.</w:t>
      </w:r>
    </w:p>
    <w:p w14:paraId="46A62170" w14:textId="711CE206"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Intercountry Adoption Victoria 2015, </w:t>
      </w:r>
      <w:r w:rsidR="009143A3">
        <w:rPr>
          <w:i/>
          <w:iCs/>
          <w:noProof/>
          <w:szCs w:val="24"/>
        </w:rPr>
        <w:t>IAV</w:t>
      </w:r>
      <w:r w:rsidR="009143A3" w:rsidRPr="006812F2">
        <w:rPr>
          <w:i/>
          <w:iCs/>
          <w:noProof/>
          <w:szCs w:val="24"/>
        </w:rPr>
        <w:t xml:space="preserve"> Assessment Standard No.9: Child Wellbeing (Retention Of Name</w:t>
      </w:r>
      <w:r w:rsidRPr="006812F2">
        <w:rPr>
          <w:i/>
          <w:iCs/>
          <w:noProof/>
          <w:szCs w:val="24"/>
        </w:rPr>
        <w:t>)</w:t>
      </w:r>
      <w:r w:rsidRPr="006812F2">
        <w:rPr>
          <w:noProof/>
          <w:szCs w:val="24"/>
        </w:rPr>
        <w:t>, Victorian Government, Melbourne.</w:t>
      </w:r>
    </w:p>
    <w:p w14:paraId="6E5D8F90" w14:textId="7C17F344"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Katz, I, Hilferty, F, &amp; Van Wichelen, S 2016, </w:t>
      </w:r>
      <w:r w:rsidRPr="006812F2">
        <w:rPr>
          <w:i/>
          <w:iCs/>
          <w:noProof/>
          <w:szCs w:val="24"/>
        </w:rPr>
        <w:t xml:space="preserve">Literature </w:t>
      </w:r>
      <w:r w:rsidR="009143A3" w:rsidRPr="006812F2">
        <w:rPr>
          <w:i/>
          <w:iCs/>
          <w:noProof/>
          <w:szCs w:val="24"/>
        </w:rPr>
        <w:t xml:space="preserve">Review </w:t>
      </w:r>
      <w:r w:rsidR="009143A3">
        <w:rPr>
          <w:i/>
          <w:iCs/>
          <w:noProof/>
          <w:szCs w:val="24"/>
        </w:rPr>
        <w:t>o</w:t>
      </w:r>
      <w:r w:rsidR="009143A3" w:rsidRPr="006812F2">
        <w:rPr>
          <w:i/>
          <w:iCs/>
          <w:noProof/>
          <w:szCs w:val="24"/>
        </w:rPr>
        <w:t>n Factors Influencing Intercountry Adoption Rates</w:t>
      </w:r>
      <w:r w:rsidRPr="006812F2">
        <w:rPr>
          <w:noProof/>
          <w:szCs w:val="24"/>
        </w:rPr>
        <w:t>, University of New South Wales Social Policy Research Centre, Sydney.</w:t>
      </w:r>
    </w:p>
    <w:p w14:paraId="16598B44" w14:textId="6D9B59FE"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Kim, WJ 2002, ‘Benefits </w:t>
      </w:r>
      <w:r w:rsidR="009143A3">
        <w:rPr>
          <w:noProof/>
          <w:szCs w:val="24"/>
        </w:rPr>
        <w:t>a</w:t>
      </w:r>
      <w:r w:rsidR="009143A3" w:rsidRPr="006812F2">
        <w:rPr>
          <w:noProof/>
          <w:szCs w:val="24"/>
        </w:rPr>
        <w:t xml:space="preserve">nd Risks Of Intercountry Adoption Realising </w:t>
      </w:r>
      <w:r w:rsidR="009143A3">
        <w:rPr>
          <w:noProof/>
          <w:szCs w:val="24"/>
        </w:rPr>
        <w:t>t</w:t>
      </w:r>
      <w:r w:rsidR="009143A3" w:rsidRPr="006812F2">
        <w:rPr>
          <w:noProof/>
          <w:szCs w:val="24"/>
        </w:rPr>
        <w:t xml:space="preserve">he Potential </w:t>
      </w:r>
      <w:r w:rsidR="009143A3">
        <w:rPr>
          <w:noProof/>
          <w:szCs w:val="24"/>
        </w:rPr>
        <w:t>o</w:t>
      </w:r>
      <w:r w:rsidR="009143A3" w:rsidRPr="006812F2">
        <w:rPr>
          <w:noProof/>
          <w:szCs w:val="24"/>
        </w:rPr>
        <w:t xml:space="preserve">f Targeted Therapies </w:t>
      </w:r>
      <w:r w:rsidR="009143A3">
        <w:rPr>
          <w:noProof/>
          <w:szCs w:val="24"/>
        </w:rPr>
        <w:t>i</w:t>
      </w:r>
      <w:r w:rsidR="009143A3" w:rsidRPr="006812F2">
        <w:rPr>
          <w:noProof/>
          <w:szCs w:val="24"/>
        </w:rPr>
        <w:t xml:space="preserve">n Oncology </w:t>
      </w:r>
      <w:r w:rsidR="009143A3">
        <w:rPr>
          <w:noProof/>
          <w:szCs w:val="24"/>
        </w:rPr>
        <w:t>f</w:t>
      </w:r>
      <w:r w:rsidR="009143A3" w:rsidRPr="006812F2">
        <w:rPr>
          <w:noProof/>
          <w:szCs w:val="24"/>
        </w:rPr>
        <w:t>or Personal Use</w:t>
      </w:r>
      <w:r w:rsidR="009143A3">
        <w:rPr>
          <w:noProof/>
          <w:szCs w:val="24"/>
        </w:rPr>
        <w:t>’</w:t>
      </w:r>
      <w:r w:rsidRPr="006812F2">
        <w:rPr>
          <w:noProof/>
          <w:szCs w:val="24"/>
        </w:rPr>
        <w:t xml:space="preserve">, </w:t>
      </w:r>
      <w:r w:rsidRPr="006812F2">
        <w:rPr>
          <w:i/>
          <w:iCs/>
          <w:noProof/>
          <w:szCs w:val="24"/>
        </w:rPr>
        <w:t>The Lancet</w:t>
      </w:r>
      <w:r w:rsidRPr="006812F2">
        <w:rPr>
          <w:noProof/>
          <w:szCs w:val="24"/>
        </w:rPr>
        <w:t>, vol. 360, no. 10.</w:t>
      </w:r>
    </w:p>
    <w:p w14:paraId="04405E3D" w14:textId="7BD85A88"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Meese, RL 2005a, ‘A </w:t>
      </w:r>
      <w:r w:rsidR="009143A3" w:rsidRPr="006812F2">
        <w:rPr>
          <w:noProof/>
          <w:szCs w:val="24"/>
        </w:rPr>
        <w:t xml:space="preserve">Few New Children: Postinstitutionalized Children </w:t>
      </w:r>
      <w:r w:rsidR="009143A3">
        <w:rPr>
          <w:noProof/>
          <w:szCs w:val="24"/>
        </w:rPr>
        <w:t>o</w:t>
      </w:r>
      <w:r w:rsidR="009143A3" w:rsidRPr="006812F2">
        <w:rPr>
          <w:noProof/>
          <w:szCs w:val="24"/>
        </w:rPr>
        <w:t>f Intercountry Adoption</w:t>
      </w:r>
      <w:r w:rsidRPr="006812F2">
        <w:rPr>
          <w:noProof/>
          <w:szCs w:val="24"/>
        </w:rPr>
        <w:t xml:space="preserve">’, </w:t>
      </w:r>
      <w:r w:rsidRPr="006812F2">
        <w:rPr>
          <w:i/>
          <w:iCs/>
          <w:noProof/>
          <w:szCs w:val="24"/>
        </w:rPr>
        <w:t>The Journal of Special Education</w:t>
      </w:r>
      <w:r w:rsidRPr="006812F2">
        <w:rPr>
          <w:noProof/>
          <w:szCs w:val="24"/>
        </w:rPr>
        <w:t>, vol. 39, no. 3, pp. 157–167.</w:t>
      </w:r>
    </w:p>
    <w:p w14:paraId="346BF5EB" w14:textId="36161DF3"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Meese, RL 2005b, ‘A </w:t>
      </w:r>
      <w:r w:rsidR="009143A3" w:rsidRPr="006812F2">
        <w:rPr>
          <w:noProof/>
          <w:szCs w:val="24"/>
        </w:rPr>
        <w:t xml:space="preserve">Few New Children: Postinstitutionalized Children </w:t>
      </w:r>
      <w:r w:rsidR="009143A3">
        <w:rPr>
          <w:noProof/>
          <w:szCs w:val="24"/>
        </w:rPr>
        <w:t>o</w:t>
      </w:r>
      <w:r w:rsidR="009143A3" w:rsidRPr="006812F2">
        <w:rPr>
          <w:noProof/>
          <w:szCs w:val="24"/>
        </w:rPr>
        <w:t>f Intercountry Adoption’</w:t>
      </w:r>
      <w:r w:rsidRPr="006812F2">
        <w:rPr>
          <w:noProof/>
          <w:szCs w:val="24"/>
        </w:rPr>
        <w:t xml:space="preserve">, </w:t>
      </w:r>
      <w:r w:rsidRPr="006812F2">
        <w:rPr>
          <w:i/>
          <w:iCs/>
          <w:noProof/>
          <w:szCs w:val="24"/>
        </w:rPr>
        <w:t>The Journal of Special Education</w:t>
      </w:r>
      <w:r w:rsidRPr="006812F2">
        <w:rPr>
          <w:noProof/>
          <w:szCs w:val="24"/>
        </w:rPr>
        <w:t>, vol. 39, no. 3, pp. 157–167.</w:t>
      </w:r>
    </w:p>
    <w:p w14:paraId="2CC61535" w14:textId="15287D8B"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Miles, MB, Huberman, AM, &amp; Saldana, J 2013, </w:t>
      </w:r>
      <w:r w:rsidRPr="006812F2">
        <w:rPr>
          <w:i/>
          <w:iCs/>
          <w:noProof/>
          <w:szCs w:val="24"/>
        </w:rPr>
        <w:t xml:space="preserve">Qualitative </w:t>
      </w:r>
      <w:r w:rsidR="009143A3" w:rsidRPr="006812F2">
        <w:rPr>
          <w:i/>
          <w:iCs/>
          <w:noProof/>
          <w:szCs w:val="24"/>
        </w:rPr>
        <w:t>Data Analysis: A Methods Sourcebook</w:t>
      </w:r>
      <w:r w:rsidRPr="006812F2">
        <w:rPr>
          <w:noProof/>
          <w:szCs w:val="24"/>
        </w:rPr>
        <w:t>, Third, Sage, Thousand Oaks, California.</w:t>
      </w:r>
    </w:p>
    <w:p w14:paraId="46286E1E" w14:textId="39001324"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Paulsen, C &amp; Merighi, JR 2009, ‘Adoption </w:t>
      </w:r>
      <w:r w:rsidR="009143A3" w:rsidRPr="006812F2">
        <w:rPr>
          <w:noProof/>
          <w:szCs w:val="24"/>
        </w:rPr>
        <w:t xml:space="preserve">Preparedness, Cultural Engagement, </w:t>
      </w:r>
      <w:r w:rsidR="009143A3">
        <w:rPr>
          <w:noProof/>
          <w:szCs w:val="24"/>
        </w:rPr>
        <w:t>a</w:t>
      </w:r>
      <w:r w:rsidR="009143A3" w:rsidRPr="006812F2">
        <w:rPr>
          <w:noProof/>
          <w:szCs w:val="24"/>
        </w:rPr>
        <w:t xml:space="preserve">nd Parental Satisfaction </w:t>
      </w:r>
      <w:r w:rsidR="009143A3">
        <w:rPr>
          <w:noProof/>
          <w:szCs w:val="24"/>
        </w:rPr>
        <w:t>i</w:t>
      </w:r>
      <w:r w:rsidR="009143A3" w:rsidRPr="006812F2">
        <w:rPr>
          <w:noProof/>
          <w:szCs w:val="24"/>
        </w:rPr>
        <w:t>n Intercountry Adoption’</w:t>
      </w:r>
      <w:r w:rsidRPr="006812F2">
        <w:rPr>
          <w:noProof/>
          <w:szCs w:val="24"/>
        </w:rPr>
        <w:t xml:space="preserve">, </w:t>
      </w:r>
      <w:r w:rsidRPr="006812F2">
        <w:rPr>
          <w:i/>
          <w:iCs/>
          <w:noProof/>
          <w:szCs w:val="24"/>
        </w:rPr>
        <w:t>Adoption Quarterly</w:t>
      </w:r>
      <w:r w:rsidRPr="006812F2">
        <w:rPr>
          <w:noProof/>
          <w:szCs w:val="24"/>
        </w:rPr>
        <w:t>, vol. 12, no. 1, pp. 1–18.</w:t>
      </w:r>
    </w:p>
    <w:p w14:paraId="181542E7" w14:textId="21BE7E2F"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Roberts, J, Pollock, K, Krakow, R, Price, J, Fulmer, K, &amp; Wang, P 2005, ‘Language </w:t>
      </w:r>
      <w:r w:rsidR="009143A3" w:rsidRPr="006812F2">
        <w:rPr>
          <w:noProof/>
          <w:szCs w:val="24"/>
        </w:rPr>
        <w:t xml:space="preserve">Development </w:t>
      </w:r>
      <w:r w:rsidR="009143A3">
        <w:rPr>
          <w:noProof/>
          <w:szCs w:val="24"/>
        </w:rPr>
        <w:t>i</w:t>
      </w:r>
      <w:r w:rsidR="009143A3" w:rsidRPr="006812F2">
        <w:rPr>
          <w:noProof/>
          <w:szCs w:val="24"/>
        </w:rPr>
        <w:t xml:space="preserve">n Preschool-Age Children Adopted </w:t>
      </w:r>
      <w:r w:rsidR="009143A3">
        <w:rPr>
          <w:noProof/>
          <w:szCs w:val="24"/>
        </w:rPr>
        <w:t>f</w:t>
      </w:r>
      <w:r w:rsidR="009143A3" w:rsidRPr="006812F2">
        <w:rPr>
          <w:noProof/>
          <w:szCs w:val="24"/>
        </w:rPr>
        <w:t>rom China’</w:t>
      </w:r>
      <w:r w:rsidRPr="006812F2">
        <w:rPr>
          <w:noProof/>
          <w:szCs w:val="24"/>
        </w:rPr>
        <w:t xml:space="preserve">, </w:t>
      </w:r>
      <w:r w:rsidRPr="006812F2">
        <w:rPr>
          <w:i/>
          <w:iCs/>
          <w:noProof/>
          <w:szCs w:val="24"/>
        </w:rPr>
        <w:t>Journal of Speech, Language and Hearing Research</w:t>
      </w:r>
      <w:r w:rsidRPr="006812F2">
        <w:rPr>
          <w:noProof/>
          <w:szCs w:val="24"/>
        </w:rPr>
        <w:t>, vol. 48, no. 1, pp. 93–108.</w:t>
      </w:r>
    </w:p>
    <w:p w14:paraId="02B44EC5" w14:textId="34D8468F"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Selman, P 2009, ‘The </w:t>
      </w:r>
      <w:r w:rsidR="009143A3" w:rsidRPr="006812F2">
        <w:rPr>
          <w:noProof/>
          <w:szCs w:val="24"/>
        </w:rPr>
        <w:t xml:space="preserve">Rise </w:t>
      </w:r>
      <w:r w:rsidR="009143A3">
        <w:rPr>
          <w:noProof/>
          <w:szCs w:val="24"/>
        </w:rPr>
        <w:t>a</w:t>
      </w:r>
      <w:r w:rsidR="009143A3" w:rsidRPr="006812F2">
        <w:rPr>
          <w:noProof/>
          <w:szCs w:val="24"/>
        </w:rPr>
        <w:t xml:space="preserve">nd Fall </w:t>
      </w:r>
      <w:r w:rsidR="009143A3">
        <w:rPr>
          <w:noProof/>
          <w:szCs w:val="24"/>
        </w:rPr>
        <w:t>o</w:t>
      </w:r>
      <w:r w:rsidR="009143A3" w:rsidRPr="006812F2">
        <w:rPr>
          <w:noProof/>
          <w:szCs w:val="24"/>
        </w:rPr>
        <w:t xml:space="preserve">f Intercountry Adoption </w:t>
      </w:r>
      <w:r w:rsidR="009143A3">
        <w:rPr>
          <w:noProof/>
          <w:szCs w:val="24"/>
        </w:rPr>
        <w:t>i</w:t>
      </w:r>
      <w:r w:rsidR="009143A3" w:rsidRPr="006812F2">
        <w:rPr>
          <w:noProof/>
          <w:szCs w:val="24"/>
        </w:rPr>
        <w:t xml:space="preserve">n </w:t>
      </w:r>
      <w:r w:rsidR="009143A3">
        <w:rPr>
          <w:noProof/>
          <w:szCs w:val="24"/>
        </w:rPr>
        <w:t>t</w:t>
      </w:r>
      <w:r w:rsidR="009143A3" w:rsidRPr="006812F2">
        <w:rPr>
          <w:noProof/>
          <w:szCs w:val="24"/>
        </w:rPr>
        <w:t>he 21st Century’</w:t>
      </w:r>
      <w:r w:rsidRPr="006812F2">
        <w:rPr>
          <w:noProof/>
          <w:szCs w:val="24"/>
        </w:rPr>
        <w:t xml:space="preserve">, </w:t>
      </w:r>
      <w:r w:rsidRPr="006812F2">
        <w:rPr>
          <w:i/>
          <w:iCs/>
          <w:noProof/>
          <w:szCs w:val="24"/>
        </w:rPr>
        <w:t>International Social Work</w:t>
      </w:r>
      <w:r w:rsidRPr="006812F2">
        <w:rPr>
          <w:noProof/>
          <w:szCs w:val="24"/>
        </w:rPr>
        <w:t>, vol. 52, no. 5, pp. 575–594.</w:t>
      </w:r>
    </w:p>
    <w:p w14:paraId="5A3E8D8B" w14:textId="26F63179"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Statistics Canada 2015, </w:t>
      </w:r>
      <w:r w:rsidRPr="006812F2">
        <w:rPr>
          <w:i/>
          <w:iCs/>
          <w:noProof/>
          <w:szCs w:val="24"/>
        </w:rPr>
        <w:t xml:space="preserve">International </w:t>
      </w:r>
      <w:r w:rsidR="009143A3" w:rsidRPr="006812F2">
        <w:rPr>
          <w:i/>
          <w:iCs/>
          <w:noProof/>
          <w:szCs w:val="24"/>
        </w:rPr>
        <w:t>Adoptions</w:t>
      </w:r>
      <w:r w:rsidRPr="006812F2">
        <w:rPr>
          <w:noProof/>
          <w:szCs w:val="24"/>
        </w:rPr>
        <w:t>, viewed 20 July 2016, &lt;http://www.statcan.gc.ca/pub/11-402-x/2012000/chap/c-e/c-e02-eng.htm&gt;.</w:t>
      </w:r>
    </w:p>
    <w:p w14:paraId="2CC8ED42" w14:textId="6817A740"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The Benevolent Society 2013, </w:t>
      </w:r>
      <w:r w:rsidRPr="006812F2">
        <w:rPr>
          <w:i/>
          <w:iCs/>
          <w:noProof/>
          <w:szCs w:val="24"/>
        </w:rPr>
        <w:t>Post</w:t>
      </w:r>
      <w:r w:rsidR="009143A3" w:rsidRPr="006812F2">
        <w:rPr>
          <w:i/>
          <w:iCs/>
          <w:noProof/>
          <w:szCs w:val="24"/>
        </w:rPr>
        <w:t xml:space="preserve">-Adoption Support Needs </w:t>
      </w:r>
      <w:r w:rsidR="009143A3">
        <w:rPr>
          <w:i/>
          <w:iCs/>
          <w:noProof/>
          <w:szCs w:val="24"/>
        </w:rPr>
        <w:t>o</w:t>
      </w:r>
      <w:r w:rsidR="009143A3" w:rsidRPr="006812F2">
        <w:rPr>
          <w:i/>
          <w:iCs/>
          <w:noProof/>
          <w:szCs w:val="24"/>
        </w:rPr>
        <w:t>f International Adoptive Families</w:t>
      </w:r>
      <w:r w:rsidRPr="006812F2">
        <w:rPr>
          <w:noProof/>
          <w:szCs w:val="24"/>
        </w:rPr>
        <w:t>, The Benevolent Society, Paddington, NSW.</w:t>
      </w:r>
    </w:p>
    <w:p w14:paraId="3342CCB4" w14:textId="77777777"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U.S. Citizenship and Immigration Services 2014, </w:t>
      </w:r>
      <w:r w:rsidRPr="006812F2">
        <w:rPr>
          <w:i/>
          <w:iCs/>
          <w:noProof/>
          <w:szCs w:val="24"/>
        </w:rPr>
        <w:t>Adoption</w:t>
      </w:r>
      <w:r w:rsidRPr="006812F2">
        <w:rPr>
          <w:noProof/>
          <w:szCs w:val="24"/>
        </w:rPr>
        <w:t>, viewed 20 July 2016, &lt;https://www.uscis.gov/adoption&gt;.</w:t>
      </w:r>
    </w:p>
    <w:p w14:paraId="24B3D30F" w14:textId="0C4EEC2A"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U.S. Department of State Bureau of Consular Affairs n.d., </w:t>
      </w:r>
      <w:r w:rsidRPr="006812F2">
        <w:rPr>
          <w:i/>
          <w:iCs/>
          <w:noProof/>
          <w:szCs w:val="24"/>
        </w:rPr>
        <w:t xml:space="preserve">Intercountry </w:t>
      </w:r>
      <w:r w:rsidR="009143A3" w:rsidRPr="006812F2">
        <w:rPr>
          <w:i/>
          <w:iCs/>
          <w:noProof/>
          <w:szCs w:val="24"/>
        </w:rPr>
        <w:t>Adoption</w:t>
      </w:r>
      <w:r w:rsidRPr="006812F2">
        <w:rPr>
          <w:noProof/>
          <w:szCs w:val="24"/>
        </w:rPr>
        <w:t>, viewed 20 July 2016, &lt;https://travel.state.gov/content/adoptionsabroad/en.html&gt;.</w:t>
      </w:r>
    </w:p>
    <w:p w14:paraId="21B4ACBC" w14:textId="14022BB1"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US Department of State 2015, </w:t>
      </w:r>
      <w:r w:rsidR="009143A3">
        <w:rPr>
          <w:i/>
          <w:iCs/>
          <w:noProof/>
          <w:szCs w:val="24"/>
        </w:rPr>
        <w:t>FY</w:t>
      </w:r>
      <w:r w:rsidR="009143A3" w:rsidRPr="006812F2">
        <w:rPr>
          <w:i/>
          <w:iCs/>
          <w:noProof/>
          <w:szCs w:val="24"/>
        </w:rPr>
        <w:t xml:space="preserve"> 2014 Annual Report </w:t>
      </w:r>
      <w:r w:rsidR="009143A3">
        <w:rPr>
          <w:i/>
          <w:iCs/>
          <w:noProof/>
          <w:szCs w:val="24"/>
        </w:rPr>
        <w:t>o</w:t>
      </w:r>
      <w:r w:rsidR="009143A3" w:rsidRPr="006812F2">
        <w:rPr>
          <w:i/>
          <w:iCs/>
          <w:noProof/>
          <w:szCs w:val="24"/>
        </w:rPr>
        <w:t>n Intercountry Adoption</w:t>
      </w:r>
      <w:r w:rsidRPr="006812F2">
        <w:rPr>
          <w:noProof/>
          <w:szCs w:val="24"/>
        </w:rPr>
        <w:t>.</w:t>
      </w:r>
    </w:p>
    <w:p w14:paraId="2B536A4F" w14:textId="415C9B36" w:rsidR="007A71EA" w:rsidRPr="006812F2" w:rsidRDefault="007A71EA" w:rsidP="007A71EA">
      <w:pPr>
        <w:widowControl w:val="0"/>
        <w:autoSpaceDE w:val="0"/>
        <w:autoSpaceDN w:val="0"/>
        <w:adjustRightInd w:val="0"/>
        <w:spacing w:before="240" w:after="240"/>
        <w:rPr>
          <w:noProof/>
          <w:szCs w:val="24"/>
        </w:rPr>
      </w:pPr>
      <w:r w:rsidRPr="006812F2">
        <w:rPr>
          <w:noProof/>
          <w:szCs w:val="24"/>
        </w:rPr>
        <w:lastRenderedPageBreak/>
        <w:t xml:space="preserve">Walton, J 2012, ‘Supporting </w:t>
      </w:r>
      <w:r w:rsidR="009143A3">
        <w:rPr>
          <w:noProof/>
          <w:szCs w:val="24"/>
        </w:rPr>
        <w:t>t</w:t>
      </w:r>
      <w:r w:rsidR="009143A3" w:rsidRPr="006812F2">
        <w:rPr>
          <w:noProof/>
          <w:szCs w:val="24"/>
        </w:rPr>
        <w:t xml:space="preserve">he Interests </w:t>
      </w:r>
      <w:r w:rsidR="009143A3">
        <w:rPr>
          <w:noProof/>
          <w:szCs w:val="24"/>
        </w:rPr>
        <w:t>o</w:t>
      </w:r>
      <w:r w:rsidR="009143A3" w:rsidRPr="006812F2">
        <w:rPr>
          <w:noProof/>
          <w:szCs w:val="24"/>
        </w:rPr>
        <w:t xml:space="preserve">f Intercountry Adoptees Beyond Childhood: Access </w:t>
      </w:r>
      <w:r w:rsidR="009143A3">
        <w:rPr>
          <w:noProof/>
          <w:szCs w:val="24"/>
        </w:rPr>
        <w:t>t</w:t>
      </w:r>
      <w:r w:rsidR="009143A3" w:rsidRPr="006812F2">
        <w:rPr>
          <w:noProof/>
          <w:szCs w:val="24"/>
        </w:rPr>
        <w:t xml:space="preserve">o Adoption Information </w:t>
      </w:r>
      <w:r w:rsidR="009143A3">
        <w:rPr>
          <w:noProof/>
          <w:szCs w:val="24"/>
        </w:rPr>
        <w:t>a</w:t>
      </w:r>
      <w:r w:rsidR="009143A3" w:rsidRPr="006812F2">
        <w:rPr>
          <w:noProof/>
          <w:szCs w:val="24"/>
        </w:rPr>
        <w:t>nd Identity</w:t>
      </w:r>
      <w:r w:rsidRPr="006812F2">
        <w:rPr>
          <w:noProof/>
          <w:szCs w:val="24"/>
        </w:rPr>
        <w:t xml:space="preserve">’, </w:t>
      </w:r>
      <w:r w:rsidRPr="006812F2">
        <w:rPr>
          <w:i/>
          <w:iCs/>
          <w:noProof/>
          <w:szCs w:val="24"/>
        </w:rPr>
        <w:t>Social Policy and Society</w:t>
      </w:r>
      <w:r w:rsidRPr="006812F2">
        <w:rPr>
          <w:noProof/>
          <w:szCs w:val="24"/>
        </w:rPr>
        <w:t>, vol. 11, no. 03, pp. 443–454.</w:t>
      </w:r>
    </w:p>
    <w:p w14:paraId="3A223383" w14:textId="6190A697"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Willing, I a. W, Cuthbert, D, Fronek, P, &amp; Cuthbert, D 2012, </w:t>
      </w:r>
      <w:r w:rsidR="009143A3" w:rsidRPr="006812F2">
        <w:rPr>
          <w:noProof/>
          <w:szCs w:val="24"/>
        </w:rPr>
        <w:t>‘</w:t>
      </w:r>
      <w:r w:rsidRPr="006812F2">
        <w:rPr>
          <w:noProof/>
          <w:szCs w:val="24"/>
        </w:rPr>
        <w:t xml:space="preserve">Review </w:t>
      </w:r>
      <w:r w:rsidR="009143A3">
        <w:rPr>
          <w:noProof/>
          <w:szCs w:val="24"/>
        </w:rPr>
        <w:t>o</w:t>
      </w:r>
      <w:r w:rsidR="009143A3" w:rsidRPr="006812F2">
        <w:rPr>
          <w:noProof/>
          <w:szCs w:val="24"/>
        </w:rPr>
        <w:t xml:space="preserve">f Sociological Literature </w:t>
      </w:r>
      <w:r w:rsidR="009143A3">
        <w:rPr>
          <w:noProof/>
          <w:szCs w:val="24"/>
        </w:rPr>
        <w:t>o</w:t>
      </w:r>
      <w:r w:rsidR="009143A3" w:rsidRPr="006812F2">
        <w:rPr>
          <w:noProof/>
          <w:szCs w:val="24"/>
        </w:rPr>
        <w:t>n Intercountry Adoption’</w:t>
      </w:r>
      <w:r w:rsidRPr="006812F2">
        <w:rPr>
          <w:noProof/>
          <w:szCs w:val="24"/>
        </w:rPr>
        <w:t xml:space="preserve">, </w:t>
      </w:r>
      <w:r w:rsidRPr="006812F2">
        <w:rPr>
          <w:i/>
          <w:iCs/>
          <w:noProof/>
          <w:szCs w:val="24"/>
        </w:rPr>
        <w:t>Social Policy &amp; Society</w:t>
      </w:r>
      <w:r w:rsidRPr="006812F2">
        <w:rPr>
          <w:noProof/>
          <w:szCs w:val="24"/>
        </w:rPr>
        <w:t>, vol. 11, no. 3, pp. 465–479.</w:t>
      </w:r>
    </w:p>
    <w:p w14:paraId="4D1F081F" w14:textId="4B7F34CA"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Willing, I &amp; Fronek, P 2014, ‘Constructing </w:t>
      </w:r>
      <w:r w:rsidR="009143A3" w:rsidRPr="006812F2">
        <w:rPr>
          <w:noProof/>
          <w:szCs w:val="24"/>
        </w:rPr>
        <w:t xml:space="preserve">Identities </w:t>
      </w:r>
      <w:r w:rsidR="009143A3">
        <w:rPr>
          <w:noProof/>
          <w:szCs w:val="24"/>
        </w:rPr>
        <w:t>a</w:t>
      </w:r>
      <w:r w:rsidR="009143A3" w:rsidRPr="006812F2">
        <w:rPr>
          <w:noProof/>
          <w:szCs w:val="24"/>
        </w:rPr>
        <w:t xml:space="preserve">nd Issues </w:t>
      </w:r>
      <w:r w:rsidR="009143A3">
        <w:rPr>
          <w:noProof/>
          <w:szCs w:val="24"/>
        </w:rPr>
        <w:t>o</w:t>
      </w:r>
      <w:r w:rsidR="009143A3" w:rsidRPr="006812F2">
        <w:rPr>
          <w:noProof/>
          <w:szCs w:val="24"/>
        </w:rPr>
        <w:t xml:space="preserve">f Race </w:t>
      </w:r>
      <w:r w:rsidR="009143A3">
        <w:rPr>
          <w:noProof/>
          <w:szCs w:val="24"/>
        </w:rPr>
        <w:t>i</w:t>
      </w:r>
      <w:r w:rsidR="009143A3" w:rsidRPr="006812F2">
        <w:rPr>
          <w:noProof/>
          <w:szCs w:val="24"/>
        </w:rPr>
        <w:t xml:space="preserve">n Transnational Adoption: </w:t>
      </w:r>
      <w:r w:rsidR="009143A3">
        <w:rPr>
          <w:noProof/>
          <w:szCs w:val="24"/>
        </w:rPr>
        <w:t>t</w:t>
      </w:r>
      <w:r w:rsidR="009143A3" w:rsidRPr="006812F2">
        <w:rPr>
          <w:noProof/>
          <w:szCs w:val="24"/>
        </w:rPr>
        <w:t xml:space="preserve">he Experiences </w:t>
      </w:r>
      <w:r w:rsidR="009143A3">
        <w:rPr>
          <w:noProof/>
          <w:szCs w:val="24"/>
        </w:rPr>
        <w:t>o</w:t>
      </w:r>
      <w:r w:rsidR="009143A3" w:rsidRPr="006812F2">
        <w:rPr>
          <w:noProof/>
          <w:szCs w:val="24"/>
        </w:rPr>
        <w:t>f Adoptive Parents</w:t>
      </w:r>
      <w:r w:rsidRPr="006812F2">
        <w:rPr>
          <w:noProof/>
          <w:szCs w:val="24"/>
        </w:rPr>
        <w:t xml:space="preserve">’, </w:t>
      </w:r>
      <w:r w:rsidRPr="006812F2">
        <w:rPr>
          <w:i/>
          <w:iCs/>
          <w:noProof/>
          <w:szCs w:val="24"/>
        </w:rPr>
        <w:t>British Journal of Social Work</w:t>
      </w:r>
      <w:r w:rsidRPr="006812F2">
        <w:rPr>
          <w:noProof/>
          <w:szCs w:val="24"/>
        </w:rPr>
        <w:t>, vol. 44, no. 5, pp. 1129–1146.</w:t>
      </w:r>
    </w:p>
    <w:p w14:paraId="3A877DCE" w14:textId="5C9A9382"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Young, A 2011, ‘A </w:t>
      </w:r>
      <w:r w:rsidR="009143A3" w:rsidRPr="006812F2">
        <w:rPr>
          <w:noProof/>
          <w:szCs w:val="24"/>
        </w:rPr>
        <w:t xml:space="preserve">Study </w:t>
      </w:r>
      <w:r w:rsidR="009143A3">
        <w:rPr>
          <w:noProof/>
          <w:szCs w:val="24"/>
        </w:rPr>
        <w:t>o</w:t>
      </w:r>
      <w:r w:rsidR="009143A3" w:rsidRPr="006812F2">
        <w:rPr>
          <w:noProof/>
          <w:szCs w:val="24"/>
        </w:rPr>
        <w:t xml:space="preserve">f Australian Intercountry Adoption: Choosing Applicants </w:t>
      </w:r>
      <w:r w:rsidR="009143A3">
        <w:rPr>
          <w:noProof/>
          <w:szCs w:val="24"/>
        </w:rPr>
        <w:t>t</w:t>
      </w:r>
      <w:r w:rsidR="009143A3" w:rsidRPr="006812F2">
        <w:rPr>
          <w:noProof/>
          <w:szCs w:val="24"/>
        </w:rPr>
        <w:t>o Parent’</w:t>
      </w:r>
      <w:r w:rsidRPr="006812F2">
        <w:rPr>
          <w:noProof/>
          <w:szCs w:val="24"/>
        </w:rPr>
        <w:t xml:space="preserve">, </w:t>
      </w:r>
      <w:r w:rsidRPr="006812F2">
        <w:rPr>
          <w:i/>
          <w:iCs/>
          <w:noProof/>
          <w:szCs w:val="24"/>
        </w:rPr>
        <w:t>Australian Social Work</w:t>
      </w:r>
      <w:r w:rsidRPr="006812F2">
        <w:rPr>
          <w:noProof/>
          <w:szCs w:val="24"/>
        </w:rPr>
        <w:t>, vol. 0748, no. May 2013, pp. 1–14.</w:t>
      </w:r>
    </w:p>
    <w:p w14:paraId="7AF21AEE" w14:textId="563989DE" w:rsidR="007A71EA" w:rsidRPr="006812F2" w:rsidRDefault="007A71EA" w:rsidP="007A71EA">
      <w:pPr>
        <w:widowControl w:val="0"/>
        <w:autoSpaceDE w:val="0"/>
        <w:autoSpaceDN w:val="0"/>
        <w:adjustRightInd w:val="0"/>
        <w:spacing w:before="240" w:after="240"/>
        <w:rPr>
          <w:noProof/>
          <w:szCs w:val="24"/>
        </w:rPr>
      </w:pPr>
      <w:r w:rsidRPr="006812F2">
        <w:rPr>
          <w:noProof/>
          <w:szCs w:val="24"/>
        </w:rPr>
        <w:t xml:space="preserve">Young, A 2012a, ‘Developments </w:t>
      </w:r>
      <w:r w:rsidR="009143A3">
        <w:rPr>
          <w:noProof/>
          <w:szCs w:val="24"/>
        </w:rPr>
        <w:t>i</w:t>
      </w:r>
      <w:r w:rsidR="009143A3" w:rsidRPr="006812F2">
        <w:rPr>
          <w:noProof/>
          <w:szCs w:val="24"/>
        </w:rPr>
        <w:t xml:space="preserve">n Intercountry Adoption: </w:t>
      </w:r>
      <w:r w:rsidR="009143A3">
        <w:rPr>
          <w:noProof/>
          <w:szCs w:val="24"/>
        </w:rPr>
        <w:t>f</w:t>
      </w:r>
      <w:r w:rsidR="009143A3" w:rsidRPr="006812F2">
        <w:rPr>
          <w:noProof/>
          <w:szCs w:val="24"/>
        </w:rPr>
        <w:t xml:space="preserve">rom Humanitarian Aid </w:t>
      </w:r>
      <w:r w:rsidR="009143A3">
        <w:rPr>
          <w:noProof/>
          <w:szCs w:val="24"/>
        </w:rPr>
        <w:t>t</w:t>
      </w:r>
      <w:r w:rsidR="009143A3" w:rsidRPr="006812F2">
        <w:rPr>
          <w:noProof/>
          <w:szCs w:val="24"/>
        </w:rPr>
        <w:t xml:space="preserve">o Market-Driven Policy </w:t>
      </w:r>
      <w:r w:rsidR="009143A3">
        <w:rPr>
          <w:noProof/>
          <w:szCs w:val="24"/>
        </w:rPr>
        <w:t>a</w:t>
      </w:r>
      <w:r w:rsidR="009143A3" w:rsidRPr="006812F2">
        <w:rPr>
          <w:noProof/>
          <w:szCs w:val="24"/>
        </w:rPr>
        <w:t>nd Beyond’</w:t>
      </w:r>
      <w:r w:rsidRPr="006812F2">
        <w:rPr>
          <w:noProof/>
          <w:szCs w:val="24"/>
        </w:rPr>
        <w:t xml:space="preserve">, </w:t>
      </w:r>
      <w:r w:rsidRPr="006812F2">
        <w:rPr>
          <w:i/>
          <w:iCs/>
          <w:noProof/>
          <w:szCs w:val="24"/>
        </w:rPr>
        <w:t>Adoption &amp; Fostering</w:t>
      </w:r>
      <w:r w:rsidRPr="006812F2">
        <w:rPr>
          <w:noProof/>
          <w:szCs w:val="24"/>
        </w:rPr>
        <w:t>, vol. 36, no. 2, p. 67–.</w:t>
      </w:r>
    </w:p>
    <w:p w14:paraId="35000729" w14:textId="3A32B48D" w:rsidR="007A71EA" w:rsidRPr="006812F2" w:rsidRDefault="007A71EA" w:rsidP="007A71EA">
      <w:pPr>
        <w:widowControl w:val="0"/>
        <w:autoSpaceDE w:val="0"/>
        <w:autoSpaceDN w:val="0"/>
        <w:adjustRightInd w:val="0"/>
        <w:spacing w:before="240" w:after="240"/>
        <w:rPr>
          <w:noProof/>
        </w:rPr>
      </w:pPr>
      <w:r w:rsidRPr="006812F2">
        <w:rPr>
          <w:noProof/>
          <w:szCs w:val="24"/>
        </w:rPr>
        <w:t xml:space="preserve">Young, A 2012b, ‘Choosing </w:t>
      </w:r>
      <w:r w:rsidR="009143A3" w:rsidRPr="006812F2">
        <w:rPr>
          <w:noProof/>
          <w:szCs w:val="24"/>
        </w:rPr>
        <w:t xml:space="preserve">Intercountry Adoption: </w:t>
      </w:r>
      <w:r w:rsidR="009143A3">
        <w:rPr>
          <w:noProof/>
          <w:szCs w:val="24"/>
        </w:rPr>
        <w:t>a</w:t>
      </w:r>
      <w:r w:rsidR="009143A3" w:rsidRPr="006812F2">
        <w:rPr>
          <w:noProof/>
          <w:szCs w:val="24"/>
        </w:rPr>
        <w:t xml:space="preserve">n Australian Study </w:t>
      </w:r>
      <w:r w:rsidR="009143A3">
        <w:rPr>
          <w:noProof/>
          <w:szCs w:val="24"/>
        </w:rPr>
        <w:t>o</w:t>
      </w:r>
      <w:r w:rsidR="009143A3" w:rsidRPr="006812F2">
        <w:rPr>
          <w:noProof/>
          <w:szCs w:val="24"/>
        </w:rPr>
        <w:t xml:space="preserve">f </w:t>
      </w:r>
      <w:r w:rsidR="009143A3">
        <w:rPr>
          <w:noProof/>
          <w:szCs w:val="24"/>
        </w:rPr>
        <w:t>t</w:t>
      </w:r>
      <w:r w:rsidR="009143A3" w:rsidRPr="006812F2">
        <w:rPr>
          <w:noProof/>
          <w:szCs w:val="24"/>
        </w:rPr>
        <w:t xml:space="preserve">he Motivation </w:t>
      </w:r>
      <w:r w:rsidR="009143A3">
        <w:rPr>
          <w:noProof/>
          <w:szCs w:val="24"/>
        </w:rPr>
        <w:t>a</w:t>
      </w:r>
      <w:r w:rsidR="009143A3" w:rsidRPr="006812F2">
        <w:rPr>
          <w:noProof/>
          <w:szCs w:val="24"/>
        </w:rPr>
        <w:t xml:space="preserve">nd Attitudes </w:t>
      </w:r>
      <w:r w:rsidR="009143A3">
        <w:rPr>
          <w:noProof/>
          <w:szCs w:val="24"/>
        </w:rPr>
        <w:t>o</w:t>
      </w:r>
      <w:r w:rsidR="009143A3" w:rsidRPr="006812F2">
        <w:rPr>
          <w:noProof/>
          <w:szCs w:val="24"/>
        </w:rPr>
        <w:t xml:space="preserve">f Intending </w:t>
      </w:r>
      <w:r w:rsidR="009143A3">
        <w:rPr>
          <w:noProof/>
          <w:szCs w:val="24"/>
        </w:rPr>
        <w:t>a</w:t>
      </w:r>
      <w:r w:rsidR="009143A3" w:rsidRPr="006812F2">
        <w:rPr>
          <w:noProof/>
          <w:szCs w:val="24"/>
        </w:rPr>
        <w:t>nd Recent Adoptive Parents’</w:t>
      </w:r>
      <w:r w:rsidRPr="006812F2">
        <w:rPr>
          <w:noProof/>
          <w:szCs w:val="24"/>
        </w:rPr>
        <w:t xml:space="preserve">, </w:t>
      </w:r>
      <w:r w:rsidRPr="006812F2">
        <w:rPr>
          <w:i/>
          <w:iCs/>
          <w:noProof/>
          <w:szCs w:val="24"/>
        </w:rPr>
        <w:t>Australian Journal of Social Issues</w:t>
      </w:r>
      <w:r w:rsidRPr="006812F2">
        <w:rPr>
          <w:noProof/>
          <w:szCs w:val="24"/>
        </w:rPr>
        <w:t>, vol. 47, no. 2, pp. 221–242.</w:t>
      </w:r>
    </w:p>
    <w:p w14:paraId="58C56B40" w14:textId="5D1F7C8B" w:rsidR="00326D84" w:rsidRPr="00326D84" w:rsidRDefault="00326D84" w:rsidP="00326D84">
      <w:pPr>
        <w:pStyle w:val="Paragraph"/>
        <w:rPr>
          <w:lang w:eastAsia="en-AU"/>
        </w:rPr>
      </w:pPr>
    </w:p>
    <w:p w14:paraId="4AEC9C4E" w14:textId="422058F3" w:rsidR="008072DF" w:rsidRDefault="008072DF" w:rsidP="008072DF"/>
    <w:sectPr w:rsidR="008072DF" w:rsidSect="0027225E">
      <w:headerReference w:type="even" r:id="rId31"/>
      <w:headerReference w:type="default" r:id="rId32"/>
      <w:headerReference w:type="first" r:id="rId33"/>
      <w:pgSz w:w="11907" w:h="16840" w:code="9"/>
      <w:pgMar w:top="1134" w:right="1134"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2A5F03" w14:textId="77777777" w:rsidR="000B67DE" w:rsidRDefault="000B67DE" w:rsidP="0063537E">
      <w:r>
        <w:separator/>
      </w:r>
    </w:p>
    <w:p w14:paraId="6C8BDE9D" w14:textId="77777777" w:rsidR="000B67DE" w:rsidRDefault="000B67DE"/>
  </w:endnote>
  <w:endnote w:type="continuationSeparator" w:id="0">
    <w:p w14:paraId="7E989775" w14:textId="77777777" w:rsidR="000B67DE" w:rsidRDefault="000B67DE" w:rsidP="0063537E">
      <w:r>
        <w:continuationSeparator/>
      </w:r>
    </w:p>
    <w:p w14:paraId="3EF762BC" w14:textId="77777777" w:rsidR="000B67DE" w:rsidRDefault="000B67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Univers 45 Light">
    <w:charset w:val="00"/>
    <w:family w:val="auto"/>
    <w:pitch w:val="variable"/>
    <w:sig w:usb0="8000002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5D3A3" w14:textId="3CBD910D" w:rsidR="000B67DE" w:rsidRPr="00E71DBD" w:rsidRDefault="000B67DE" w:rsidP="00E71DBD">
    <w:pPr>
      <w:pStyle w:val="Footer"/>
    </w:pP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05BCD" w14:textId="77777777" w:rsidR="000B67DE" w:rsidRPr="00AC5B5D" w:rsidRDefault="000B67DE" w:rsidP="008E6557">
    <w:pPr>
      <w:pStyle w:val="Footer"/>
    </w:pPr>
    <w:r>
      <w:rPr>
        <w:lang w:val="en-AU" w:eastAsia="en-AU"/>
      </w:rPr>
      <w:drawing>
        <wp:inline distT="0" distB="0" distL="0" distR="0" wp14:anchorId="6B6EA34F" wp14:editId="10D8A27D">
          <wp:extent cx="1931035" cy="241300"/>
          <wp:effectExtent l="0" t="0" r="0" b="6350"/>
          <wp:docPr id="675" name="Picture 941" title="&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
                    <a:extLst>
                      <a:ext uri="{28A0092B-C50C-407E-A947-70E740481C1C}">
                        <a14:useLocalDpi xmlns:a14="http://schemas.microsoft.com/office/drawing/2010/main" val="0"/>
                      </a:ext>
                    </a:extLst>
                  </a:blip>
                  <a:srcRect t="-33565" b="-2"/>
                  <a:stretch>
                    <a:fillRect/>
                  </a:stretch>
                </pic:blipFill>
                <pic:spPr bwMode="auto">
                  <a:xfrm>
                    <a:off x="0" y="0"/>
                    <a:ext cx="1931035" cy="241300"/>
                  </a:xfrm>
                  <a:prstGeom prst="rect">
                    <a:avLst/>
                  </a:prstGeom>
                  <a:noFill/>
                  <a:ln>
                    <a:noFill/>
                  </a:ln>
                </pic:spPr>
              </pic:pic>
            </a:graphicData>
          </a:graphic>
        </wp:inline>
      </w:drawing>
    </w:r>
    <w:r w:rsidRPr="00AC5B5D">
      <w:tab/>
    </w:r>
    <w:r>
      <w:fldChar w:fldCharType="begin"/>
    </w:r>
    <w:r>
      <w:instrText xml:space="preserve"> PAGE   \* MERGEFORMAT </w:instrText>
    </w:r>
    <w:r>
      <w:fldChar w:fldCharType="separate"/>
    </w:r>
    <w:r>
      <w:t>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4D006" w14:textId="77777777" w:rsidR="000B67DE" w:rsidRDefault="000B67DE" w:rsidP="008E6557">
    <w:pPr>
      <w:pStyle w:val="Footer"/>
    </w:pPr>
    <w:r>
      <w:fldChar w:fldCharType="begin"/>
    </w:r>
    <w:r>
      <w:instrText xml:space="preserve">PAGE  </w:instrText>
    </w:r>
    <w:r>
      <w:fldChar w:fldCharType="separate"/>
    </w:r>
    <w:r>
      <w:t>64</w:t>
    </w:r>
    <w:r>
      <w:fldChar w:fldCharType="end"/>
    </w:r>
  </w:p>
  <w:p w14:paraId="5F1D4C0C" w14:textId="77777777" w:rsidR="000B67DE" w:rsidRDefault="000B67DE" w:rsidP="008E65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4A90F" w14:textId="77777777" w:rsidR="000B67DE" w:rsidRPr="00D02AC1" w:rsidRDefault="000B67DE" w:rsidP="00E71DBD">
    <w:r w:rsidRPr="009B184C">
      <w:rPr>
        <w:noProof/>
        <w:lang w:val="en-AU" w:eastAsia="en-AU"/>
      </w:rPr>
      <w:drawing>
        <wp:inline distT="0" distB="0" distL="0" distR="0" wp14:anchorId="7701619E" wp14:editId="7D2B510E">
          <wp:extent cx="2955851" cy="283535"/>
          <wp:effectExtent l="0" t="0" r="0" b="2540"/>
          <wp:docPr id="13" name="Picture 13" title="Australian Healthcare Associat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_Logo_Landscape_With_Strapline.jpg"/>
                  <pic:cNvPicPr/>
                </pic:nvPicPr>
                <pic:blipFill rotWithShape="1">
                  <a:blip r:embed="rId1" cstate="print">
                    <a:extLst>
                      <a:ext uri="{28A0092B-C50C-407E-A947-70E740481C1C}">
                        <a14:useLocalDpi xmlns:a14="http://schemas.microsoft.com/office/drawing/2010/main" val="0"/>
                      </a:ext>
                    </a:extLst>
                  </a:blip>
                  <a:srcRect l="1882" t="7593" b="29483"/>
                  <a:stretch/>
                </pic:blipFill>
                <pic:spPr bwMode="auto">
                  <a:xfrm>
                    <a:off x="0" y="0"/>
                    <a:ext cx="2952949" cy="283257"/>
                  </a:xfrm>
                  <a:prstGeom prst="rect">
                    <a:avLst/>
                  </a:prstGeom>
                  <a:ln>
                    <a:noFill/>
                  </a:ln>
                  <a:extLst>
                    <a:ext uri="{53640926-AAD7-44D8-BBD7-CCE9431645EC}">
                      <a14:shadowObscured xmlns:a14="http://schemas.microsoft.com/office/drawing/2010/main"/>
                    </a:ext>
                  </a:extLst>
                </pic:spPr>
              </pic:pic>
            </a:graphicData>
          </a:graphic>
        </wp:inline>
      </w:drawing>
    </w:r>
  </w:p>
  <w:p w14:paraId="256653A8" w14:textId="77777777" w:rsidR="000B67DE" w:rsidRPr="00331FE4" w:rsidRDefault="000B67DE" w:rsidP="00E71DBD">
    <w:pPr>
      <w:pStyle w:val="Insidecover"/>
    </w:pPr>
    <w:r w:rsidRPr="00331FE4">
      <w:t>Level 6, 140 Bourke St, Melbourne VIC 3000</w:t>
    </w:r>
  </w:p>
  <w:p w14:paraId="61A41824" w14:textId="77777777" w:rsidR="000B67DE" w:rsidRPr="00331FE4" w:rsidRDefault="000B67DE" w:rsidP="00E71DBD">
    <w:pPr>
      <w:pStyle w:val="Insidecover"/>
    </w:pPr>
    <w:r w:rsidRPr="00331FE4">
      <w:t>Locked Bag 32005, Collins Street East VIC 8006</w:t>
    </w:r>
  </w:p>
  <w:p w14:paraId="6F3EFB2F" w14:textId="77777777" w:rsidR="000B67DE" w:rsidRPr="00331FE4" w:rsidRDefault="000B67DE" w:rsidP="00E71DBD">
    <w:pPr>
      <w:pStyle w:val="Insidecover"/>
    </w:pPr>
    <w:r w:rsidRPr="00331FE4">
      <w:t>(03) 9663 1950</w:t>
    </w:r>
  </w:p>
  <w:p w14:paraId="5E373FAB" w14:textId="77777777" w:rsidR="000B67DE" w:rsidRDefault="000B67DE" w:rsidP="00E71DBD">
    <w:pPr>
      <w:pStyle w:val="Insidecover"/>
    </w:pPr>
    <w:r w:rsidRPr="00331FE4">
      <w:t>aha@ahaconsulting.com.au</w:t>
    </w:r>
  </w:p>
  <w:p w14:paraId="08927E3B" w14:textId="77777777" w:rsidR="000B67DE" w:rsidRDefault="000B67DE" w:rsidP="00E71DBD">
    <w:pPr>
      <w:pStyle w:val="Insidecover"/>
    </w:pPr>
    <w:r w:rsidRPr="00331FE4">
      <w:t>www.ahaconsulting.com.au</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8263A" w14:textId="37544E07" w:rsidR="000B67DE" w:rsidRPr="001B46E5" w:rsidRDefault="000B67DE" w:rsidP="008E6557">
    <w:pPr>
      <w:pStyle w:val="Footer"/>
    </w:pPr>
    <w:r>
      <w:rPr>
        <w:b/>
        <w:bCs w:val="0"/>
        <w:lang w:val="en-US"/>
      </w:rPr>
      <w:fldChar w:fldCharType="begin"/>
    </w:r>
    <w:r>
      <w:rPr>
        <w:b/>
        <w:bCs w:val="0"/>
        <w:lang w:val="en-US"/>
      </w:rPr>
      <w:instrText xml:space="preserve"> STYLEREF  Title  \* MERGEFORMAT </w:instrText>
    </w:r>
    <w:r>
      <w:rPr>
        <w:b/>
        <w:bCs w:val="0"/>
        <w:lang w:val="en-US"/>
      </w:rPr>
      <w:fldChar w:fldCharType="separate"/>
    </w:r>
    <w:r w:rsidR="00487073">
      <w:rPr>
        <w:b/>
        <w:bCs w:val="0"/>
        <w:lang w:val="en-US"/>
      </w:rPr>
      <w:t>Evaluation of the Intercountry Adoption Australia</w:t>
    </w:r>
    <w:r w:rsidR="00487073" w:rsidRPr="00487073">
      <w:t xml:space="preserve"> Support Service</w:t>
    </w:r>
    <w:r>
      <w:fldChar w:fldCharType="end"/>
    </w:r>
    <w:r w:rsidRPr="001B46E5">
      <w:tab/>
    </w:r>
    <w:r w:rsidRPr="001B46E5">
      <w:rPr>
        <w:lang w:val="en-AU" w:eastAsia="en-AU"/>
      </w:rPr>
      <w:drawing>
        <wp:inline distT="0" distB="0" distL="0" distR="0" wp14:anchorId="43152361" wp14:editId="0FBBFF71">
          <wp:extent cx="1933197" cy="180000"/>
          <wp:effectExtent l="0" t="0" r="0" b="0"/>
          <wp:docPr id="676" name="Picture 676" title="&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tretch/>
                </pic:blipFill>
                <pic:spPr bwMode="auto">
                  <a:xfrm>
                    <a:off x="0" y="0"/>
                    <a:ext cx="1933197" cy="180000"/>
                  </a:xfrm>
                  <a:prstGeom prst="rect">
                    <a:avLst/>
                  </a:prstGeom>
                  <a:noFill/>
                  <a:ln>
                    <a:noFill/>
                  </a:ln>
                  <a:extLst>
                    <a:ext uri="{53640926-AAD7-44D8-BBD7-CCE9431645EC}">
                      <a14:shadowObscured xmlns:a14="http://schemas.microsoft.com/office/drawing/2010/main"/>
                    </a:ext>
                  </a:extLst>
                </pic:spPr>
              </pic:pic>
            </a:graphicData>
          </a:graphic>
        </wp:inline>
      </w:drawing>
    </w:r>
    <w:r w:rsidRPr="001B46E5">
      <w:tab/>
    </w:r>
    <w:r>
      <w:fldChar w:fldCharType="begin"/>
    </w:r>
    <w:r>
      <w:instrText xml:space="preserve"> PAGE   \* MERGEFORMAT </w:instrText>
    </w:r>
    <w:r>
      <w:fldChar w:fldCharType="separate"/>
    </w:r>
    <w:r>
      <w:t>ii</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0EA6A" w14:textId="7C72A5C0" w:rsidR="000B67DE" w:rsidRPr="005D5206" w:rsidRDefault="000B67DE" w:rsidP="00E71DBD">
    <w:pPr>
      <w:pStyle w:val="Footer"/>
    </w:pPr>
    <w:r w:rsidRPr="005D5206">
      <w:rPr>
        <w:lang w:val="en-AU" w:eastAsia="en-AU"/>
      </w:rPr>
      <w:drawing>
        <wp:anchor distT="0" distB="0" distL="114300" distR="114300" simplePos="0" relativeHeight="251660288" behindDoc="1" locked="0" layoutInCell="1" allowOverlap="1" wp14:anchorId="756DA4F1" wp14:editId="4724BE1B">
          <wp:simplePos x="0" y="0"/>
          <wp:positionH relativeFrom="margin">
            <wp:posOffset>0</wp:posOffset>
          </wp:positionH>
          <wp:positionV relativeFrom="bottomMargin">
            <wp:posOffset>139065</wp:posOffset>
          </wp:positionV>
          <wp:extent cx="1926000" cy="223200"/>
          <wp:effectExtent l="0" t="0" r="0" b="5715"/>
          <wp:wrapNone/>
          <wp:docPr id="29" name="Picture 29" title="Australian Healthcare Associat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4138"/>
                  <a:stretch/>
                </pic:blipFill>
                <pic:spPr bwMode="auto">
                  <a:xfrm>
                    <a:off x="0" y="0"/>
                    <a:ext cx="1926000" cy="223200"/>
                  </a:xfrm>
                  <a:prstGeom prst="rect">
                    <a:avLst/>
                  </a:prstGeom>
                  <a:noFill/>
                  <a:ln>
                    <a:noFill/>
                  </a:ln>
                  <a:extLst>
                    <a:ext uri="{53640926-AAD7-44D8-BBD7-CCE9431645EC}">
                      <a14:shadowObscured xmlns:a14="http://schemas.microsoft.com/office/drawing/2010/main"/>
                    </a:ext>
                  </a:extLst>
                </pic:spPr>
              </pic:pic>
            </a:graphicData>
          </a:graphic>
        </wp:anchor>
      </w:drawing>
    </w:r>
    <w:r>
      <w:t>Evaluation of the ICA Australia Support Service</w:t>
    </w:r>
    <w:r w:rsidRPr="005D5206">
      <w:t xml:space="preserve"> |</w:t>
    </w:r>
    <w:r>
      <w:t xml:space="preserve"> </w:t>
    </w:r>
    <w:r w:rsidRPr="00E13810">
      <w:rPr>
        <w:rStyle w:val="Strong"/>
      </w:rPr>
      <w:fldChar w:fldCharType="begin"/>
    </w:r>
    <w:r w:rsidRPr="00E13810">
      <w:rPr>
        <w:rStyle w:val="Strong"/>
      </w:rPr>
      <w:instrText xml:space="preserve"> PAGE   \* MERGEFORMAT </w:instrText>
    </w:r>
    <w:r w:rsidRPr="00E13810">
      <w:rPr>
        <w:rStyle w:val="Strong"/>
      </w:rPr>
      <w:fldChar w:fldCharType="separate"/>
    </w:r>
    <w:r w:rsidR="00487073">
      <w:rPr>
        <w:rStyle w:val="Strong"/>
        <w:noProof/>
      </w:rPr>
      <w:t>123</w:t>
    </w:r>
    <w:r w:rsidRPr="00E13810">
      <w:rPr>
        <w:rStyle w:val="Strong"/>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5BC2F7" w14:textId="77777777" w:rsidR="000B67DE" w:rsidRDefault="000B67DE">
      <w:r>
        <w:separator/>
      </w:r>
    </w:p>
  </w:footnote>
  <w:footnote w:type="continuationSeparator" w:id="0">
    <w:p w14:paraId="05AC12B0" w14:textId="77777777" w:rsidR="000B67DE" w:rsidRDefault="000B67DE" w:rsidP="0063537E">
      <w:r>
        <w:continuationSeparator/>
      </w:r>
    </w:p>
    <w:p w14:paraId="35558BA8" w14:textId="77777777" w:rsidR="000B67DE" w:rsidRDefault="000B67DE"/>
  </w:footnote>
  <w:footnote w:id="1">
    <w:p w14:paraId="368B40DE" w14:textId="46DF2F8E" w:rsidR="000B67DE" w:rsidRPr="00D7307E" w:rsidRDefault="000B67DE" w:rsidP="00DB5FB9">
      <w:pPr>
        <w:pStyle w:val="FootnoteText"/>
        <w:rPr>
          <w:lang w:val="en-AU"/>
        </w:rPr>
      </w:pPr>
      <w:r>
        <w:rPr>
          <w:rStyle w:val="FootnoteReference"/>
        </w:rPr>
        <w:footnoteRef/>
      </w:r>
      <w:r>
        <w:t xml:space="preserve"> Openness in adoption facilitated access to previously closed birth and identity records by parties to the adoption and introduced measures whereby the adoptee and birth family could have on-going contact with each other in appropriate and negotiated circumstances </w:t>
      </w:r>
      <w:r>
        <w:fldChar w:fldCharType="begin" w:fldLock="1"/>
      </w:r>
      <w:r>
        <w:instrText>ADDIN CSL_CITATION { "citationItems" : [ { "id" : "ITEM-1", "itemData" : { "DOI" : "10.1111/j.1467-6443.2010.01376.x", "ISSN" : "09521909", "PMID" : "20845588", "abstract" : "This paper brings historical perspectives to bear on the ambivalent and contradictory position of adoption in Australian public policy. It examines the divergent histories of Australian domestic and intercountry adoption (ICA) since the mid-1970s and the impact of these histories on adoption policy in Australia. It identifies tendencies in contemporary ICA to repeat elements of pre-reform era domestic adoption. In particular, it is argued that the resistance of ICA to the move to openness in local adoption has been an unacknowledged driver of ICA for many Australian families. We offer corrective readings of the rise of ICA in relation to domestic adoption and conclude by offering alternatives for adoption policy which better align the two kinds of adoption, focusing on the needs of children, as distinct from the desires of adults.", "author" : [ { "dropping-particle" : "", "family" : "Cuthbert", "given" : "Denise", "non-dropping-particle" : "", "parse-names" : false, "suffix" : "" }, { "dropping-particle" : "", "family" : "Spark", "given" : "Ceridwen", "non-dropping-particle" : "", "parse-names" : false, "suffix" : "" }, { "dropping-particle" : "", "family" : "Murphy", "given" : "Kate", "non-dropping-particle" : "", "parse-names" : false, "suffix" : "" } ], "container-title" : "Journal of Historical Sociology", "id" : "ITEM-1", "issue" : "3", "issued" : { "date-parts" : [ [ "2010" ] ] }, "page" : "427-452", "title" : "\u201cThat was Then, but This is Now\u201d: Historical Perspectives on Intercountry Adoption and Domestic Child Adoption in Australian Public Policy", "type" : "article-journal", "volume" : "23" }, "uris" : [ "http://www.mendeley.com/documents/?uuid=b87fdbf4-384a-4df0-b5e4-b1915f04c127", "http://www.mendeley.com/documents/?uuid=217dd373-00db-4f48-a3f0-7169d817b577" ] } ], "mendeley" : { "formattedCitation" : "(Cuthbert et al. 2010b)", "plainTextFormattedCitation" : "(Cuthbert et al. 2010b)", "previouslyFormattedCitation" : "(Cuthbert et al. 2010b)" }, "properties" : { "noteIndex" : 0 }, "schema" : "https://github.com/citation-style-language/schema/raw/master/csl-citation.json" }</w:instrText>
      </w:r>
      <w:r>
        <w:fldChar w:fldCharType="separate"/>
      </w:r>
      <w:r w:rsidRPr="00D210E3">
        <w:rPr>
          <w:noProof/>
        </w:rPr>
        <w:t>(Cuthbert et al. 2010b)</w:t>
      </w:r>
      <w:r>
        <w:fldChar w:fldCharType="end"/>
      </w:r>
      <w:r>
        <w:t xml:space="preserve">. </w:t>
      </w:r>
    </w:p>
  </w:footnote>
  <w:footnote w:id="2">
    <w:p w14:paraId="378BD906" w14:textId="48911580" w:rsidR="000B67DE" w:rsidRPr="00753B1F" w:rsidRDefault="000B67DE">
      <w:pPr>
        <w:pStyle w:val="FootnoteText"/>
        <w:rPr>
          <w:lang w:val="en-AU"/>
        </w:rPr>
      </w:pPr>
      <w:r>
        <w:rPr>
          <w:rStyle w:val="FootnoteReference"/>
        </w:rPr>
        <w:footnoteRef/>
      </w:r>
      <w:r>
        <w:t xml:space="preserve"> AIHW reports do not include expatriate or known child adoptions as a part of their intercountry adoption statistics (AIHW, 2015)</w:t>
      </w:r>
    </w:p>
  </w:footnote>
  <w:footnote w:id="3">
    <w:p w14:paraId="3F926916" w14:textId="4A9447C3" w:rsidR="000B67DE" w:rsidRPr="001D0E7C" w:rsidRDefault="000B67DE">
      <w:pPr>
        <w:pStyle w:val="FootnoteText"/>
        <w:rPr>
          <w:lang w:val="en-AU"/>
        </w:rPr>
      </w:pPr>
      <w:r>
        <w:rPr>
          <w:rStyle w:val="FootnoteReference"/>
        </w:rPr>
        <w:footnoteRef/>
      </w:r>
      <w:r>
        <w:t>The Sharepoint data user guide indicates that n/a should be s</w:t>
      </w:r>
      <w:r w:rsidRPr="005652BA">
        <w:t>elect</w:t>
      </w:r>
      <w:r>
        <w:t>ed</w:t>
      </w:r>
      <w:r w:rsidRPr="005652BA">
        <w:t xml:space="preserve"> </w:t>
      </w:r>
      <w:r>
        <w:t>‘</w:t>
      </w:r>
      <w:r w:rsidRPr="005652BA">
        <w:t>when the client has not disclosed sufficient information to categorise their call, does not identify with any of the above categories, or is not an ICA client. This may include ICA relevant clients, such as expat, ad hoc, relative or known child adoptions</w:t>
      </w:r>
      <w:r>
        <w:t>’</w:t>
      </w:r>
      <w:r w:rsidRPr="005652BA">
        <w:t>.</w:t>
      </w:r>
    </w:p>
  </w:footnote>
  <w:footnote w:id="4">
    <w:p w14:paraId="12F53DAC" w14:textId="77777777" w:rsidR="000B67DE" w:rsidRPr="005263DE" w:rsidRDefault="000B67DE" w:rsidP="005263DE">
      <w:pPr>
        <w:pStyle w:val="FootnoteText"/>
        <w:rPr>
          <w:lang w:val="en-AU"/>
        </w:rPr>
      </w:pPr>
      <w:r>
        <w:rPr>
          <w:rStyle w:val="FootnoteReference"/>
        </w:rPr>
        <w:footnoteRef/>
      </w:r>
      <w:r>
        <w:rPr>
          <w:lang w:val="en-AU"/>
        </w:rPr>
        <w:t xml:space="preserve"> </w:t>
      </w:r>
      <w:r w:rsidRPr="005263DE">
        <w:rPr>
          <w:lang w:val="en-AU"/>
        </w:rPr>
        <w:t xml:space="preserve">In August 2016, DSS provided funding to Lifeworks to deliver their Intercountry </w:t>
      </w:r>
    </w:p>
    <w:p w14:paraId="18B10001" w14:textId="3F37032D" w:rsidR="000B67DE" w:rsidRPr="00BA1880" w:rsidRDefault="000B67DE" w:rsidP="005263DE">
      <w:pPr>
        <w:pStyle w:val="FootnoteText"/>
        <w:rPr>
          <w:lang w:val="en-AU"/>
        </w:rPr>
      </w:pPr>
      <w:r w:rsidRPr="005263DE">
        <w:rPr>
          <w:lang w:val="en-AU"/>
        </w:rPr>
        <w:t xml:space="preserve">Adoption Family Support Service which provides counselling support and information and support services to assist with a range of </w:t>
      </w:r>
      <w:r>
        <w:rPr>
          <w:lang w:val="en-AU"/>
        </w:rPr>
        <w:t xml:space="preserve">issues and challenges faced by </w:t>
      </w:r>
      <w:r w:rsidRPr="005263DE">
        <w:rPr>
          <w:lang w:val="en-AU"/>
        </w:rPr>
        <w:t>families and adoptees who are or have undertaken an intercountry adoption</w:t>
      </w:r>
    </w:p>
  </w:footnote>
  <w:footnote w:id="5">
    <w:p w14:paraId="22328F4B" w14:textId="77777777" w:rsidR="000B67DE" w:rsidRPr="006A21DE" w:rsidRDefault="000B67DE" w:rsidP="008F3A3B">
      <w:pPr>
        <w:pStyle w:val="FootnoteText"/>
        <w:rPr>
          <w:lang w:val="en-AU"/>
        </w:rPr>
      </w:pPr>
      <w:r>
        <w:rPr>
          <w:rStyle w:val="FootnoteReference"/>
        </w:rPr>
        <w:footnoteRef/>
      </w:r>
      <w:r>
        <w:t xml:space="preserve"> </w:t>
      </w:r>
      <w:r w:rsidRPr="006A21DE">
        <w:t>http://www.adoption.ca/faqs</w:t>
      </w:r>
    </w:p>
  </w:footnote>
  <w:footnote w:id="6">
    <w:p w14:paraId="7E0649B6" w14:textId="0048C2C6" w:rsidR="000B67DE" w:rsidRPr="00D70F9D" w:rsidRDefault="000B67DE">
      <w:pPr>
        <w:pStyle w:val="FootnoteText"/>
        <w:rPr>
          <w:lang w:val="en-AU"/>
        </w:rPr>
      </w:pPr>
      <w:r>
        <w:rPr>
          <w:rStyle w:val="FootnoteReference"/>
        </w:rPr>
        <w:footnoteRef/>
      </w:r>
      <w:r>
        <w:t xml:space="preserve"> People cannot </w:t>
      </w:r>
      <w:r w:rsidRPr="00D70F9D">
        <w:t>adopt from the country of their choice as Australia must have a program with the country to ensure that the Hague Convention is met and that ‘the best interests of the child’ remain foremost in all adoptions undertaken.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FDED2" w14:textId="77777777" w:rsidR="000B67DE" w:rsidRDefault="000B67DE" w:rsidP="00CF38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D2211" w14:textId="77777777" w:rsidR="000B67DE" w:rsidRDefault="000B67DE" w:rsidP="0012681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32599" w14:textId="77777777" w:rsidR="000B67DE" w:rsidRDefault="000B67DE" w:rsidP="00CF38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6C42C" w14:textId="77777777" w:rsidR="000B67DE" w:rsidRDefault="000B67DE" w:rsidP="00CF3866">
    <w:pPr>
      <w:pStyle w:val="Header"/>
    </w:pPr>
  </w:p>
  <w:p w14:paraId="70D07F3C" w14:textId="77777777" w:rsidR="000B67DE" w:rsidRDefault="000B67DE"/>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980EC" w14:textId="4B10BEE6" w:rsidR="000B67DE" w:rsidRPr="00CF3866" w:rsidRDefault="000B67DE" w:rsidP="00CF3866">
    <w:pPr>
      <w:pStyle w:val="Header"/>
    </w:pPr>
    <w:fldSimple w:instr=" STYLEREF  &quot;Heading 1,h1&quot;  \n\* MERGEFORMAT ">
      <w:r w:rsidR="00487073">
        <w:t>8</w:t>
      </w:r>
    </w:fldSimple>
    <w:r w:rsidRPr="00CF3866">
      <w:t>.</w:t>
    </w:r>
    <w:r w:rsidRPr="00CF3866">
      <w:tab/>
    </w:r>
    <w:fldSimple w:instr=" STYLEREF  &quot;Heading 1,h1&quot;  \* MERGEFORMAT ">
      <w:r w:rsidR="00487073">
        <w:t>Discussion and conclusions</w:t>
      </w:r>
    </w:fldSimple>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1CF8A" w14:textId="1904B49B" w:rsidR="000B67DE" w:rsidRPr="007E3C0E" w:rsidRDefault="000B67DE" w:rsidP="00CF3866">
    <w:pPr>
      <w:pStyle w:val="Header"/>
    </w:pPr>
    <w:r>
      <w:rPr>
        <w:bCs/>
        <w:lang w:val="en-US"/>
      </w:rPr>
      <w:fldChar w:fldCharType="begin"/>
    </w:r>
    <w:r>
      <w:rPr>
        <w:bCs/>
        <w:lang w:val="en-US"/>
      </w:rPr>
      <w:instrText xml:space="preserve"> STYLEREF  "Heading 7,h7"  \n\* MERGEFORMAT </w:instrText>
    </w:r>
    <w:r>
      <w:rPr>
        <w:bCs/>
        <w:lang w:val="en-US"/>
      </w:rPr>
      <w:fldChar w:fldCharType="separate"/>
    </w:r>
    <w:r w:rsidR="00487073">
      <w:rPr>
        <w:bCs/>
        <w:lang w:val="en-US"/>
      </w:rPr>
      <w:t>Appendix</w:t>
    </w:r>
    <w:r w:rsidR="00487073" w:rsidRPr="00487073">
      <w:t xml:space="preserve"> C</w:t>
    </w:r>
    <w:r>
      <w:fldChar w:fldCharType="end"/>
    </w:r>
    <w:r w:rsidRPr="007E3C0E">
      <w:t>.</w:t>
    </w:r>
    <w:r w:rsidRPr="007E3C0E">
      <w:tab/>
    </w:r>
    <w:fldSimple w:instr=" STYLEREF  &quot;Heading 7,h7&quot;  \* MERGEFORMAT ">
      <w:r w:rsidR="00487073">
        <w:t>Survey results</w:t>
      </w:r>
    </w:fldSimple>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50C9B" w14:textId="77777777" w:rsidR="000B67DE" w:rsidRDefault="000B67DE" w:rsidP="00CF3866">
    <w:pPr>
      <w:pStyle w:val="Header"/>
    </w:pPr>
  </w:p>
  <w:p w14:paraId="3171A160" w14:textId="77777777" w:rsidR="000B67DE" w:rsidRDefault="000B67DE"/>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DF1B6" w14:textId="0D49CE18" w:rsidR="000B67DE" w:rsidRDefault="000B67DE" w:rsidP="0006400D">
    <w:pPr>
      <w:pStyle w:val="Header"/>
    </w:pPr>
    <w:r>
      <w:rPr>
        <w:bCs/>
        <w:lang w:val="en-US"/>
      </w:rPr>
      <w:fldChar w:fldCharType="begin"/>
    </w:r>
    <w:r>
      <w:rPr>
        <w:bCs/>
        <w:lang w:val="en-US"/>
      </w:rPr>
      <w:instrText xml:space="preserve"> STYLEREF  "Heading 7,h7"  \n\* MERGEFORMAT </w:instrText>
    </w:r>
    <w:r>
      <w:rPr>
        <w:bCs/>
        <w:lang w:val="en-US"/>
      </w:rPr>
      <w:fldChar w:fldCharType="separate"/>
    </w:r>
    <w:r w:rsidR="00487073">
      <w:rPr>
        <w:bCs/>
        <w:lang w:val="en-US"/>
      </w:rPr>
      <w:t>Appendix D</w:t>
    </w:r>
    <w:r>
      <w:rPr>
        <w:bCs/>
        <w:lang w:val="en-US"/>
      </w:rPr>
      <w:fldChar w:fldCharType="end"/>
    </w:r>
    <w:r w:rsidRPr="008E6557">
      <w:t>.</w:t>
    </w:r>
    <w:r w:rsidRPr="008E6557">
      <w:tab/>
    </w:r>
    <w:fldSimple w:instr=" STYLEREF  &quot;Heading 7,h7&quot;  \* MERGEFORMAT ">
      <w:r w:rsidR="00487073">
        <w:t>Cited references</w:t>
      </w:r>
    </w:fldSimple>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F397E" w14:textId="77777777" w:rsidR="000B67DE" w:rsidRPr="006C54F3" w:rsidRDefault="000B67DE" w:rsidP="006C54F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64A60"/>
    <w:multiLevelType w:val="hybridMultilevel"/>
    <w:tmpl w:val="07883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636B35"/>
    <w:multiLevelType w:val="hybridMultilevel"/>
    <w:tmpl w:val="E0A22BEC"/>
    <w:lvl w:ilvl="0" w:tplc="43A22A3A">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 w15:restartNumberingAfterBreak="0">
    <w:nsid w:val="16A1611E"/>
    <w:multiLevelType w:val="multilevel"/>
    <w:tmpl w:val="FF4C951C"/>
    <w:lvl w:ilvl="0">
      <w:start w:val="1"/>
      <w:numFmt w:val="decimal"/>
      <w:pStyle w:val="Stage"/>
      <w:suff w:val="space"/>
      <w:lvlText w:val="Stage %1:"/>
      <w:lvlJc w:val="left"/>
      <w:pPr>
        <w:ind w:left="360" w:hanging="360"/>
      </w:pPr>
      <w:rPr>
        <w:rFonts w:hint="default"/>
      </w:rPr>
    </w:lvl>
    <w:lvl w:ilvl="1">
      <w:start w:val="1"/>
      <w:numFmt w:val="lowerLetter"/>
      <w:pStyle w:val="Phase"/>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CEA7F1C"/>
    <w:multiLevelType w:val="hybridMultilevel"/>
    <w:tmpl w:val="549C525A"/>
    <w:lvl w:ilvl="0" w:tplc="FC5CF95E">
      <w:start w:val="1"/>
      <w:numFmt w:val="upperLetter"/>
      <w:pStyle w:val="ListAlpha"/>
      <w:lvlText w:val="%1."/>
      <w:lvlJc w:val="left"/>
      <w:pPr>
        <w:ind w:left="2279" w:hanging="360"/>
      </w:pPr>
    </w:lvl>
    <w:lvl w:ilvl="1" w:tplc="0A7E0332" w:tentative="1">
      <w:start w:val="1"/>
      <w:numFmt w:val="lowerLetter"/>
      <w:lvlText w:val="%2."/>
      <w:lvlJc w:val="left"/>
      <w:pPr>
        <w:ind w:left="2999" w:hanging="360"/>
      </w:pPr>
    </w:lvl>
    <w:lvl w:ilvl="2" w:tplc="0C090005" w:tentative="1">
      <w:start w:val="1"/>
      <w:numFmt w:val="lowerRoman"/>
      <w:lvlText w:val="%3."/>
      <w:lvlJc w:val="right"/>
      <w:pPr>
        <w:ind w:left="3719" w:hanging="180"/>
      </w:pPr>
    </w:lvl>
    <w:lvl w:ilvl="3" w:tplc="0C090001" w:tentative="1">
      <w:start w:val="1"/>
      <w:numFmt w:val="decimal"/>
      <w:lvlText w:val="%4."/>
      <w:lvlJc w:val="left"/>
      <w:pPr>
        <w:ind w:left="4439" w:hanging="360"/>
      </w:pPr>
    </w:lvl>
    <w:lvl w:ilvl="4" w:tplc="0C090003" w:tentative="1">
      <w:start w:val="1"/>
      <w:numFmt w:val="lowerLetter"/>
      <w:lvlText w:val="%5."/>
      <w:lvlJc w:val="left"/>
      <w:pPr>
        <w:ind w:left="5159" w:hanging="360"/>
      </w:pPr>
    </w:lvl>
    <w:lvl w:ilvl="5" w:tplc="0C090005" w:tentative="1">
      <w:start w:val="1"/>
      <w:numFmt w:val="lowerRoman"/>
      <w:lvlText w:val="%6."/>
      <w:lvlJc w:val="right"/>
      <w:pPr>
        <w:ind w:left="5879" w:hanging="180"/>
      </w:pPr>
    </w:lvl>
    <w:lvl w:ilvl="6" w:tplc="0C090001" w:tentative="1">
      <w:start w:val="1"/>
      <w:numFmt w:val="decimal"/>
      <w:lvlText w:val="%7."/>
      <w:lvlJc w:val="left"/>
      <w:pPr>
        <w:ind w:left="6599" w:hanging="360"/>
      </w:pPr>
    </w:lvl>
    <w:lvl w:ilvl="7" w:tplc="0C090003" w:tentative="1">
      <w:start w:val="1"/>
      <w:numFmt w:val="lowerLetter"/>
      <w:lvlText w:val="%8."/>
      <w:lvlJc w:val="left"/>
      <w:pPr>
        <w:ind w:left="7319" w:hanging="360"/>
      </w:pPr>
    </w:lvl>
    <w:lvl w:ilvl="8" w:tplc="0C090005" w:tentative="1">
      <w:start w:val="1"/>
      <w:numFmt w:val="lowerRoman"/>
      <w:lvlText w:val="%9."/>
      <w:lvlJc w:val="right"/>
      <w:pPr>
        <w:ind w:left="8039" w:hanging="180"/>
      </w:pPr>
    </w:lvl>
  </w:abstractNum>
  <w:abstractNum w:abstractNumId="4" w15:restartNumberingAfterBreak="0">
    <w:nsid w:val="208E2C67"/>
    <w:multiLevelType w:val="hybridMultilevel"/>
    <w:tmpl w:val="28804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4345E6"/>
    <w:multiLevelType w:val="multilevel"/>
    <w:tmpl w:val="75744E7C"/>
    <w:lvl w:ilvl="0">
      <w:start w:val="1"/>
      <w:numFmt w:val="decimal"/>
      <w:lvlText w:val="%1."/>
      <w:lvlJc w:val="left"/>
      <w:pPr>
        <w:ind w:left="425" w:firstLine="284"/>
      </w:pPr>
      <w:rPr>
        <w:rFonts w:ascii="Calibri" w:hAnsi="Calibri" w:hint="default"/>
        <w:sz w:val="24"/>
      </w:rPr>
    </w:lvl>
    <w:lvl w:ilvl="1">
      <w:start w:val="1"/>
      <w:numFmt w:val="lowerLetter"/>
      <w:lvlText w:val="%2."/>
      <w:lvlJc w:val="left"/>
      <w:pPr>
        <w:tabs>
          <w:tab w:val="num" w:pos="1559"/>
        </w:tabs>
        <w:ind w:left="1559" w:hanging="425"/>
      </w:pPr>
      <w:rPr>
        <w:rFonts w:hint="default"/>
      </w:rPr>
    </w:lvl>
    <w:lvl w:ilvl="2">
      <w:start w:val="1"/>
      <w:numFmt w:val="lowerRoman"/>
      <w:pStyle w:val="List3"/>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B355AA5"/>
    <w:multiLevelType w:val="hybridMultilevel"/>
    <w:tmpl w:val="82D6B1AE"/>
    <w:lvl w:ilvl="0" w:tplc="23585080">
      <w:start w:val="1"/>
      <w:numFmt w:val="bullet"/>
      <w:lvlText w:val=""/>
      <w:lvlJc w:val="left"/>
      <w:pPr>
        <w:ind w:left="720" w:hanging="360"/>
      </w:pPr>
      <w:rPr>
        <w:rFonts w:ascii="Symbol" w:hAnsi="Symbol" w:hint="default"/>
      </w:rPr>
    </w:lvl>
    <w:lvl w:ilvl="1" w:tplc="CA302FFA">
      <w:start w:val="1"/>
      <w:numFmt w:val="bullet"/>
      <w:pStyle w:val="Bullet2"/>
      <w:lvlText w:val=""/>
      <w:lvlJc w:val="left"/>
      <w:pPr>
        <w:ind w:left="1440" w:hanging="360"/>
      </w:pPr>
      <w:rPr>
        <w:rFonts w:ascii="Symbol" w:hAnsi="Symbol" w:hint="default"/>
      </w:rPr>
    </w:lvl>
    <w:lvl w:ilvl="2" w:tplc="0EECB9F4" w:tentative="1">
      <w:start w:val="1"/>
      <w:numFmt w:val="bullet"/>
      <w:lvlText w:val=""/>
      <w:lvlJc w:val="left"/>
      <w:pPr>
        <w:ind w:left="2160" w:hanging="360"/>
      </w:pPr>
      <w:rPr>
        <w:rFonts w:ascii="Wingdings" w:hAnsi="Wingdings" w:hint="default"/>
      </w:rPr>
    </w:lvl>
    <w:lvl w:ilvl="3" w:tplc="342CFE08" w:tentative="1">
      <w:start w:val="1"/>
      <w:numFmt w:val="bullet"/>
      <w:lvlText w:val=""/>
      <w:lvlJc w:val="left"/>
      <w:pPr>
        <w:ind w:left="2880" w:hanging="360"/>
      </w:pPr>
      <w:rPr>
        <w:rFonts w:ascii="Symbol" w:hAnsi="Symbol" w:hint="default"/>
      </w:rPr>
    </w:lvl>
    <w:lvl w:ilvl="4" w:tplc="252A267A" w:tentative="1">
      <w:start w:val="1"/>
      <w:numFmt w:val="bullet"/>
      <w:lvlText w:val="o"/>
      <w:lvlJc w:val="left"/>
      <w:pPr>
        <w:ind w:left="3600" w:hanging="360"/>
      </w:pPr>
      <w:rPr>
        <w:rFonts w:ascii="Courier New" w:hAnsi="Courier New" w:cs="Courier New" w:hint="default"/>
      </w:rPr>
    </w:lvl>
    <w:lvl w:ilvl="5" w:tplc="8500D1EA" w:tentative="1">
      <w:start w:val="1"/>
      <w:numFmt w:val="bullet"/>
      <w:lvlText w:val=""/>
      <w:lvlJc w:val="left"/>
      <w:pPr>
        <w:ind w:left="4320" w:hanging="360"/>
      </w:pPr>
      <w:rPr>
        <w:rFonts w:ascii="Wingdings" w:hAnsi="Wingdings" w:hint="default"/>
      </w:rPr>
    </w:lvl>
    <w:lvl w:ilvl="6" w:tplc="B270003C" w:tentative="1">
      <w:start w:val="1"/>
      <w:numFmt w:val="bullet"/>
      <w:lvlText w:val=""/>
      <w:lvlJc w:val="left"/>
      <w:pPr>
        <w:ind w:left="5040" w:hanging="360"/>
      </w:pPr>
      <w:rPr>
        <w:rFonts w:ascii="Symbol" w:hAnsi="Symbol" w:hint="default"/>
      </w:rPr>
    </w:lvl>
    <w:lvl w:ilvl="7" w:tplc="549C6C32" w:tentative="1">
      <w:start w:val="1"/>
      <w:numFmt w:val="bullet"/>
      <w:lvlText w:val="o"/>
      <w:lvlJc w:val="left"/>
      <w:pPr>
        <w:ind w:left="5760" w:hanging="360"/>
      </w:pPr>
      <w:rPr>
        <w:rFonts w:ascii="Courier New" w:hAnsi="Courier New" w:cs="Courier New" w:hint="default"/>
      </w:rPr>
    </w:lvl>
    <w:lvl w:ilvl="8" w:tplc="365E253C" w:tentative="1">
      <w:start w:val="1"/>
      <w:numFmt w:val="bullet"/>
      <w:lvlText w:val=""/>
      <w:lvlJc w:val="left"/>
      <w:pPr>
        <w:ind w:left="6480" w:hanging="360"/>
      </w:pPr>
      <w:rPr>
        <w:rFonts w:ascii="Wingdings" w:hAnsi="Wingdings" w:hint="default"/>
      </w:rPr>
    </w:lvl>
  </w:abstractNum>
  <w:abstractNum w:abstractNumId="7" w15:restartNumberingAfterBreak="0">
    <w:nsid w:val="2CF2050A"/>
    <w:multiLevelType w:val="hybridMultilevel"/>
    <w:tmpl w:val="90EE8E0E"/>
    <w:lvl w:ilvl="0" w:tplc="FCACF8B2">
      <w:start w:val="1"/>
      <w:numFmt w:val="bullet"/>
      <w:lvlText w:val=""/>
      <w:lvlJc w:val="left"/>
      <w:pPr>
        <w:ind w:left="720" w:hanging="360"/>
      </w:pPr>
      <w:rPr>
        <w:rFonts w:ascii="Symbol" w:hAnsi="Symbol" w:hint="default"/>
      </w:rPr>
    </w:lvl>
    <w:lvl w:ilvl="1" w:tplc="E39EAF3A">
      <w:start w:val="1"/>
      <w:numFmt w:val="bullet"/>
      <w:lvlText w:val=""/>
      <w:lvlJc w:val="left"/>
      <w:pPr>
        <w:ind w:left="1440" w:hanging="360"/>
      </w:pPr>
      <w:rPr>
        <w:rFonts w:ascii="Symbol" w:hAnsi="Symbol" w:hint="default"/>
      </w:rPr>
    </w:lvl>
    <w:lvl w:ilvl="2" w:tplc="0C090005">
      <w:start w:val="1"/>
      <w:numFmt w:val="bullet"/>
      <w:pStyle w:val="Bullet3"/>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9E3B4A"/>
    <w:multiLevelType w:val="multilevel"/>
    <w:tmpl w:val="E43A30D6"/>
    <w:styleLink w:val="AHAList"/>
    <w:lvl w:ilvl="0">
      <w:start w:val="1"/>
      <w:numFmt w:val="bullet"/>
      <w:lvlText w:val=""/>
      <w:lvlJc w:val="left"/>
      <w:pPr>
        <w:ind w:left="936" w:hanging="516"/>
      </w:pPr>
      <w:rPr>
        <w:rFonts w:ascii="Wingdings" w:hAnsi="Wingdings" w:hint="default"/>
      </w:rPr>
    </w:lvl>
    <w:lvl w:ilvl="1">
      <w:start w:val="1"/>
      <w:numFmt w:val="bullet"/>
      <w:lvlText w:val="­"/>
      <w:lvlJc w:val="left"/>
      <w:pPr>
        <w:ind w:left="1452" w:hanging="516"/>
      </w:pPr>
      <w:rPr>
        <w:rFonts w:ascii="Courier New" w:hAnsi="Courier New" w:hint="default"/>
      </w:rPr>
    </w:lvl>
    <w:lvl w:ilvl="2">
      <w:start w:val="1"/>
      <w:numFmt w:val="bullet"/>
      <w:lvlText w:val=""/>
      <w:lvlJc w:val="left"/>
      <w:pPr>
        <w:ind w:left="1968" w:hanging="516"/>
      </w:pPr>
      <w:rPr>
        <w:rFonts w:ascii="Symbol" w:hAnsi="Symbol" w:hint="default"/>
      </w:rPr>
    </w:lvl>
    <w:lvl w:ilvl="3">
      <w:start w:val="1"/>
      <w:numFmt w:val="bullet"/>
      <w:lvlText w:val=""/>
      <w:lvlJc w:val="left"/>
      <w:pPr>
        <w:ind w:left="2484" w:hanging="516"/>
      </w:pPr>
      <w:rPr>
        <w:rFonts w:ascii="Symbol" w:hAnsi="Symbol" w:hint="default"/>
      </w:rPr>
    </w:lvl>
    <w:lvl w:ilvl="4">
      <w:start w:val="1"/>
      <w:numFmt w:val="bullet"/>
      <w:lvlText w:val="o"/>
      <w:lvlJc w:val="left"/>
      <w:pPr>
        <w:ind w:left="3000" w:hanging="516"/>
      </w:pPr>
      <w:rPr>
        <w:rFonts w:ascii="Courier New" w:hAnsi="Courier New" w:cs="Courier New" w:hint="default"/>
      </w:rPr>
    </w:lvl>
    <w:lvl w:ilvl="5">
      <w:start w:val="1"/>
      <w:numFmt w:val="bullet"/>
      <w:lvlText w:val=""/>
      <w:lvlJc w:val="left"/>
      <w:pPr>
        <w:ind w:left="3516" w:hanging="516"/>
      </w:pPr>
      <w:rPr>
        <w:rFonts w:ascii="Wingdings" w:hAnsi="Wingdings" w:hint="default"/>
      </w:rPr>
    </w:lvl>
    <w:lvl w:ilvl="6">
      <w:start w:val="1"/>
      <w:numFmt w:val="bullet"/>
      <w:lvlText w:val=""/>
      <w:lvlJc w:val="left"/>
      <w:pPr>
        <w:ind w:left="4032" w:hanging="516"/>
      </w:pPr>
      <w:rPr>
        <w:rFonts w:ascii="Symbol" w:hAnsi="Symbol" w:hint="default"/>
      </w:rPr>
    </w:lvl>
    <w:lvl w:ilvl="7">
      <w:start w:val="1"/>
      <w:numFmt w:val="bullet"/>
      <w:lvlText w:val="o"/>
      <w:lvlJc w:val="left"/>
      <w:pPr>
        <w:ind w:left="4548" w:hanging="516"/>
      </w:pPr>
      <w:rPr>
        <w:rFonts w:ascii="Courier New" w:hAnsi="Courier New" w:cs="Courier New" w:hint="default"/>
      </w:rPr>
    </w:lvl>
    <w:lvl w:ilvl="8">
      <w:start w:val="1"/>
      <w:numFmt w:val="bullet"/>
      <w:lvlText w:val=""/>
      <w:lvlJc w:val="left"/>
      <w:pPr>
        <w:ind w:left="5064" w:hanging="516"/>
      </w:pPr>
      <w:rPr>
        <w:rFonts w:ascii="Wingdings" w:hAnsi="Wingdings" w:hint="default"/>
      </w:rPr>
    </w:lvl>
  </w:abstractNum>
  <w:abstractNum w:abstractNumId="9" w15:restartNumberingAfterBreak="0">
    <w:nsid w:val="384D1F1F"/>
    <w:multiLevelType w:val="hybridMultilevel"/>
    <w:tmpl w:val="55343C32"/>
    <w:lvl w:ilvl="0" w:tplc="01E06436">
      <w:start w:val="1"/>
      <w:numFmt w:val="bullet"/>
      <w:pStyle w:val="Bullet1"/>
      <w:lvlText w:val=""/>
      <w:lvlJc w:val="left"/>
      <w:pPr>
        <w:ind w:left="786" w:hanging="360"/>
      </w:pPr>
      <w:rPr>
        <w:rFonts w:ascii="Symbol" w:hAnsi="Symbol" w:hint="default"/>
      </w:rPr>
    </w:lvl>
    <w:lvl w:ilvl="1" w:tplc="E1669344">
      <w:start w:val="1"/>
      <w:numFmt w:val="bullet"/>
      <w:lvlText w:val="o"/>
      <w:lvlJc w:val="left"/>
      <w:pPr>
        <w:ind w:left="1440" w:hanging="360"/>
      </w:pPr>
      <w:rPr>
        <w:rFonts w:ascii="Courier New" w:hAnsi="Courier New" w:cs="Courier New" w:hint="default"/>
      </w:rPr>
    </w:lvl>
    <w:lvl w:ilvl="2" w:tplc="0FCED230" w:tentative="1">
      <w:start w:val="1"/>
      <w:numFmt w:val="bullet"/>
      <w:lvlText w:val=""/>
      <w:lvlJc w:val="left"/>
      <w:pPr>
        <w:ind w:left="2160" w:hanging="360"/>
      </w:pPr>
      <w:rPr>
        <w:rFonts w:ascii="Wingdings" w:hAnsi="Wingdings" w:hint="default"/>
      </w:rPr>
    </w:lvl>
    <w:lvl w:ilvl="3" w:tplc="3692D2BA" w:tentative="1">
      <w:start w:val="1"/>
      <w:numFmt w:val="bullet"/>
      <w:lvlText w:val=""/>
      <w:lvlJc w:val="left"/>
      <w:pPr>
        <w:ind w:left="2880" w:hanging="360"/>
      </w:pPr>
      <w:rPr>
        <w:rFonts w:ascii="Symbol" w:hAnsi="Symbol" w:hint="default"/>
      </w:rPr>
    </w:lvl>
    <w:lvl w:ilvl="4" w:tplc="CED428CE" w:tentative="1">
      <w:start w:val="1"/>
      <w:numFmt w:val="bullet"/>
      <w:lvlText w:val="o"/>
      <w:lvlJc w:val="left"/>
      <w:pPr>
        <w:ind w:left="3600" w:hanging="360"/>
      </w:pPr>
      <w:rPr>
        <w:rFonts w:ascii="Courier New" w:hAnsi="Courier New" w:cs="Courier New" w:hint="default"/>
      </w:rPr>
    </w:lvl>
    <w:lvl w:ilvl="5" w:tplc="D10408E0" w:tentative="1">
      <w:start w:val="1"/>
      <w:numFmt w:val="bullet"/>
      <w:lvlText w:val=""/>
      <w:lvlJc w:val="left"/>
      <w:pPr>
        <w:ind w:left="4320" w:hanging="360"/>
      </w:pPr>
      <w:rPr>
        <w:rFonts w:ascii="Wingdings" w:hAnsi="Wingdings" w:hint="default"/>
      </w:rPr>
    </w:lvl>
    <w:lvl w:ilvl="6" w:tplc="E232228C" w:tentative="1">
      <w:start w:val="1"/>
      <w:numFmt w:val="bullet"/>
      <w:lvlText w:val=""/>
      <w:lvlJc w:val="left"/>
      <w:pPr>
        <w:ind w:left="5040" w:hanging="360"/>
      </w:pPr>
      <w:rPr>
        <w:rFonts w:ascii="Symbol" w:hAnsi="Symbol" w:hint="default"/>
      </w:rPr>
    </w:lvl>
    <w:lvl w:ilvl="7" w:tplc="B58E9DFA" w:tentative="1">
      <w:start w:val="1"/>
      <w:numFmt w:val="bullet"/>
      <w:lvlText w:val="o"/>
      <w:lvlJc w:val="left"/>
      <w:pPr>
        <w:ind w:left="5760" w:hanging="360"/>
      </w:pPr>
      <w:rPr>
        <w:rFonts w:ascii="Courier New" w:hAnsi="Courier New" w:cs="Courier New" w:hint="default"/>
      </w:rPr>
    </w:lvl>
    <w:lvl w:ilvl="8" w:tplc="09C29816" w:tentative="1">
      <w:start w:val="1"/>
      <w:numFmt w:val="bullet"/>
      <w:lvlText w:val=""/>
      <w:lvlJc w:val="left"/>
      <w:pPr>
        <w:ind w:left="6480" w:hanging="360"/>
      </w:pPr>
      <w:rPr>
        <w:rFonts w:ascii="Wingdings" w:hAnsi="Wingdings" w:hint="default"/>
      </w:rPr>
    </w:lvl>
  </w:abstractNum>
  <w:abstractNum w:abstractNumId="10" w15:restartNumberingAfterBreak="0">
    <w:nsid w:val="3D831C4E"/>
    <w:multiLevelType w:val="multilevel"/>
    <w:tmpl w:val="0F800C0E"/>
    <w:lvl w:ilvl="0">
      <w:start w:val="1"/>
      <w:numFmt w:val="upperLetter"/>
      <w:lvlText w:val="Appendix %1."/>
      <w:lvlJc w:val="left"/>
      <w:pPr>
        <w:ind w:left="720" w:hanging="360"/>
      </w:pPr>
      <w:rPr>
        <w:rFonts w:hint="default"/>
      </w:rPr>
    </w:lvl>
    <w:lvl w:ilvl="1">
      <w:start w:val="1"/>
      <w:numFmt w:val="decimal"/>
      <w:pStyle w:val="Heading8"/>
      <w:lvlText w:val="%1.%2."/>
      <w:lvlJc w:val="left"/>
      <w:pPr>
        <w:ind w:left="992" w:hanging="992"/>
      </w:pPr>
      <w:rPr>
        <w:b/>
        <w:bCs w:val="0"/>
        <w:i w:val="0"/>
        <w:iCs w:val="0"/>
        <w:caps w:val="0"/>
        <w:smallCaps w:val="0"/>
        <w:strike w:val="0"/>
        <w:dstrike w:val="0"/>
        <w:noProof w:val="0"/>
        <w:vanish w:val="0"/>
        <w:position w:val="0"/>
        <w:u w:val="none"/>
        <w:effect w:val="none"/>
        <w:vertAlign w:val="baseline"/>
        <w:em w:val="none"/>
        <w:specVanish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DA34E19"/>
    <w:multiLevelType w:val="hybridMultilevel"/>
    <w:tmpl w:val="266A1B7C"/>
    <w:lvl w:ilvl="0" w:tplc="C2548D66">
      <w:start w:val="1"/>
      <w:numFmt w:val="bullet"/>
      <w:pStyle w:val="TableBullet1"/>
      <w:lvlText w:val=""/>
      <w:lvlJc w:val="left"/>
      <w:pPr>
        <w:ind w:left="720" w:hanging="360"/>
      </w:pPr>
      <w:rPr>
        <w:rFonts w:ascii="Symbol" w:hAnsi="Symbol" w:hint="default"/>
        <w:caps w:val="0"/>
        <w:strike w:val="0"/>
        <w:dstrike w:val="0"/>
        <w:vanish w:val="0"/>
        <w:sz w:val="22"/>
        <w:vertAlign w:val="baseline"/>
      </w:rPr>
    </w:lvl>
    <w:lvl w:ilvl="1" w:tplc="1C8C88F0">
      <w:start w:val="1"/>
      <w:numFmt w:val="bullet"/>
      <w:lvlText w:val="o"/>
      <w:lvlJc w:val="left"/>
      <w:pPr>
        <w:ind w:left="1440" w:hanging="360"/>
      </w:pPr>
      <w:rPr>
        <w:rFonts w:ascii="Courier New" w:hAnsi="Courier New" w:cs="Courier New" w:hint="default"/>
      </w:rPr>
    </w:lvl>
    <w:lvl w:ilvl="2" w:tplc="EE3C2EF2" w:tentative="1">
      <w:start w:val="1"/>
      <w:numFmt w:val="bullet"/>
      <w:lvlText w:val=""/>
      <w:lvlJc w:val="left"/>
      <w:pPr>
        <w:ind w:left="2160" w:hanging="360"/>
      </w:pPr>
      <w:rPr>
        <w:rFonts w:ascii="Wingdings" w:hAnsi="Wingdings" w:hint="default"/>
      </w:rPr>
    </w:lvl>
    <w:lvl w:ilvl="3" w:tplc="594E6092" w:tentative="1">
      <w:start w:val="1"/>
      <w:numFmt w:val="bullet"/>
      <w:lvlText w:val=""/>
      <w:lvlJc w:val="left"/>
      <w:pPr>
        <w:ind w:left="2880" w:hanging="360"/>
      </w:pPr>
      <w:rPr>
        <w:rFonts w:ascii="Symbol" w:hAnsi="Symbol" w:hint="default"/>
      </w:rPr>
    </w:lvl>
    <w:lvl w:ilvl="4" w:tplc="3B966F8E" w:tentative="1">
      <w:start w:val="1"/>
      <w:numFmt w:val="bullet"/>
      <w:lvlText w:val="o"/>
      <w:lvlJc w:val="left"/>
      <w:pPr>
        <w:ind w:left="3600" w:hanging="360"/>
      </w:pPr>
      <w:rPr>
        <w:rFonts w:ascii="Courier New" w:hAnsi="Courier New" w:cs="Courier New" w:hint="default"/>
      </w:rPr>
    </w:lvl>
    <w:lvl w:ilvl="5" w:tplc="268AD82A" w:tentative="1">
      <w:start w:val="1"/>
      <w:numFmt w:val="bullet"/>
      <w:lvlText w:val=""/>
      <w:lvlJc w:val="left"/>
      <w:pPr>
        <w:ind w:left="4320" w:hanging="360"/>
      </w:pPr>
      <w:rPr>
        <w:rFonts w:ascii="Wingdings" w:hAnsi="Wingdings" w:hint="default"/>
      </w:rPr>
    </w:lvl>
    <w:lvl w:ilvl="6" w:tplc="5CDCD6CC" w:tentative="1">
      <w:start w:val="1"/>
      <w:numFmt w:val="bullet"/>
      <w:lvlText w:val=""/>
      <w:lvlJc w:val="left"/>
      <w:pPr>
        <w:ind w:left="5040" w:hanging="360"/>
      </w:pPr>
      <w:rPr>
        <w:rFonts w:ascii="Symbol" w:hAnsi="Symbol" w:hint="default"/>
      </w:rPr>
    </w:lvl>
    <w:lvl w:ilvl="7" w:tplc="E3C491D6" w:tentative="1">
      <w:start w:val="1"/>
      <w:numFmt w:val="bullet"/>
      <w:lvlText w:val="o"/>
      <w:lvlJc w:val="left"/>
      <w:pPr>
        <w:ind w:left="5760" w:hanging="360"/>
      </w:pPr>
      <w:rPr>
        <w:rFonts w:ascii="Courier New" w:hAnsi="Courier New" w:cs="Courier New" w:hint="default"/>
      </w:rPr>
    </w:lvl>
    <w:lvl w:ilvl="8" w:tplc="5024C5D4" w:tentative="1">
      <w:start w:val="1"/>
      <w:numFmt w:val="bullet"/>
      <w:lvlText w:val=""/>
      <w:lvlJc w:val="left"/>
      <w:pPr>
        <w:ind w:left="6480" w:hanging="360"/>
      </w:pPr>
      <w:rPr>
        <w:rFonts w:ascii="Wingdings" w:hAnsi="Wingdings" w:hint="default"/>
      </w:rPr>
    </w:lvl>
  </w:abstractNum>
  <w:abstractNum w:abstractNumId="12" w15:restartNumberingAfterBreak="0">
    <w:nsid w:val="488C703C"/>
    <w:multiLevelType w:val="hybridMultilevel"/>
    <w:tmpl w:val="FB4AC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855FE0"/>
    <w:multiLevelType w:val="multilevel"/>
    <w:tmpl w:val="0C38300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2558" w:hanging="432"/>
      </w:pPr>
      <w:rPr>
        <w:rFonts w:hint="default"/>
      </w:rPr>
    </w:lvl>
    <w:lvl w:ilvl="2">
      <w:start w:val="1"/>
      <w:numFmt w:val="decimal"/>
      <w:pStyle w:val="Heading3"/>
      <w:lvlText w:val="%1.%2.%3."/>
      <w:lvlJc w:val="left"/>
      <w:pPr>
        <w:ind w:left="504"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4" w15:restartNumberingAfterBreak="0">
    <w:nsid w:val="5E8324C8"/>
    <w:multiLevelType w:val="multilevel"/>
    <w:tmpl w:val="7136AF96"/>
    <w:lvl w:ilvl="0">
      <w:start w:val="1"/>
      <w:numFmt w:val="decimal"/>
      <w:lvlText w:val="%1."/>
      <w:lvlJc w:val="left"/>
      <w:pPr>
        <w:ind w:left="425" w:firstLine="284"/>
      </w:pPr>
      <w:rPr>
        <w:rFonts w:ascii="Calibri" w:hAnsi="Calibri" w:hint="default"/>
        <w:sz w:val="24"/>
      </w:rPr>
    </w:lvl>
    <w:lvl w:ilvl="1">
      <w:start w:val="1"/>
      <w:numFmt w:val="lowerLetter"/>
      <w:pStyle w:val="List2"/>
      <w:lvlText w:val="%2."/>
      <w:lvlJc w:val="left"/>
      <w:pPr>
        <w:tabs>
          <w:tab w:val="num" w:pos="1559"/>
        </w:tabs>
        <w:ind w:left="1559" w:hanging="425"/>
      </w:pPr>
      <w:rPr>
        <w:rFonts w:hint="default"/>
      </w:rPr>
    </w:lvl>
    <w:lvl w:ilvl="2">
      <w:start w:val="1"/>
      <w:numFmt w:val="lowerRoman"/>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6644D72"/>
    <w:multiLevelType w:val="hybridMultilevel"/>
    <w:tmpl w:val="B5144C5C"/>
    <w:lvl w:ilvl="0" w:tplc="B268E8C2">
      <w:start w:val="1"/>
      <w:numFmt w:val="decimal"/>
      <w:pStyle w:val="TextBoxList"/>
      <w:lvlText w:val="%1."/>
      <w:lvlJc w:val="left"/>
      <w:pPr>
        <w:ind w:left="720" w:hanging="360"/>
      </w:pPr>
    </w:lvl>
    <w:lvl w:ilvl="1" w:tplc="DA30E9D6" w:tentative="1">
      <w:start w:val="1"/>
      <w:numFmt w:val="lowerLetter"/>
      <w:lvlText w:val="%2."/>
      <w:lvlJc w:val="left"/>
      <w:pPr>
        <w:ind w:left="1440" w:hanging="360"/>
      </w:pPr>
    </w:lvl>
    <w:lvl w:ilvl="2" w:tplc="717AB96A" w:tentative="1">
      <w:start w:val="1"/>
      <w:numFmt w:val="lowerRoman"/>
      <w:lvlText w:val="%3."/>
      <w:lvlJc w:val="right"/>
      <w:pPr>
        <w:ind w:left="2160" w:hanging="180"/>
      </w:pPr>
    </w:lvl>
    <w:lvl w:ilvl="3" w:tplc="C8CE3C0E" w:tentative="1">
      <w:start w:val="1"/>
      <w:numFmt w:val="decimal"/>
      <w:lvlText w:val="%4."/>
      <w:lvlJc w:val="left"/>
      <w:pPr>
        <w:ind w:left="2880" w:hanging="360"/>
      </w:pPr>
    </w:lvl>
    <w:lvl w:ilvl="4" w:tplc="60DA047E" w:tentative="1">
      <w:start w:val="1"/>
      <w:numFmt w:val="lowerLetter"/>
      <w:lvlText w:val="%5."/>
      <w:lvlJc w:val="left"/>
      <w:pPr>
        <w:ind w:left="3600" w:hanging="360"/>
      </w:pPr>
    </w:lvl>
    <w:lvl w:ilvl="5" w:tplc="B4387E86" w:tentative="1">
      <w:start w:val="1"/>
      <w:numFmt w:val="lowerRoman"/>
      <w:lvlText w:val="%6."/>
      <w:lvlJc w:val="right"/>
      <w:pPr>
        <w:ind w:left="4320" w:hanging="180"/>
      </w:pPr>
    </w:lvl>
    <w:lvl w:ilvl="6" w:tplc="3C446CE6" w:tentative="1">
      <w:start w:val="1"/>
      <w:numFmt w:val="decimal"/>
      <w:lvlText w:val="%7."/>
      <w:lvlJc w:val="left"/>
      <w:pPr>
        <w:ind w:left="5040" w:hanging="360"/>
      </w:pPr>
    </w:lvl>
    <w:lvl w:ilvl="7" w:tplc="1CC06814" w:tentative="1">
      <w:start w:val="1"/>
      <w:numFmt w:val="lowerLetter"/>
      <w:lvlText w:val="%8."/>
      <w:lvlJc w:val="left"/>
      <w:pPr>
        <w:ind w:left="5760" w:hanging="360"/>
      </w:pPr>
    </w:lvl>
    <w:lvl w:ilvl="8" w:tplc="56404B16" w:tentative="1">
      <w:start w:val="1"/>
      <w:numFmt w:val="lowerRoman"/>
      <w:lvlText w:val="%9."/>
      <w:lvlJc w:val="right"/>
      <w:pPr>
        <w:ind w:left="6480" w:hanging="180"/>
      </w:pPr>
    </w:lvl>
  </w:abstractNum>
  <w:abstractNum w:abstractNumId="16" w15:restartNumberingAfterBreak="0">
    <w:nsid w:val="66C7254F"/>
    <w:multiLevelType w:val="hybridMultilevel"/>
    <w:tmpl w:val="000E5AF6"/>
    <w:lvl w:ilvl="0" w:tplc="48122DF0">
      <w:start w:val="1"/>
      <w:numFmt w:val="upperLetter"/>
      <w:pStyle w:val="Heading7"/>
      <w:lvlText w:val="Appendix %1."/>
      <w:lvlJc w:val="left"/>
      <w:pPr>
        <w:ind w:left="502" w:hanging="360"/>
      </w:pPr>
      <w:rPr>
        <w:rFonts w:cs="Times New Roman" w:hint="default"/>
        <w:b/>
        <w:bCs w:val="0"/>
        <w:i w:val="0"/>
        <w:iCs w:val="0"/>
        <w:caps w:val="0"/>
        <w:smallCaps w:val="0"/>
        <w:strike w:val="0"/>
        <w:dstrike w:val="0"/>
        <w:vanish w:val="0"/>
        <w:color w:val="FFFFFF" w:themeColor="background1"/>
        <w:spacing w:val="0"/>
        <w:kern w:val="0"/>
        <w:position w:val="0"/>
        <w:u w:val="none"/>
        <w:effect w:val="none"/>
        <w:vertAlign w:val="baseline"/>
        <w:em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51906A0"/>
    <w:multiLevelType w:val="multilevel"/>
    <w:tmpl w:val="4DB82492"/>
    <w:lvl w:ilvl="0">
      <w:start w:val="1"/>
      <w:numFmt w:val="decimal"/>
      <w:pStyle w:val="List1"/>
      <w:lvlText w:val="%1."/>
      <w:lvlJc w:val="left"/>
      <w:pPr>
        <w:tabs>
          <w:tab w:val="num" w:pos="6804"/>
        </w:tabs>
        <w:ind w:left="1134" w:hanging="425"/>
      </w:pPr>
      <w:rPr>
        <w:rFonts w:hint="default"/>
      </w:rPr>
    </w:lvl>
    <w:lvl w:ilvl="1">
      <w:start w:val="1"/>
      <w:numFmt w:val="lowerLetter"/>
      <w:lvlText w:val="%2."/>
      <w:lvlJc w:val="left"/>
      <w:pPr>
        <w:tabs>
          <w:tab w:val="num" w:pos="1559"/>
        </w:tabs>
        <w:ind w:left="1134" w:firstLine="425"/>
      </w:pPr>
      <w:rPr>
        <w:rFonts w:hint="default"/>
      </w:rPr>
    </w:lvl>
    <w:lvl w:ilvl="2">
      <w:start w:val="1"/>
      <w:numFmt w:val="lowerRoman"/>
      <w:lvlText w:val="%3."/>
      <w:lvlJc w:val="left"/>
      <w:pPr>
        <w:ind w:left="1559" w:firstLine="42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9D7040E"/>
    <w:multiLevelType w:val="hybridMultilevel"/>
    <w:tmpl w:val="B48C05BA"/>
    <w:lvl w:ilvl="0" w:tplc="941EB192">
      <w:start w:val="1"/>
      <w:numFmt w:val="decimal"/>
      <w:pStyle w:val="TableList1"/>
      <w:lvlText w:val="%1."/>
      <w:lvlJc w:val="left"/>
      <w:pPr>
        <w:ind w:left="720" w:hanging="360"/>
      </w:pPr>
      <w:rPr>
        <w:rFonts w:asciiTheme="minorHAnsi" w:hAnsiTheme="minorHAnsi" w:hint="default"/>
      </w:rPr>
    </w:lvl>
    <w:lvl w:ilvl="1" w:tplc="DFF8D7CE" w:tentative="1">
      <w:start w:val="1"/>
      <w:numFmt w:val="lowerLetter"/>
      <w:lvlText w:val="%2."/>
      <w:lvlJc w:val="left"/>
      <w:pPr>
        <w:ind w:left="1440" w:hanging="360"/>
      </w:pPr>
    </w:lvl>
    <w:lvl w:ilvl="2" w:tplc="B36A5ED4" w:tentative="1">
      <w:start w:val="1"/>
      <w:numFmt w:val="lowerRoman"/>
      <w:lvlText w:val="%3."/>
      <w:lvlJc w:val="right"/>
      <w:pPr>
        <w:ind w:left="2160" w:hanging="180"/>
      </w:pPr>
    </w:lvl>
    <w:lvl w:ilvl="3" w:tplc="675E1952" w:tentative="1">
      <w:start w:val="1"/>
      <w:numFmt w:val="decimal"/>
      <w:lvlText w:val="%4."/>
      <w:lvlJc w:val="left"/>
      <w:pPr>
        <w:ind w:left="2880" w:hanging="360"/>
      </w:pPr>
    </w:lvl>
    <w:lvl w:ilvl="4" w:tplc="D8887C98" w:tentative="1">
      <w:start w:val="1"/>
      <w:numFmt w:val="lowerLetter"/>
      <w:lvlText w:val="%5."/>
      <w:lvlJc w:val="left"/>
      <w:pPr>
        <w:ind w:left="3600" w:hanging="360"/>
      </w:pPr>
    </w:lvl>
    <w:lvl w:ilvl="5" w:tplc="4BCAE450" w:tentative="1">
      <w:start w:val="1"/>
      <w:numFmt w:val="lowerRoman"/>
      <w:lvlText w:val="%6."/>
      <w:lvlJc w:val="right"/>
      <w:pPr>
        <w:ind w:left="4320" w:hanging="180"/>
      </w:pPr>
    </w:lvl>
    <w:lvl w:ilvl="6" w:tplc="4C7EE984" w:tentative="1">
      <w:start w:val="1"/>
      <w:numFmt w:val="decimal"/>
      <w:lvlText w:val="%7."/>
      <w:lvlJc w:val="left"/>
      <w:pPr>
        <w:ind w:left="5040" w:hanging="360"/>
      </w:pPr>
    </w:lvl>
    <w:lvl w:ilvl="7" w:tplc="237A4BAC" w:tentative="1">
      <w:start w:val="1"/>
      <w:numFmt w:val="lowerLetter"/>
      <w:lvlText w:val="%8."/>
      <w:lvlJc w:val="left"/>
      <w:pPr>
        <w:ind w:left="5760" w:hanging="360"/>
      </w:pPr>
    </w:lvl>
    <w:lvl w:ilvl="8" w:tplc="8E26D3E4" w:tentative="1">
      <w:start w:val="1"/>
      <w:numFmt w:val="lowerRoman"/>
      <w:lvlText w:val="%9."/>
      <w:lvlJc w:val="right"/>
      <w:pPr>
        <w:ind w:left="6480" w:hanging="180"/>
      </w:pPr>
    </w:lvl>
  </w:abstractNum>
  <w:abstractNum w:abstractNumId="19" w15:restartNumberingAfterBreak="0">
    <w:nsid w:val="79F03C58"/>
    <w:multiLevelType w:val="hybridMultilevel"/>
    <w:tmpl w:val="7BCCDCA8"/>
    <w:lvl w:ilvl="0" w:tplc="FAD08B60">
      <w:start w:val="1"/>
      <w:numFmt w:val="bullet"/>
      <w:pStyle w:val="Note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6"/>
  </w:num>
  <w:num w:numId="4">
    <w:abstractNumId w:val="7"/>
  </w:num>
  <w:num w:numId="5">
    <w:abstractNumId w:val="14"/>
  </w:num>
  <w:num w:numId="6">
    <w:abstractNumId w:val="5"/>
  </w:num>
  <w:num w:numId="7">
    <w:abstractNumId w:val="17"/>
  </w:num>
  <w:num w:numId="8">
    <w:abstractNumId w:val="13"/>
  </w:num>
  <w:num w:numId="9">
    <w:abstractNumId w:val="16"/>
  </w:num>
  <w:num w:numId="10">
    <w:abstractNumId w:val="2"/>
  </w:num>
  <w:num w:numId="11">
    <w:abstractNumId w:val="2"/>
    <w:lvlOverride w:ilvl="0">
      <w:lvl w:ilvl="0">
        <w:start w:val="1"/>
        <w:numFmt w:val="decimal"/>
        <w:pStyle w:val="Stage"/>
        <w:suff w:val="space"/>
        <w:lvlText w:val="Stage %1:"/>
        <w:lvlJc w:val="left"/>
        <w:pPr>
          <w:ind w:left="360" w:hanging="360"/>
        </w:pPr>
        <w:rPr>
          <w:rFonts w:hint="default"/>
        </w:rPr>
      </w:lvl>
    </w:lvlOverride>
    <w:lvlOverride w:ilvl="1">
      <w:lvl w:ilvl="1">
        <w:start w:val="1"/>
        <w:numFmt w:val="upperLetter"/>
        <w:pStyle w:val="Phase"/>
        <w:suff w:val="space"/>
        <w:lvlText w:val="Phase%1%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2">
    <w:abstractNumId w:val="3"/>
  </w:num>
  <w:num w:numId="13">
    <w:abstractNumId w:val="18"/>
  </w:num>
  <w:num w:numId="14">
    <w:abstractNumId w:val="15"/>
  </w:num>
  <w:num w:numId="15">
    <w:abstractNumId w:val="11"/>
  </w:num>
  <w:num w:numId="16">
    <w:abstractNumId w:val="1"/>
  </w:num>
  <w:num w:numId="17">
    <w:abstractNumId w:val="10"/>
  </w:num>
  <w:num w:numId="18">
    <w:abstractNumId w:val="0"/>
  </w:num>
  <w:num w:numId="19">
    <w:abstractNumId w:val="12"/>
  </w:num>
  <w:num w:numId="20">
    <w:abstractNumId w:val="8"/>
  </w:num>
  <w:num w:numId="21">
    <w:abstractNumId w:val="4"/>
  </w:num>
  <w:num w:numId="22">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stylePaneSortMethod w:val="000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E59"/>
    <w:rsid w:val="00000228"/>
    <w:rsid w:val="00000E5B"/>
    <w:rsid w:val="0000151B"/>
    <w:rsid w:val="00003762"/>
    <w:rsid w:val="00004606"/>
    <w:rsid w:val="0000505D"/>
    <w:rsid w:val="00005DBA"/>
    <w:rsid w:val="00005F9E"/>
    <w:rsid w:val="00006333"/>
    <w:rsid w:val="00010616"/>
    <w:rsid w:val="00010B35"/>
    <w:rsid w:val="00010BAE"/>
    <w:rsid w:val="00011095"/>
    <w:rsid w:val="000115F8"/>
    <w:rsid w:val="0001228C"/>
    <w:rsid w:val="000123CF"/>
    <w:rsid w:val="0001286B"/>
    <w:rsid w:val="00012D1D"/>
    <w:rsid w:val="00012EA6"/>
    <w:rsid w:val="00012F1D"/>
    <w:rsid w:val="00013FD1"/>
    <w:rsid w:val="00017A9B"/>
    <w:rsid w:val="00020264"/>
    <w:rsid w:val="0002030F"/>
    <w:rsid w:val="0002058E"/>
    <w:rsid w:val="00020C25"/>
    <w:rsid w:val="00021E60"/>
    <w:rsid w:val="00022027"/>
    <w:rsid w:val="00022E71"/>
    <w:rsid w:val="00023E95"/>
    <w:rsid w:val="00024BFB"/>
    <w:rsid w:val="00025FD2"/>
    <w:rsid w:val="000275EF"/>
    <w:rsid w:val="000310F0"/>
    <w:rsid w:val="00031A27"/>
    <w:rsid w:val="000320F3"/>
    <w:rsid w:val="00032D55"/>
    <w:rsid w:val="00033AA7"/>
    <w:rsid w:val="00034431"/>
    <w:rsid w:val="0003519D"/>
    <w:rsid w:val="00037833"/>
    <w:rsid w:val="00037FBC"/>
    <w:rsid w:val="000421C3"/>
    <w:rsid w:val="000429F1"/>
    <w:rsid w:val="00042A59"/>
    <w:rsid w:val="000437DF"/>
    <w:rsid w:val="000452C1"/>
    <w:rsid w:val="000453A4"/>
    <w:rsid w:val="000453E8"/>
    <w:rsid w:val="000454FE"/>
    <w:rsid w:val="00045E34"/>
    <w:rsid w:val="00046F6F"/>
    <w:rsid w:val="00047FFB"/>
    <w:rsid w:val="00050445"/>
    <w:rsid w:val="00050B6F"/>
    <w:rsid w:val="00051017"/>
    <w:rsid w:val="00051176"/>
    <w:rsid w:val="000511FF"/>
    <w:rsid w:val="00051F21"/>
    <w:rsid w:val="00052833"/>
    <w:rsid w:val="00053597"/>
    <w:rsid w:val="00054078"/>
    <w:rsid w:val="00054340"/>
    <w:rsid w:val="0005502C"/>
    <w:rsid w:val="00055EF3"/>
    <w:rsid w:val="00056831"/>
    <w:rsid w:val="00056C94"/>
    <w:rsid w:val="00057BA3"/>
    <w:rsid w:val="00060907"/>
    <w:rsid w:val="00060A41"/>
    <w:rsid w:val="00060F70"/>
    <w:rsid w:val="000621D6"/>
    <w:rsid w:val="00062CAF"/>
    <w:rsid w:val="00063A1F"/>
    <w:rsid w:val="00063D66"/>
    <w:rsid w:val="0006400D"/>
    <w:rsid w:val="000642EE"/>
    <w:rsid w:val="00064763"/>
    <w:rsid w:val="00064F9E"/>
    <w:rsid w:val="00065337"/>
    <w:rsid w:val="00065569"/>
    <w:rsid w:val="00066D34"/>
    <w:rsid w:val="0006725F"/>
    <w:rsid w:val="00067276"/>
    <w:rsid w:val="000675DA"/>
    <w:rsid w:val="00067895"/>
    <w:rsid w:val="0007020B"/>
    <w:rsid w:val="0007148F"/>
    <w:rsid w:val="00071C43"/>
    <w:rsid w:val="000728B4"/>
    <w:rsid w:val="00072CFD"/>
    <w:rsid w:val="000734F0"/>
    <w:rsid w:val="00073E4B"/>
    <w:rsid w:val="00074516"/>
    <w:rsid w:val="000747BA"/>
    <w:rsid w:val="00075F82"/>
    <w:rsid w:val="00076752"/>
    <w:rsid w:val="00076810"/>
    <w:rsid w:val="00076B11"/>
    <w:rsid w:val="00077007"/>
    <w:rsid w:val="00077349"/>
    <w:rsid w:val="00077575"/>
    <w:rsid w:val="0007761D"/>
    <w:rsid w:val="00077B44"/>
    <w:rsid w:val="00077CA7"/>
    <w:rsid w:val="000800F0"/>
    <w:rsid w:val="00080B78"/>
    <w:rsid w:val="00080C17"/>
    <w:rsid w:val="000847AF"/>
    <w:rsid w:val="00084C2F"/>
    <w:rsid w:val="00085201"/>
    <w:rsid w:val="000860E1"/>
    <w:rsid w:val="00086D52"/>
    <w:rsid w:val="0008706C"/>
    <w:rsid w:val="00087508"/>
    <w:rsid w:val="0009022A"/>
    <w:rsid w:val="000907A9"/>
    <w:rsid w:val="00090999"/>
    <w:rsid w:val="00091777"/>
    <w:rsid w:val="00091BAE"/>
    <w:rsid w:val="00091C29"/>
    <w:rsid w:val="0009315C"/>
    <w:rsid w:val="00093858"/>
    <w:rsid w:val="000942B2"/>
    <w:rsid w:val="0009480F"/>
    <w:rsid w:val="00095ECD"/>
    <w:rsid w:val="0009672A"/>
    <w:rsid w:val="00097D5A"/>
    <w:rsid w:val="000A02FF"/>
    <w:rsid w:val="000A0316"/>
    <w:rsid w:val="000A0406"/>
    <w:rsid w:val="000A05C9"/>
    <w:rsid w:val="000A0AF0"/>
    <w:rsid w:val="000A11BE"/>
    <w:rsid w:val="000A2409"/>
    <w:rsid w:val="000A25FC"/>
    <w:rsid w:val="000A2B63"/>
    <w:rsid w:val="000A3572"/>
    <w:rsid w:val="000A3AB3"/>
    <w:rsid w:val="000A4A7E"/>
    <w:rsid w:val="000A5B15"/>
    <w:rsid w:val="000A5C5F"/>
    <w:rsid w:val="000A6337"/>
    <w:rsid w:val="000B11CB"/>
    <w:rsid w:val="000B1244"/>
    <w:rsid w:val="000B1EEF"/>
    <w:rsid w:val="000B247B"/>
    <w:rsid w:val="000B3A0F"/>
    <w:rsid w:val="000B4102"/>
    <w:rsid w:val="000B434D"/>
    <w:rsid w:val="000B51FC"/>
    <w:rsid w:val="000B655B"/>
    <w:rsid w:val="000B67DE"/>
    <w:rsid w:val="000B73DB"/>
    <w:rsid w:val="000C068C"/>
    <w:rsid w:val="000C2302"/>
    <w:rsid w:val="000C29B4"/>
    <w:rsid w:val="000C2D71"/>
    <w:rsid w:val="000C38A9"/>
    <w:rsid w:val="000C4633"/>
    <w:rsid w:val="000C4B30"/>
    <w:rsid w:val="000C602A"/>
    <w:rsid w:val="000C7205"/>
    <w:rsid w:val="000C7A34"/>
    <w:rsid w:val="000D13D0"/>
    <w:rsid w:val="000D1523"/>
    <w:rsid w:val="000D1D21"/>
    <w:rsid w:val="000D2251"/>
    <w:rsid w:val="000D2995"/>
    <w:rsid w:val="000D380F"/>
    <w:rsid w:val="000D50B2"/>
    <w:rsid w:val="000D51F1"/>
    <w:rsid w:val="000D7B56"/>
    <w:rsid w:val="000D7BB4"/>
    <w:rsid w:val="000E16AC"/>
    <w:rsid w:val="000E218C"/>
    <w:rsid w:val="000E2D4F"/>
    <w:rsid w:val="000E3C7B"/>
    <w:rsid w:val="000E3EF6"/>
    <w:rsid w:val="000E440F"/>
    <w:rsid w:val="000E53CF"/>
    <w:rsid w:val="000E635A"/>
    <w:rsid w:val="000E671C"/>
    <w:rsid w:val="000E6A08"/>
    <w:rsid w:val="000F0426"/>
    <w:rsid w:val="000F1914"/>
    <w:rsid w:val="000F2002"/>
    <w:rsid w:val="000F237F"/>
    <w:rsid w:val="000F33B0"/>
    <w:rsid w:val="000F341C"/>
    <w:rsid w:val="000F3543"/>
    <w:rsid w:val="000F3BB9"/>
    <w:rsid w:val="000F4C30"/>
    <w:rsid w:val="000F502A"/>
    <w:rsid w:val="000F58FC"/>
    <w:rsid w:val="000F5C8C"/>
    <w:rsid w:val="000F63B2"/>
    <w:rsid w:val="0010174B"/>
    <w:rsid w:val="00101E55"/>
    <w:rsid w:val="00102A77"/>
    <w:rsid w:val="00103362"/>
    <w:rsid w:val="00103B96"/>
    <w:rsid w:val="0010475E"/>
    <w:rsid w:val="00105134"/>
    <w:rsid w:val="001071BD"/>
    <w:rsid w:val="00107323"/>
    <w:rsid w:val="0010739B"/>
    <w:rsid w:val="00107964"/>
    <w:rsid w:val="00107B7A"/>
    <w:rsid w:val="001117E1"/>
    <w:rsid w:val="0011258A"/>
    <w:rsid w:val="00113424"/>
    <w:rsid w:val="00115243"/>
    <w:rsid w:val="0011584E"/>
    <w:rsid w:val="0011600F"/>
    <w:rsid w:val="00117D9F"/>
    <w:rsid w:val="00123E17"/>
    <w:rsid w:val="00124897"/>
    <w:rsid w:val="00124CC0"/>
    <w:rsid w:val="0012562B"/>
    <w:rsid w:val="0012615B"/>
    <w:rsid w:val="00126818"/>
    <w:rsid w:val="00126EC5"/>
    <w:rsid w:val="00127763"/>
    <w:rsid w:val="00130174"/>
    <w:rsid w:val="00131239"/>
    <w:rsid w:val="001328A0"/>
    <w:rsid w:val="00134A39"/>
    <w:rsid w:val="001351BF"/>
    <w:rsid w:val="00135C33"/>
    <w:rsid w:val="00135C8A"/>
    <w:rsid w:val="00136F68"/>
    <w:rsid w:val="001413C3"/>
    <w:rsid w:val="00141A1C"/>
    <w:rsid w:val="00141E21"/>
    <w:rsid w:val="00142796"/>
    <w:rsid w:val="0014298A"/>
    <w:rsid w:val="00142BD7"/>
    <w:rsid w:val="00142D4B"/>
    <w:rsid w:val="0014409E"/>
    <w:rsid w:val="001469A6"/>
    <w:rsid w:val="001469F7"/>
    <w:rsid w:val="0014784C"/>
    <w:rsid w:val="0015221B"/>
    <w:rsid w:val="001522EB"/>
    <w:rsid w:val="00152965"/>
    <w:rsid w:val="00152BDB"/>
    <w:rsid w:val="00153423"/>
    <w:rsid w:val="00153B5A"/>
    <w:rsid w:val="001545E3"/>
    <w:rsid w:val="00154819"/>
    <w:rsid w:val="00155065"/>
    <w:rsid w:val="00155896"/>
    <w:rsid w:val="00156277"/>
    <w:rsid w:val="00156AE3"/>
    <w:rsid w:val="0016047F"/>
    <w:rsid w:val="00160F6C"/>
    <w:rsid w:val="0016145C"/>
    <w:rsid w:val="00161611"/>
    <w:rsid w:val="0016258B"/>
    <w:rsid w:val="00162A4E"/>
    <w:rsid w:val="001631F3"/>
    <w:rsid w:val="0016357A"/>
    <w:rsid w:val="00163D24"/>
    <w:rsid w:val="001649E9"/>
    <w:rsid w:val="001659FD"/>
    <w:rsid w:val="001661B6"/>
    <w:rsid w:val="00166923"/>
    <w:rsid w:val="001672CF"/>
    <w:rsid w:val="00167E2D"/>
    <w:rsid w:val="00170FF8"/>
    <w:rsid w:val="001712B2"/>
    <w:rsid w:val="001712F4"/>
    <w:rsid w:val="00171D9E"/>
    <w:rsid w:val="001729CA"/>
    <w:rsid w:val="00173E19"/>
    <w:rsid w:val="00174B76"/>
    <w:rsid w:val="0017600D"/>
    <w:rsid w:val="00176887"/>
    <w:rsid w:val="00176A7D"/>
    <w:rsid w:val="00177656"/>
    <w:rsid w:val="001777EC"/>
    <w:rsid w:val="00177E98"/>
    <w:rsid w:val="00177F37"/>
    <w:rsid w:val="00180192"/>
    <w:rsid w:val="0018044F"/>
    <w:rsid w:val="00180537"/>
    <w:rsid w:val="00180E05"/>
    <w:rsid w:val="001814A7"/>
    <w:rsid w:val="001835EB"/>
    <w:rsid w:val="00184335"/>
    <w:rsid w:val="00184354"/>
    <w:rsid w:val="00186172"/>
    <w:rsid w:val="0018699B"/>
    <w:rsid w:val="0018795A"/>
    <w:rsid w:val="001915F8"/>
    <w:rsid w:val="00191894"/>
    <w:rsid w:val="001922C3"/>
    <w:rsid w:val="00192B69"/>
    <w:rsid w:val="00193C6A"/>
    <w:rsid w:val="00195DC6"/>
    <w:rsid w:val="00195E42"/>
    <w:rsid w:val="00195ECA"/>
    <w:rsid w:val="0019645B"/>
    <w:rsid w:val="00197415"/>
    <w:rsid w:val="001A04E3"/>
    <w:rsid w:val="001A0564"/>
    <w:rsid w:val="001A0583"/>
    <w:rsid w:val="001A1300"/>
    <w:rsid w:val="001A1381"/>
    <w:rsid w:val="001A14A8"/>
    <w:rsid w:val="001A18B4"/>
    <w:rsid w:val="001A1BFF"/>
    <w:rsid w:val="001A2334"/>
    <w:rsid w:val="001A2EF7"/>
    <w:rsid w:val="001A5943"/>
    <w:rsid w:val="001A5B42"/>
    <w:rsid w:val="001A7DDD"/>
    <w:rsid w:val="001B0431"/>
    <w:rsid w:val="001B0B32"/>
    <w:rsid w:val="001B0E19"/>
    <w:rsid w:val="001B0E24"/>
    <w:rsid w:val="001B1061"/>
    <w:rsid w:val="001B1ABD"/>
    <w:rsid w:val="001B1AEC"/>
    <w:rsid w:val="001B2164"/>
    <w:rsid w:val="001B244E"/>
    <w:rsid w:val="001B3433"/>
    <w:rsid w:val="001B3F6B"/>
    <w:rsid w:val="001B4AB2"/>
    <w:rsid w:val="001B53CD"/>
    <w:rsid w:val="001B739E"/>
    <w:rsid w:val="001B7DC3"/>
    <w:rsid w:val="001B7FF0"/>
    <w:rsid w:val="001C0956"/>
    <w:rsid w:val="001C2B53"/>
    <w:rsid w:val="001C2F3C"/>
    <w:rsid w:val="001C325B"/>
    <w:rsid w:val="001C4401"/>
    <w:rsid w:val="001C464A"/>
    <w:rsid w:val="001C5288"/>
    <w:rsid w:val="001C60EE"/>
    <w:rsid w:val="001C71A0"/>
    <w:rsid w:val="001D0B4D"/>
    <w:rsid w:val="001D0E7C"/>
    <w:rsid w:val="001D18F6"/>
    <w:rsid w:val="001D2231"/>
    <w:rsid w:val="001D3116"/>
    <w:rsid w:val="001D344A"/>
    <w:rsid w:val="001D4045"/>
    <w:rsid w:val="001D4238"/>
    <w:rsid w:val="001D4B16"/>
    <w:rsid w:val="001D5606"/>
    <w:rsid w:val="001D61EE"/>
    <w:rsid w:val="001D7343"/>
    <w:rsid w:val="001D73E6"/>
    <w:rsid w:val="001D73E7"/>
    <w:rsid w:val="001E075A"/>
    <w:rsid w:val="001E16A5"/>
    <w:rsid w:val="001E3F2D"/>
    <w:rsid w:val="001E45C9"/>
    <w:rsid w:val="001E4ECD"/>
    <w:rsid w:val="001E573E"/>
    <w:rsid w:val="001E5DDA"/>
    <w:rsid w:val="001E624F"/>
    <w:rsid w:val="001E6312"/>
    <w:rsid w:val="001E6507"/>
    <w:rsid w:val="001E66A5"/>
    <w:rsid w:val="001E74B7"/>
    <w:rsid w:val="001E7DE7"/>
    <w:rsid w:val="001F0090"/>
    <w:rsid w:val="001F1D28"/>
    <w:rsid w:val="001F1DE9"/>
    <w:rsid w:val="001F2F2C"/>
    <w:rsid w:val="001F3779"/>
    <w:rsid w:val="001F3B2C"/>
    <w:rsid w:val="001F4339"/>
    <w:rsid w:val="001F44F7"/>
    <w:rsid w:val="001F535B"/>
    <w:rsid w:val="001F53AB"/>
    <w:rsid w:val="001F7469"/>
    <w:rsid w:val="002014D0"/>
    <w:rsid w:val="00202D9C"/>
    <w:rsid w:val="00205508"/>
    <w:rsid w:val="002065E1"/>
    <w:rsid w:val="00206F68"/>
    <w:rsid w:val="00207E8C"/>
    <w:rsid w:val="002107B8"/>
    <w:rsid w:val="00213691"/>
    <w:rsid w:val="002140D4"/>
    <w:rsid w:val="00215C5E"/>
    <w:rsid w:val="00217EF7"/>
    <w:rsid w:val="0022076D"/>
    <w:rsid w:val="00220EB5"/>
    <w:rsid w:val="00221B8E"/>
    <w:rsid w:val="00222B5F"/>
    <w:rsid w:val="00222F4A"/>
    <w:rsid w:val="002234AA"/>
    <w:rsid w:val="0022395B"/>
    <w:rsid w:val="00223E32"/>
    <w:rsid w:val="0022431F"/>
    <w:rsid w:val="00224E17"/>
    <w:rsid w:val="0022502E"/>
    <w:rsid w:val="002250BA"/>
    <w:rsid w:val="00225CE8"/>
    <w:rsid w:val="00226861"/>
    <w:rsid w:val="00226D55"/>
    <w:rsid w:val="002313DF"/>
    <w:rsid w:val="0023207B"/>
    <w:rsid w:val="0023232C"/>
    <w:rsid w:val="002335B8"/>
    <w:rsid w:val="00235AD0"/>
    <w:rsid w:val="00236D43"/>
    <w:rsid w:val="00236E23"/>
    <w:rsid w:val="00236FC9"/>
    <w:rsid w:val="00240523"/>
    <w:rsid w:val="00240A24"/>
    <w:rsid w:val="00240B30"/>
    <w:rsid w:val="00241026"/>
    <w:rsid w:val="002417E8"/>
    <w:rsid w:val="00241993"/>
    <w:rsid w:val="0024206A"/>
    <w:rsid w:val="002436E7"/>
    <w:rsid w:val="002438AA"/>
    <w:rsid w:val="002444A2"/>
    <w:rsid w:val="00244773"/>
    <w:rsid w:val="00246F0C"/>
    <w:rsid w:val="0025062C"/>
    <w:rsid w:val="00250B87"/>
    <w:rsid w:val="0025106A"/>
    <w:rsid w:val="002520F4"/>
    <w:rsid w:val="00252B0E"/>
    <w:rsid w:val="00253202"/>
    <w:rsid w:val="002536F7"/>
    <w:rsid w:val="00253F39"/>
    <w:rsid w:val="002540E5"/>
    <w:rsid w:val="0025467E"/>
    <w:rsid w:val="002547C3"/>
    <w:rsid w:val="00255F0E"/>
    <w:rsid w:val="00255F69"/>
    <w:rsid w:val="00256282"/>
    <w:rsid w:val="002569F3"/>
    <w:rsid w:val="00257C1A"/>
    <w:rsid w:val="00261878"/>
    <w:rsid w:val="00261B14"/>
    <w:rsid w:val="00262364"/>
    <w:rsid w:val="0026260A"/>
    <w:rsid w:val="00262D6D"/>
    <w:rsid w:val="002635F2"/>
    <w:rsid w:val="00263683"/>
    <w:rsid w:val="00263DD8"/>
    <w:rsid w:val="0026424F"/>
    <w:rsid w:val="0026431E"/>
    <w:rsid w:val="0026496D"/>
    <w:rsid w:val="002649A2"/>
    <w:rsid w:val="0026610E"/>
    <w:rsid w:val="00266AC6"/>
    <w:rsid w:val="002677B1"/>
    <w:rsid w:val="002712B9"/>
    <w:rsid w:val="0027225E"/>
    <w:rsid w:val="00272AB5"/>
    <w:rsid w:val="00273CB5"/>
    <w:rsid w:val="00274E90"/>
    <w:rsid w:val="00275226"/>
    <w:rsid w:val="00275C5B"/>
    <w:rsid w:val="00276F8D"/>
    <w:rsid w:val="0027781C"/>
    <w:rsid w:val="00280075"/>
    <w:rsid w:val="00281C5A"/>
    <w:rsid w:val="002822C7"/>
    <w:rsid w:val="00282E26"/>
    <w:rsid w:val="00283E1C"/>
    <w:rsid w:val="002847B1"/>
    <w:rsid w:val="00284FF0"/>
    <w:rsid w:val="00285183"/>
    <w:rsid w:val="00285289"/>
    <w:rsid w:val="00285F69"/>
    <w:rsid w:val="0028600A"/>
    <w:rsid w:val="00286DC6"/>
    <w:rsid w:val="002873D3"/>
    <w:rsid w:val="00291A2D"/>
    <w:rsid w:val="00291B98"/>
    <w:rsid w:val="0029258A"/>
    <w:rsid w:val="00294283"/>
    <w:rsid w:val="00294652"/>
    <w:rsid w:val="002949A6"/>
    <w:rsid w:val="00295834"/>
    <w:rsid w:val="00296D6C"/>
    <w:rsid w:val="00296FBE"/>
    <w:rsid w:val="0029799D"/>
    <w:rsid w:val="00297D64"/>
    <w:rsid w:val="002A1314"/>
    <w:rsid w:val="002A2704"/>
    <w:rsid w:val="002A3163"/>
    <w:rsid w:val="002A3757"/>
    <w:rsid w:val="002A3949"/>
    <w:rsid w:val="002A3D31"/>
    <w:rsid w:val="002A4052"/>
    <w:rsid w:val="002A46B6"/>
    <w:rsid w:val="002A4B3B"/>
    <w:rsid w:val="002A4BEB"/>
    <w:rsid w:val="002A5C3E"/>
    <w:rsid w:val="002A6089"/>
    <w:rsid w:val="002A6B52"/>
    <w:rsid w:val="002A7C52"/>
    <w:rsid w:val="002A7DDD"/>
    <w:rsid w:val="002B1A5C"/>
    <w:rsid w:val="002B1C75"/>
    <w:rsid w:val="002B226E"/>
    <w:rsid w:val="002B3836"/>
    <w:rsid w:val="002B3E7C"/>
    <w:rsid w:val="002B47AA"/>
    <w:rsid w:val="002B4885"/>
    <w:rsid w:val="002B5E7B"/>
    <w:rsid w:val="002B7533"/>
    <w:rsid w:val="002B78E3"/>
    <w:rsid w:val="002C0303"/>
    <w:rsid w:val="002C1B36"/>
    <w:rsid w:val="002C358C"/>
    <w:rsid w:val="002C473A"/>
    <w:rsid w:val="002C4FEB"/>
    <w:rsid w:val="002C57A8"/>
    <w:rsid w:val="002C5B48"/>
    <w:rsid w:val="002C6048"/>
    <w:rsid w:val="002C68D3"/>
    <w:rsid w:val="002C6DF2"/>
    <w:rsid w:val="002C6FA7"/>
    <w:rsid w:val="002C7449"/>
    <w:rsid w:val="002C7E13"/>
    <w:rsid w:val="002D0E6F"/>
    <w:rsid w:val="002D1191"/>
    <w:rsid w:val="002D149B"/>
    <w:rsid w:val="002D15BE"/>
    <w:rsid w:val="002D250F"/>
    <w:rsid w:val="002D2678"/>
    <w:rsid w:val="002D3BF8"/>
    <w:rsid w:val="002D5798"/>
    <w:rsid w:val="002D5CDB"/>
    <w:rsid w:val="002D5EE1"/>
    <w:rsid w:val="002D6679"/>
    <w:rsid w:val="002D67B1"/>
    <w:rsid w:val="002D6E9A"/>
    <w:rsid w:val="002D7EEC"/>
    <w:rsid w:val="002E077C"/>
    <w:rsid w:val="002E2668"/>
    <w:rsid w:val="002E282C"/>
    <w:rsid w:val="002E287A"/>
    <w:rsid w:val="002E2915"/>
    <w:rsid w:val="002E3400"/>
    <w:rsid w:val="002E4A00"/>
    <w:rsid w:val="002E4DAD"/>
    <w:rsid w:val="002E553D"/>
    <w:rsid w:val="002E59B3"/>
    <w:rsid w:val="002E607D"/>
    <w:rsid w:val="002E6579"/>
    <w:rsid w:val="002E680A"/>
    <w:rsid w:val="002E68D6"/>
    <w:rsid w:val="002E6FE5"/>
    <w:rsid w:val="002E7AED"/>
    <w:rsid w:val="002F1254"/>
    <w:rsid w:val="002F347F"/>
    <w:rsid w:val="002F39DE"/>
    <w:rsid w:val="002F4557"/>
    <w:rsid w:val="002F4583"/>
    <w:rsid w:val="002F5025"/>
    <w:rsid w:val="002F579A"/>
    <w:rsid w:val="002F6F1C"/>
    <w:rsid w:val="002F7B0F"/>
    <w:rsid w:val="002F7C32"/>
    <w:rsid w:val="002F7F8E"/>
    <w:rsid w:val="00300567"/>
    <w:rsid w:val="00300594"/>
    <w:rsid w:val="00300C94"/>
    <w:rsid w:val="00301916"/>
    <w:rsid w:val="003021AD"/>
    <w:rsid w:val="003028C2"/>
    <w:rsid w:val="00305550"/>
    <w:rsid w:val="00305CFA"/>
    <w:rsid w:val="003064D4"/>
    <w:rsid w:val="00307B5A"/>
    <w:rsid w:val="003100A9"/>
    <w:rsid w:val="00310137"/>
    <w:rsid w:val="0031108A"/>
    <w:rsid w:val="003117CC"/>
    <w:rsid w:val="00311DED"/>
    <w:rsid w:val="0031383E"/>
    <w:rsid w:val="003140B9"/>
    <w:rsid w:val="00315162"/>
    <w:rsid w:val="00316B2B"/>
    <w:rsid w:val="0032081C"/>
    <w:rsid w:val="0032517B"/>
    <w:rsid w:val="003251EF"/>
    <w:rsid w:val="003256E3"/>
    <w:rsid w:val="00326111"/>
    <w:rsid w:val="00326D84"/>
    <w:rsid w:val="00327133"/>
    <w:rsid w:val="00327339"/>
    <w:rsid w:val="0032791C"/>
    <w:rsid w:val="00327DC5"/>
    <w:rsid w:val="00331334"/>
    <w:rsid w:val="00331FE4"/>
    <w:rsid w:val="0033213C"/>
    <w:rsid w:val="00333F77"/>
    <w:rsid w:val="0033501B"/>
    <w:rsid w:val="0033550C"/>
    <w:rsid w:val="00335E1A"/>
    <w:rsid w:val="00336B35"/>
    <w:rsid w:val="00336BED"/>
    <w:rsid w:val="0034112E"/>
    <w:rsid w:val="003417DB"/>
    <w:rsid w:val="003428D9"/>
    <w:rsid w:val="00343401"/>
    <w:rsid w:val="00343E56"/>
    <w:rsid w:val="00346247"/>
    <w:rsid w:val="00346E1D"/>
    <w:rsid w:val="00347549"/>
    <w:rsid w:val="00347C0D"/>
    <w:rsid w:val="0035031D"/>
    <w:rsid w:val="00351122"/>
    <w:rsid w:val="00351718"/>
    <w:rsid w:val="00351E81"/>
    <w:rsid w:val="0035210F"/>
    <w:rsid w:val="003529FA"/>
    <w:rsid w:val="00352B7D"/>
    <w:rsid w:val="00352BE0"/>
    <w:rsid w:val="00352DE3"/>
    <w:rsid w:val="0035424F"/>
    <w:rsid w:val="00354966"/>
    <w:rsid w:val="00355780"/>
    <w:rsid w:val="0035587D"/>
    <w:rsid w:val="00356C4E"/>
    <w:rsid w:val="00356E1C"/>
    <w:rsid w:val="0036036C"/>
    <w:rsid w:val="00360C25"/>
    <w:rsid w:val="00361051"/>
    <w:rsid w:val="00361F52"/>
    <w:rsid w:val="003644F1"/>
    <w:rsid w:val="00367940"/>
    <w:rsid w:val="00367BD2"/>
    <w:rsid w:val="003704E7"/>
    <w:rsid w:val="00370A4E"/>
    <w:rsid w:val="00370C3A"/>
    <w:rsid w:val="003718A2"/>
    <w:rsid w:val="00371E50"/>
    <w:rsid w:val="003741B7"/>
    <w:rsid w:val="003769CE"/>
    <w:rsid w:val="00376B92"/>
    <w:rsid w:val="00380AAE"/>
    <w:rsid w:val="003814DE"/>
    <w:rsid w:val="00382703"/>
    <w:rsid w:val="0038351E"/>
    <w:rsid w:val="003838EE"/>
    <w:rsid w:val="0038406A"/>
    <w:rsid w:val="00384B37"/>
    <w:rsid w:val="00384E42"/>
    <w:rsid w:val="00385538"/>
    <w:rsid w:val="003869D2"/>
    <w:rsid w:val="00386A37"/>
    <w:rsid w:val="00386F88"/>
    <w:rsid w:val="00387D70"/>
    <w:rsid w:val="003915B2"/>
    <w:rsid w:val="003931CE"/>
    <w:rsid w:val="0039383B"/>
    <w:rsid w:val="003938A6"/>
    <w:rsid w:val="00393CB6"/>
    <w:rsid w:val="00394143"/>
    <w:rsid w:val="00394227"/>
    <w:rsid w:val="00394C85"/>
    <w:rsid w:val="0039584B"/>
    <w:rsid w:val="00395D28"/>
    <w:rsid w:val="00396654"/>
    <w:rsid w:val="00397650"/>
    <w:rsid w:val="00397E56"/>
    <w:rsid w:val="00397FDB"/>
    <w:rsid w:val="003A0C82"/>
    <w:rsid w:val="003A0EDA"/>
    <w:rsid w:val="003A197F"/>
    <w:rsid w:val="003A19EC"/>
    <w:rsid w:val="003A22BC"/>
    <w:rsid w:val="003A3763"/>
    <w:rsid w:val="003A4143"/>
    <w:rsid w:val="003A420D"/>
    <w:rsid w:val="003A46CF"/>
    <w:rsid w:val="003A47FC"/>
    <w:rsid w:val="003A4E06"/>
    <w:rsid w:val="003A60C2"/>
    <w:rsid w:val="003A65E8"/>
    <w:rsid w:val="003B0381"/>
    <w:rsid w:val="003B0695"/>
    <w:rsid w:val="003B07DF"/>
    <w:rsid w:val="003B0884"/>
    <w:rsid w:val="003B1852"/>
    <w:rsid w:val="003B26B8"/>
    <w:rsid w:val="003B5A9D"/>
    <w:rsid w:val="003B707B"/>
    <w:rsid w:val="003B7A64"/>
    <w:rsid w:val="003C00FA"/>
    <w:rsid w:val="003C0387"/>
    <w:rsid w:val="003C0A7F"/>
    <w:rsid w:val="003C229D"/>
    <w:rsid w:val="003C2C3C"/>
    <w:rsid w:val="003C2DFD"/>
    <w:rsid w:val="003C2E10"/>
    <w:rsid w:val="003C370C"/>
    <w:rsid w:val="003C3DF3"/>
    <w:rsid w:val="003C4349"/>
    <w:rsid w:val="003C519A"/>
    <w:rsid w:val="003C5204"/>
    <w:rsid w:val="003C53BD"/>
    <w:rsid w:val="003C594A"/>
    <w:rsid w:val="003C60B6"/>
    <w:rsid w:val="003C6EF8"/>
    <w:rsid w:val="003D1619"/>
    <w:rsid w:val="003D16E2"/>
    <w:rsid w:val="003D2D54"/>
    <w:rsid w:val="003D4B26"/>
    <w:rsid w:val="003D4B6C"/>
    <w:rsid w:val="003D52A7"/>
    <w:rsid w:val="003D536B"/>
    <w:rsid w:val="003D55B1"/>
    <w:rsid w:val="003D673D"/>
    <w:rsid w:val="003D7FF0"/>
    <w:rsid w:val="003E032D"/>
    <w:rsid w:val="003E1BD8"/>
    <w:rsid w:val="003E2E88"/>
    <w:rsid w:val="003E39FE"/>
    <w:rsid w:val="003E5ED6"/>
    <w:rsid w:val="003E73F7"/>
    <w:rsid w:val="003E7460"/>
    <w:rsid w:val="003E7B8E"/>
    <w:rsid w:val="003F0817"/>
    <w:rsid w:val="003F1180"/>
    <w:rsid w:val="003F20BB"/>
    <w:rsid w:val="003F2700"/>
    <w:rsid w:val="003F5955"/>
    <w:rsid w:val="003F5DA5"/>
    <w:rsid w:val="00400687"/>
    <w:rsid w:val="00400F03"/>
    <w:rsid w:val="00401199"/>
    <w:rsid w:val="004013C0"/>
    <w:rsid w:val="004016FC"/>
    <w:rsid w:val="00402C12"/>
    <w:rsid w:val="004047C8"/>
    <w:rsid w:val="00405128"/>
    <w:rsid w:val="004055C2"/>
    <w:rsid w:val="00407E6B"/>
    <w:rsid w:val="00411E28"/>
    <w:rsid w:val="0041219E"/>
    <w:rsid w:val="00414223"/>
    <w:rsid w:val="00414F62"/>
    <w:rsid w:val="004150FA"/>
    <w:rsid w:val="00415AEE"/>
    <w:rsid w:val="004165D6"/>
    <w:rsid w:val="00417F93"/>
    <w:rsid w:val="00420269"/>
    <w:rsid w:val="00420C02"/>
    <w:rsid w:val="004216B1"/>
    <w:rsid w:val="00421866"/>
    <w:rsid w:val="00421BC2"/>
    <w:rsid w:val="00423F59"/>
    <w:rsid w:val="004242B3"/>
    <w:rsid w:val="00424ECE"/>
    <w:rsid w:val="00424F20"/>
    <w:rsid w:val="00424FEA"/>
    <w:rsid w:val="00425861"/>
    <w:rsid w:val="00425B39"/>
    <w:rsid w:val="0042751E"/>
    <w:rsid w:val="004278E9"/>
    <w:rsid w:val="004301DE"/>
    <w:rsid w:val="00430981"/>
    <w:rsid w:val="00430FA2"/>
    <w:rsid w:val="004323B5"/>
    <w:rsid w:val="00432B9A"/>
    <w:rsid w:val="004338B1"/>
    <w:rsid w:val="004340A8"/>
    <w:rsid w:val="00435566"/>
    <w:rsid w:val="00435C39"/>
    <w:rsid w:val="0043659B"/>
    <w:rsid w:val="00436DCA"/>
    <w:rsid w:val="00436E11"/>
    <w:rsid w:val="00437AF3"/>
    <w:rsid w:val="004430B9"/>
    <w:rsid w:val="00443759"/>
    <w:rsid w:val="004438AE"/>
    <w:rsid w:val="00443D9C"/>
    <w:rsid w:val="00444F2E"/>
    <w:rsid w:val="0044501A"/>
    <w:rsid w:val="00445454"/>
    <w:rsid w:val="00445E50"/>
    <w:rsid w:val="00446341"/>
    <w:rsid w:val="00446ACC"/>
    <w:rsid w:val="00450254"/>
    <w:rsid w:val="0045069A"/>
    <w:rsid w:val="004511AA"/>
    <w:rsid w:val="00451418"/>
    <w:rsid w:val="00453066"/>
    <w:rsid w:val="00453E67"/>
    <w:rsid w:val="0045462C"/>
    <w:rsid w:val="0045491C"/>
    <w:rsid w:val="004549DE"/>
    <w:rsid w:val="00454FD8"/>
    <w:rsid w:val="00455B48"/>
    <w:rsid w:val="00457349"/>
    <w:rsid w:val="004577BC"/>
    <w:rsid w:val="00460647"/>
    <w:rsid w:val="00460F2E"/>
    <w:rsid w:val="00461EB7"/>
    <w:rsid w:val="00461F51"/>
    <w:rsid w:val="00463764"/>
    <w:rsid w:val="00463B51"/>
    <w:rsid w:val="0046496D"/>
    <w:rsid w:val="0046580E"/>
    <w:rsid w:val="004665A5"/>
    <w:rsid w:val="004667D0"/>
    <w:rsid w:val="00467146"/>
    <w:rsid w:val="00467620"/>
    <w:rsid w:val="00467C3C"/>
    <w:rsid w:val="00470E6A"/>
    <w:rsid w:val="00470E6C"/>
    <w:rsid w:val="00471596"/>
    <w:rsid w:val="0047193A"/>
    <w:rsid w:val="0047251C"/>
    <w:rsid w:val="00473098"/>
    <w:rsid w:val="004736E9"/>
    <w:rsid w:val="00475B34"/>
    <w:rsid w:val="00475C41"/>
    <w:rsid w:val="00476B75"/>
    <w:rsid w:val="00477584"/>
    <w:rsid w:val="00477F2E"/>
    <w:rsid w:val="00482519"/>
    <w:rsid w:val="0048276B"/>
    <w:rsid w:val="00483D68"/>
    <w:rsid w:val="004844D6"/>
    <w:rsid w:val="00486996"/>
    <w:rsid w:val="00486B43"/>
    <w:rsid w:val="00487073"/>
    <w:rsid w:val="004874A0"/>
    <w:rsid w:val="004876CE"/>
    <w:rsid w:val="004876F6"/>
    <w:rsid w:val="00487D61"/>
    <w:rsid w:val="00490343"/>
    <w:rsid w:val="004904E0"/>
    <w:rsid w:val="00490FBF"/>
    <w:rsid w:val="00491FAA"/>
    <w:rsid w:val="00493268"/>
    <w:rsid w:val="004942B7"/>
    <w:rsid w:val="0049447F"/>
    <w:rsid w:val="00494B73"/>
    <w:rsid w:val="00494C45"/>
    <w:rsid w:val="00494CE6"/>
    <w:rsid w:val="0049647B"/>
    <w:rsid w:val="0049673A"/>
    <w:rsid w:val="00496DF4"/>
    <w:rsid w:val="00496FB4"/>
    <w:rsid w:val="0049766E"/>
    <w:rsid w:val="004A0AFC"/>
    <w:rsid w:val="004A148E"/>
    <w:rsid w:val="004A15FC"/>
    <w:rsid w:val="004A1703"/>
    <w:rsid w:val="004A1E79"/>
    <w:rsid w:val="004A2023"/>
    <w:rsid w:val="004A4419"/>
    <w:rsid w:val="004A6901"/>
    <w:rsid w:val="004A7DFA"/>
    <w:rsid w:val="004B06B3"/>
    <w:rsid w:val="004B2506"/>
    <w:rsid w:val="004B28A4"/>
    <w:rsid w:val="004B28FE"/>
    <w:rsid w:val="004B30FF"/>
    <w:rsid w:val="004B3520"/>
    <w:rsid w:val="004B47C6"/>
    <w:rsid w:val="004B62B8"/>
    <w:rsid w:val="004B6491"/>
    <w:rsid w:val="004B67D5"/>
    <w:rsid w:val="004B6FC9"/>
    <w:rsid w:val="004B7430"/>
    <w:rsid w:val="004C01BC"/>
    <w:rsid w:val="004C058C"/>
    <w:rsid w:val="004C06AC"/>
    <w:rsid w:val="004C0E45"/>
    <w:rsid w:val="004C1390"/>
    <w:rsid w:val="004C1657"/>
    <w:rsid w:val="004C1F18"/>
    <w:rsid w:val="004C234F"/>
    <w:rsid w:val="004C2DBE"/>
    <w:rsid w:val="004C3445"/>
    <w:rsid w:val="004C35BF"/>
    <w:rsid w:val="004C3875"/>
    <w:rsid w:val="004C416C"/>
    <w:rsid w:val="004C45E4"/>
    <w:rsid w:val="004C4DA2"/>
    <w:rsid w:val="004C4FF9"/>
    <w:rsid w:val="004C7063"/>
    <w:rsid w:val="004C77A8"/>
    <w:rsid w:val="004D0835"/>
    <w:rsid w:val="004D1AE9"/>
    <w:rsid w:val="004D1F31"/>
    <w:rsid w:val="004D2AD6"/>
    <w:rsid w:val="004D3189"/>
    <w:rsid w:val="004D4648"/>
    <w:rsid w:val="004D4D52"/>
    <w:rsid w:val="004D4DB9"/>
    <w:rsid w:val="004D6767"/>
    <w:rsid w:val="004D718A"/>
    <w:rsid w:val="004D7D0A"/>
    <w:rsid w:val="004E01FD"/>
    <w:rsid w:val="004E07D4"/>
    <w:rsid w:val="004E132D"/>
    <w:rsid w:val="004E2649"/>
    <w:rsid w:val="004E32E6"/>
    <w:rsid w:val="004E3505"/>
    <w:rsid w:val="004E3ACA"/>
    <w:rsid w:val="004E3CA3"/>
    <w:rsid w:val="004E43C8"/>
    <w:rsid w:val="004E606F"/>
    <w:rsid w:val="004E6892"/>
    <w:rsid w:val="004F0031"/>
    <w:rsid w:val="004F0133"/>
    <w:rsid w:val="004F0B06"/>
    <w:rsid w:val="004F1C8D"/>
    <w:rsid w:val="004F491C"/>
    <w:rsid w:val="004F4E95"/>
    <w:rsid w:val="004F6DBE"/>
    <w:rsid w:val="004F7652"/>
    <w:rsid w:val="004F771D"/>
    <w:rsid w:val="004F7D9D"/>
    <w:rsid w:val="00501A06"/>
    <w:rsid w:val="005021DC"/>
    <w:rsid w:val="005028C8"/>
    <w:rsid w:val="005029EE"/>
    <w:rsid w:val="00502A57"/>
    <w:rsid w:val="00503252"/>
    <w:rsid w:val="0050405C"/>
    <w:rsid w:val="005042DD"/>
    <w:rsid w:val="00504E77"/>
    <w:rsid w:val="00505E48"/>
    <w:rsid w:val="00506AF2"/>
    <w:rsid w:val="00506CA1"/>
    <w:rsid w:val="00507348"/>
    <w:rsid w:val="00510785"/>
    <w:rsid w:val="00510C58"/>
    <w:rsid w:val="00513294"/>
    <w:rsid w:val="005145F7"/>
    <w:rsid w:val="005148B1"/>
    <w:rsid w:val="005153C2"/>
    <w:rsid w:val="0051588E"/>
    <w:rsid w:val="0052347A"/>
    <w:rsid w:val="00523674"/>
    <w:rsid w:val="00524804"/>
    <w:rsid w:val="005263DE"/>
    <w:rsid w:val="00526765"/>
    <w:rsid w:val="00526C92"/>
    <w:rsid w:val="0053009C"/>
    <w:rsid w:val="00530E69"/>
    <w:rsid w:val="00531049"/>
    <w:rsid w:val="00533B61"/>
    <w:rsid w:val="00533FBD"/>
    <w:rsid w:val="005368FC"/>
    <w:rsid w:val="00536B04"/>
    <w:rsid w:val="005379F6"/>
    <w:rsid w:val="00541785"/>
    <w:rsid w:val="00541AE0"/>
    <w:rsid w:val="0054437F"/>
    <w:rsid w:val="00545EA0"/>
    <w:rsid w:val="005463F0"/>
    <w:rsid w:val="00546410"/>
    <w:rsid w:val="00546AC7"/>
    <w:rsid w:val="00547F28"/>
    <w:rsid w:val="00550BBB"/>
    <w:rsid w:val="00551F9E"/>
    <w:rsid w:val="00552781"/>
    <w:rsid w:val="00552AC0"/>
    <w:rsid w:val="00552C07"/>
    <w:rsid w:val="0055381A"/>
    <w:rsid w:val="005542D1"/>
    <w:rsid w:val="00555633"/>
    <w:rsid w:val="00556EAE"/>
    <w:rsid w:val="00557363"/>
    <w:rsid w:val="0055764D"/>
    <w:rsid w:val="005615E0"/>
    <w:rsid w:val="00561BDC"/>
    <w:rsid w:val="00561FAD"/>
    <w:rsid w:val="00563C12"/>
    <w:rsid w:val="0056466C"/>
    <w:rsid w:val="00564D80"/>
    <w:rsid w:val="005652BA"/>
    <w:rsid w:val="005659AE"/>
    <w:rsid w:val="005662CD"/>
    <w:rsid w:val="005664AD"/>
    <w:rsid w:val="00566EE5"/>
    <w:rsid w:val="00567265"/>
    <w:rsid w:val="00567987"/>
    <w:rsid w:val="00567EF7"/>
    <w:rsid w:val="00570088"/>
    <w:rsid w:val="005719A6"/>
    <w:rsid w:val="005725DD"/>
    <w:rsid w:val="00572725"/>
    <w:rsid w:val="00572866"/>
    <w:rsid w:val="00572D3F"/>
    <w:rsid w:val="00572E38"/>
    <w:rsid w:val="00573282"/>
    <w:rsid w:val="005749F4"/>
    <w:rsid w:val="0057502A"/>
    <w:rsid w:val="005762AD"/>
    <w:rsid w:val="0057662E"/>
    <w:rsid w:val="005768A5"/>
    <w:rsid w:val="00576DE7"/>
    <w:rsid w:val="00582BB3"/>
    <w:rsid w:val="005856EE"/>
    <w:rsid w:val="0059083D"/>
    <w:rsid w:val="005911E3"/>
    <w:rsid w:val="00591282"/>
    <w:rsid w:val="005926A8"/>
    <w:rsid w:val="00592ADB"/>
    <w:rsid w:val="00592FEF"/>
    <w:rsid w:val="0059322D"/>
    <w:rsid w:val="005938DB"/>
    <w:rsid w:val="00593F0D"/>
    <w:rsid w:val="00593F37"/>
    <w:rsid w:val="0059412F"/>
    <w:rsid w:val="00594654"/>
    <w:rsid w:val="00594946"/>
    <w:rsid w:val="00594954"/>
    <w:rsid w:val="005950D2"/>
    <w:rsid w:val="0059556F"/>
    <w:rsid w:val="0059567E"/>
    <w:rsid w:val="005956AA"/>
    <w:rsid w:val="00595C60"/>
    <w:rsid w:val="00596485"/>
    <w:rsid w:val="005964F6"/>
    <w:rsid w:val="005A000D"/>
    <w:rsid w:val="005A044D"/>
    <w:rsid w:val="005A0593"/>
    <w:rsid w:val="005A07BD"/>
    <w:rsid w:val="005A0C92"/>
    <w:rsid w:val="005A269E"/>
    <w:rsid w:val="005A27CA"/>
    <w:rsid w:val="005A280E"/>
    <w:rsid w:val="005A471B"/>
    <w:rsid w:val="005A4B2A"/>
    <w:rsid w:val="005A5D57"/>
    <w:rsid w:val="005A6AD3"/>
    <w:rsid w:val="005A763A"/>
    <w:rsid w:val="005B00F5"/>
    <w:rsid w:val="005B0583"/>
    <w:rsid w:val="005B0DEA"/>
    <w:rsid w:val="005B2A51"/>
    <w:rsid w:val="005B2BBF"/>
    <w:rsid w:val="005B2F99"/>
    <w:rsid w:val="005B37AF"/>
    <w:rsid w:val="005B5427"/>
    <w:rsid w:val="005B5666"/>
    <w:rsid w:val="005B59DF"/>
    <w:rsid w:val="005B60DE"/>
    <w:rsid w:val="005B7CE6"/>
    <w:rsid w:val="005C04FF"/>
    <w:rsid w:val="005C0CBE"/>
    <w:rsid w:val="005C0CC5"/>
    <w:rsid w:val="005C1107"/>
    <w:rsid w:val="005C159A"/>
    <w:rsid w:val="005C2C04"/>
    <w:rsid w:val="005C379D"/>
    <w:rsid w:val="005C3A48"/>
    <w:rsid w:val="005C3CE3"/>
    <w:rsid w:val="005C4011"/>
    <w:rsid w:val="005C4D39"/>
    <w:rsid w:val="005C4DB9"/>
    <w:rsid w:val="005C50A7"/>
    <w:rsid w:val="005C5685"/>
    <w:rsid w:val="005C58F0"/>
    <w:rsid w:val="005C5CB7"/>
    <w:rsid w:val="005C737B"/>
    <w:rsid w:val="005C74E2"/>
    <w:rsid w:val="005C796C"/>
    <w:rsid w:val="005D051A"/>
    <w:rsid w:val="005D0E13"/>
    <w:rsid w:val="005D16A1"/>
    <w:rsid w:val="005D3388"/>
    <w:rsid w:val="005D45E8"/>
    <w:rsid w:val="005D4DB5"/>
    <w:rsid w:val="005D5206"/>
    <w:rsid w:val="005D55BC"/>
    <w:rsid w:val="005D6354"/>
    <w:rsid w:val="005D73FD"/>
    <w:rsid w:val="005E1CBF"/>
    <w:rsid w:val="005E29E0"/>
    <w:rsid w:val="005E3091"/>
    <w:rsid w:val="005E3601"/>
    <w:rsid w:val="005E387D"/>
    <w:rsid w:val="005E3F2C"/>
    <w:rsid w:val="005E4FB0"/>
    <w:rsid w:val="005E6175"/>
    <w:rsid w:val="005E6600"/>
    <w:rsid w:val="005E6871"/>
    <w:rsid w:val="005E6FD3"/>
    <w:rsid w:val="005E79A8"/>
    <w:rsid w:val="005F0F90"/>
    <w:rsid w:val="005F1E10"/>
    <w:rsid w:val="005F2F78"/>
    <w:rsid w:val="005F36B0"/>
    <w:rsid w:val="005F3E2F"/>
    <w:rsid w:val="005F4359"/>
    <w:rsid w:val="005F4486"/>
    <w:rsid w:val="005F5FE4"/>
    <w:rsid w:val="005F7479"/>
    <w:rsid w:val="005F7B56"/>
    <w:rsid w:val="00600179"/>
    <w:rsid w:val="00601CFD"/>
    <w:rsid w:val="00602723"/>
    <w:rsid w:val="00602860"/>
    <w:rsid w:val="0060367D"/>
    <w:rsid w:val="00603B3F"/>
    <w:rsid w:val="00603C44"/>
    <w:rsid w:val="006051F7"/>
    <w:rsid w:val="00605224"/>
    <w:rsid w:val="00605295"/>
    <w:rsid w:val="00606046"/>
    <w:rsid w:val="0060625D"/>
    <w:rsid w:val="006064AB"/>
    <w:rsid w:val="00606672"/>
    <w:rsid w:val="00606AE3"/>
    <w:rsid w:val="00606D14"/>
    <w:rsid w:val="00607DE3"/>
    <w:rsid w:val="00607FE7"/>
    <w:rsid w:val="0061067E"/>
    <w:rsid w:val="00610B7B"/>
    <w:rsid w:val="0061181E"/>
    <w:rsid w:val="006121E9"/>
    <w:rsid w:val="006130F3"/>
    <w:rsid w:val="00613A1D"/>
    <w:rsid w:val="006158FB"/>
    <w:rsid w:val="00615A35"/>
    <w:rsid w:val="006168A4"/>
    <w:rsid w:val="006168AA"/>
    <w:rsid w:val="0061797E"/>
    <w:rsid w:val="006206D7"/>
    <w:rsid w:val="00621CA2"/>
    <w:rsid w:val="0062236B"/>
    <w:rsid w:val="00623552"/>
    <w:rsid w:val="00624579"/>
    <w:rsid w:val="00624787"/>
    <w:rsid w:val="00624C97"/>
    <w:rsid w:val="0062568D"/>
    <w:rsid w:val="006265BD"/>
    <w:rsid w:val="00626DB3"/>
    <w:rsid w:val="0062758A"/>
    <w:rsid w:val="006316F2"/>
    <w:rsid w:val="00634920"/>
    <w:rsid w:val="00634A96"/>
    <w:rsid w:val="0063537E"/>
    <w:rsid w:val="00637FE4"/>
    <w:rsid w:val="00641801"/>
    <w:rsid w:val="00641A49"/>
    <w:rsid w:val="0064206D"/>
    <w:rsid w:val="006434D7"/>
    <w:rsid w:val="00643590"/>
    <w:rsid w:val="00643C96"/>
    <w:rsid w:val="00644B63"/>
    <w:rsid w:val="00644E8D"/>
    <w:rsid w:val="0064542C"/>
    <w:rsid w:val="00646462"/>
    <w:rsid w:val="00646A8C"/>
    <w:rsid w:val="006475B9"/>
    <w:rsid w:val="00651EB6"/>
    <w:rsid w:val="00654662"/>
    <w:rsid w:val="006546DF"/>
    <w:rsid w:val="00654BE9"/>
    <w:rsid w:val="00655E7B"/>
    <w:rsid w:val="0065760B"/>
    <w:rsid w:val="00657DE6"/>
    <w:rsid w:val="00661262"/>
    <w:rsid w:val="00661352"/>
    <w:rsid w:val="006613D8"/>
    <w:rsid w:val="00661C2C"/>
    <w:rsid w:val="006626DA"/>
    <w:rsid w:val="006628E3"/>
    <w:rsid w:val="00663203"/>
    <w:rsid w:val="006636FE"/>
    <w:rsid w:val="00664060"/>
    <w:rsid w:val="0066411E"/>
    <w:rsid w:val="00664142"/>
    <w:rsid w:val="00665163"/>
    <w:rsid w:val="006655A5"/>
    <w:rsid w:val="00665B96"/>
    <w:rsid w:val="0066612E"/>
    <w:rsid w:val="00667B90"/>
    <w:rsid w:val="0067183A"/>
    <w:rsid w:val="006718DB"/>
    <w:rsid w:val="0067211F"/>
    <w:rsid w:val="0067222C"/>
    <w:rsid w:val="0067392F"/>
    <w:rsid w:val="00674A2E"/>
    <w:rsid w:val="006758A9"/>
    <w:rsid w:val="006767C1"/>
    <w:rsid w:val="00676BF1"/>
    <w:rsid w:val="00680396"/>
    <w:rsid w:val="006812F2"/>
    <w:rsid w:val="006814DB"/>
    <w:rsid w:val="006815A4"/>
    <w:rsid w:val="006816E4"/>
    <w:rsid w:val="00681F7C"/>
    <w:rsid w:val="00683866"/>
    <w:rsid w:val="00683D49"/>
    <w:rsid w:val="0068589E"/>
    <w:rsid w:val="00687444"/>
    <w:rsid w:val="00687A3B"/>
    <w:rsid w:val="0069057A"/>
    <w:rsid w:val="00690853"/>
    <w:rsid w:val="006911A5"/>
    <w:rsid w:val="006917B3"/>
    <w:rsid w:val="006929C5"/>
    <w:rsid w:val="00692C80"/>
    <w:rsid w:val="00693835"/>
    <w:rsid w:val="00694109"/>
    <w:rsid w:val="00694445"/>
    <w:rsid w:val="00694904"/>
    <w:rsid w:val="00694BD3"/>
    <w:rsid w:val="00694CD2"/>
    <w:rsid w:val="006A0FFD"/>
    <w:rsid w:val="006A12A7"/>
    <w:rsid w:val="006A1415"/>
    <w:rsid w:val="006A1595"/>
    <w:rsid w:val="006A1EB4"/>
    <w:rsid w:val="006A22DD"/>
    <w:rsid w:val="006A2567"/>
    <w:rsid w:val="006A2912"/>
    <w:rsid w:val="006A33F7"/>
    <w:rsid w:val="006A3531"/>
    <w:rsid w:val="006A437B"/>
    <w:rsid w:val="006A533E"/>
    <w:rsid w:val="006A5A58"/>
    <w:rsid w:val="006A5D48"/>
    <w:rsid w:val="006A65ED"/>
    <w:rsid w:val="006A6718"/>
    <w:rsid w:val="006A6890"/>
    <w:rsid w:val="006B14CD"/>
    <w:rsid w:val="006B1FD3"/>
    <w:rsid w:val="006B2C26"/>
    <w:rsid w:val="006B2FC0"/>
    <w:rsid w:val="006B3090"/>
    <w:rsid w:val="006B3DA5"/>
    <w:rsid w:val="006B3F82"/>
    <w:rsid w:val="006B46BE"/>
    <w:rsid w:val="006B5367"/>
    <w:rsid w:val="006B540A"/>
    <w:rsid w:val="006B6B2A"/>
    <w:rsid w:val="006C05A5"/>
    <w:rsid w:val="006C11BE"/>
    <w:rsid w:val="006C1F0D"/>
    <w:rsid w:val="006C264C"/>
    <w:rsid w:val="006C26EA"/>
    <w:rsid w:val="006C2A55"/>
    <w:rsid w:val="006C54F3"/>
    <w:rsid w:val="006C6825"/>
    <w:rsid w:val="006C6C2D"/>
    <w:rsid w:val="006C7A1E"/>
    <w:rsid w:val="006D0463"/>
    <w:rsid w:val="006D07C9"/>
    <w:rsid w:val="006D0C9B"/>
    <w:rsid w:val="006D0E05"/>
    <w:rsid w:val="006D1120"/>
    <w:rsid w:val="006D2691"/>
    <w:rsid w:val="006D2A58"/>
    <w:rsid w:val="006D2C6D"/>
    <w:rsid w:val="006D46F6"/>
    <w:rsid w:val="006D5708"/>
    <w:rsid w:val="006D5D67"/>
    <w:rsid w:val="006D60E3"/>
    <w:rsid w:val="006D6650"/>
    <w:rsid w:val="006D6CD0"/>
    <w:rsid w:val="006D7909"/>
    <w:rsid w:val="006D7B9F"/>
    <w:rsid w:val="006E0DDF"/>
    <w:rsid w:val="006E25ED"/>
    <w:rsid w:val="006E34A6"/>
    <w:rsid w:val="006E3850"/>
    <w:rsid w:val="006E48A5"/>
    <w:rsid w:val="006E5B34"/>
    <w:rsid w:val="006E667C"/>
    <w:rsid w:val="006E67B4"/>
    <w:rsid w:val="006F062B"/>
    <w:rsid w:val="006F0637"/>
    <w:rsid w:val="006F0B12"/>
    <w:rsid w:val="006F2AFB"/>
    <w:rsid w:val="006F5756"/>
    <w:rsid w:val="006F5BFB"/>
    <w:rsid w:val="006F68D0"/>
    <w:rsid w:val="006F6BBA"/>
    <w:rsid w:val="006F7536"/>
    <w:rsid w:val="006F773B"/>
    <w:rsid w:val="007011FC"/>
    <w:rsid w:val="007016EA"/>
    <w:rsid w:val="00702143"/>
    <w:rsid w:val="00702905"/>
    <w:rsid w:val="007037EA"/>
    <w:rsid w:val="00703827"/>
    <w:rsid w:val="00704975"/>
    <w:rsid w:val="007050DB"/>
    <w:rsid w:val="007059AC"/>
    <w:rsid w:val="007059DD"/>
    <w:rsid w:val="00706803"/>
    <w:rsid w:val="00707392"/>
    <w:rsid w:val="0071136A"/>
    <w:rsid w:val="00711DFC"/>
    <w:rsid w:val="0071240B"/>
    <w:rsid w:val="0071286A"/>
    <w:rsid w:val="007128DF"/>
    <w:rsid w:val="00712D68"/>
    <w:rsid w:val="00713E83"/>
    <w:rsid w:val="007140EB"/>
    <w:rsid w:val="00714873"/>
    <w:rsid w:val="007150D9"/>
    <w:rsid w:val="00715104"/>
    <w:rsid w:val="00715C1E"/>
    <w:rsid w:val="00716A8C"/>
    <w:rsid w:val="00716CEC"/>
    <w:rsid w:val="00716D0E"/>
    <w:rsid w:val="00721D5F"/>
    <w:rsid w:val="0072256C"/>
    <w:rsid w:val="00723E78"/>
    <w:rsid w:val="00724387"/>
    <w:rsid w:val="00724A00"/>
    <w:rsid w:val="00724B41"/>
    <w:rsid w:val="00725C82"/>
    <w:rsid w:val="00726222"/>
    <w:rsid w:val="00726BD5"/>
    <w:rsid w:val="00727D00"/>
    <w:rsid w:val="00727DEC"/>
    <w:rsid w:val="007314C8"/>
    <w:rsid w:val="007342B0"/>
    <w:rsid w:val="00735FDB"/>
    <w:rsid w:val="007360FC"/>
    <w:rsid w:val="007364CE"/>
    <w:rsid w:val="00737268"/>
    <w:rsid w:val="00740AB7"/>
    <w:rsid w:val="00740BA7"/>
    <w:rsid w:val="00740BD5"/>
    <w:rsid w:val="0074173E"/>
    <w:rsid w:val="007418D8"/>
    <w:rsid w:val="00742D88"/>
    <w:rsid w:val="00743899"/>
    <w:rsid w:val="00746AB6"/>
    <w:rsid w:val="00750F45"/>
    <w:rsid w:val="00751B11"/>
    <w:rsid w:val="0075266F"/>
    <w:rsid w:val="00753B1F"/>
    <w:rsid w:val="00753C71"/>
    <w:rsid w:val="00754522"/>
    <w:rsid w:val="00754C47"/>
    <w:rsid w:val="0075539C"/>
    <w:rsid w:val="007561CF"/>
    <w:rsid w:val="007567F3"/>
    <w:rsid w:val="00756ED2"/>
    <w:rsid w:val="007573DD"/>
    <w:rsid w:val="00757B05"/>
    <w:rsid w:val="00760374"/>
    <w:rsid w:val="00761DE8"/>
    <w:rsid w:val="0076238E"/>
    <w:rsid w:val="00763443"/>
    <w:rsid w:val="0076570B"/>
    <w:rsid w:val="0076618E"/>
    <w:rsid w:val="007661A1"/>
    <w:rsid w:val="0076764A"/>
    <w:rsid w:val="0077086C"/>
    <w:rsid w:val="00770A03"/>
    <w:rsid w:val="00770CFF"/>
    <w:rsid w:val="007714D7"/>
    <w:rsid w:val="0077162B"/>
    <w:rsid w:val="00771A15"/>
    <w:rsid w:val="007724CB"/>
    <w:rsid w:val="00772A17"/>
    <w:rsid w:val="00775337"/>
    <w:rsid w:val="00775E15"/>
    <w:rsid w:val="0077620F"/>
    <w:rsid w:val="00776AD4"/>
    <w:rsid w:val="00777A29"/>
    <w:rsid w:val="007803B4"/>
    <w:rsid w:val="0078090F"/>
    <w:rsid w:val="0078370D"/>
    <w:rsid w:val="00783E0C"/>
    <w:rsid w:val="007842C9"/>
    <w:rsid w:val="00785C42"/>
    <w:rsid w:val="00787115"/>
    <w:rsid w:val="007871BA"/>
    <w:rsid w:val="007871BC"/>
    <w:rsid w:val="0078727D"/>
    <w:rsid w:val="0078791B"/>
    <w:rsid w:val="00787D75"/>
    <w:rsid w:val="00790BC8"/>
    <w:rsid w:val="00791202"/>
    <w:rsid w:val="007924C3"/>
    <w:rsid w:val="00792895"/>
    <w:rsid w:val="00792926"/>
    <w:rsid w:val="0079292B"/>
    <w:rsid w:val="0079380B"/>
    <w:rsid w:val="00794649"/>
    <w:rsid w:val="007949A2"/>
    <w:rsid w:val="00795DB5"/>
    <w:rsid w:val="00795ECB"/>
    <w:rsid w:val="007960BA"/>
    <w:rsid w:val="00796590"/>
    <w:rsid w:val="007966C4"/>
    <w:rsid w:val="0079791B"/>
    <w:rsid w:val="007A0C5E"/>
    <w:rsid w:val="007A1275"/>
    <w:rsid w:val="007A167D"/>
    <w:rsid w:val="007A1BBA"/>
    <w:rsid w:val="007A2D6E"/>
    <w:rsid w:val="007A33B9"/>
    <w:rsid w:val="007A4D97"/>
    <w:rsid w:val="007A5263"/>
    <w:rsid w:val="007A6751"/>
    <w:rsid w:val="007A6DB7"/>
    <w:rsid w:val="007A6F95"/>
    <w:rsid w:val="007A71CB"/>
    <w:rsid w:val="007A71EA"/>
    <w:rsid w:val="007A746B"/>
    <w:rsid w:val="007A7BA5"/>
    <w:rsid w:val="007B1278"/>
    <w:rsid w:val="007B1758"/>
    <w:rsid w:val="007B190B"/>
    <w:rsid w:val="007B1F6E"/>
    <w:rsid w:val="007B3EF3"/>
    <w:rsid w:val="007B4A73"/>
    <w:rsid w:val="007B5417"/>
    <w:rsid w:val="007B54CB"/>
    <w:rsid w:val="007B5DAC"/>
    <w:rsid w:val="007B7328"/>
    <w:rsid w:val="007B784A"/>
    <w:rsid w:val="007C09E7"/>
    <w:rsid w:val="007C1245"/>
    <w:rsid w:val="007C14C5"/>
    <w:rsid w:val="007C152E"/>
    <w:rsid w:val="007C17F3"/>
    <w:rsid w:val="007C3336"/>
    <w:rsid w:val="007C355B"/>
    <w:rsid w:val="007C42FC"/>
    <w:rsid w:val="007C4F08"/>
    <w:rsid w:val="007C4F87"/>
    <w:rsid w:val="007C6B3E"/>
    <w:rsid w:val="007C79AD"/>
    <w:rsid w:val="007D0F48"/>
    <w:rsid w:val="007D1443"/>
    <w:rsid w:val="007D15F4"/>
    <w:rsid w:val="007D16A7"/>
    <w:rsid w:val="007D2E16"/>
    <w:rsid w:val="007D3659"/>
    <w:rsid w:val="007D36D6"/>
    <w:rsid w:val="007D3717"/>
    <w:rsid w:val="007D37B8"/>
    <w:rsid w:val="007D45AC"/>
    <w:rsid w:val="007D4BFE"/>
    <w:rsid w:val="007D7269"/>
    <w:rsid w:val="007E0422"/>
    <w:rsid w:val="007E0424"/>
    <w:rsid w:val="007E05AE"/>
    <w:rsid w:val="007E0AFC"/>
    <w:rsid w:val="007E12FC"/>
    <w:rsid w:val="007E1557"/>
    <w:rsid w:val="007E241B"/>
    <w:rsid w:val="007E3103"/>
    <w:rsid w:val="007E3964"/>
    <w:rsid w:val="007E3C0E"/>
    <w:rsid w:val="007E4735"/>
    <w:rsid w:val="007E77A3"/>
    <w:rsid w:val="007E7C87"/>
    <w:rsid w:val="007F0134"/>
    <w:rsid w:val="007F04B3"/>
    <w:rsid w:val="007F04BC"/>
    <w:rsid w:val="007F050D"/>
    <w:rsid w:val="007F0C64"/>
    <w:rsid w:val="007F0F4F"/>
    <w:rsid w:val="007F1854"/>
    <w:rsid w:val="007F2EAD"/>
    <w:rsid w:val="007F31EA"/>
    <w:rsid w:val="007F3FF1"/>
    <w:rsid w:val="007F59F8"/>
    <w:rsid w:val="007F72A6"/>
    <w:rsid w:val="007F7738"/>
    <w:rsid w:val="00800965"/>
    <w:rsid w:val="008011C3"/>
    <w:rsid w:val="008019DB"/>
    <w:rsid w:val="00801FC6"/>
    <w:rsid w:val="00802ECD"/>
    <w:rsid w:val="00803A11"/>
    <w:rsid w:val="00803CAF"/>
    <w:rsid w:val="00803D96"/>
    <w:rsid w:val="00804E61"/>
    <w:rsid w:val="00805228"/>
    <w:rsid w:val="008052E0"/>
    <w:rsid w:val="00806A39"/>
    <w:rsid w:val="008072DF"/>
    <w:rsid w:val="008101C0"/>
    <w:rsid w:val="0081034F"/>
    <w:rsid w:val="0081080E"/>
    <w:rsid w:val="00810F1C"/>
    <w:rsid w:val="0081131A"/>
    <w:rsid w:val="00811847"/>
    <w:rsid w:val="00811CA2"/>
    <w:rsid w:val="00812019"/>
    <w:rsid w:val="00812430"/>
    <w:rsid w:val="008141FE"/>
    <w:rsid w:val="0081431B"/>
    <w:rsid w:val="00814D4E"/>
    <w:rsid w:val="00816354"/>
    <w:rsid w:val="008166DF"/>
    <w:rsid w:val="00816BDD"/>
    <w:rsid w:val="00817F61"/>
    <w:rsid w:val="0082079F"/>
    <w:rsid w:val="00821AC1"/>
    <w:rsid w:val="0082209B"/>
    <w:rsid w:val="008227D8"/>
    <w:rsid w:val="008231E9"/>
    <w:rsid w:val="00823449"/>
    <w:rsid w:val="00823F56"/>
    <w:rsid w:val="00827C7D"/>
    <w:rsid w:val="008329E3"/>
    <w:rsid w:val="0083322D"/>
    <w:rsid w:val="00833B57"/>
    <w:rsid w:val="00834167"/>
    <w:rsid w:val="00834FE3"/>
    <w:rsid w:val="0083512F"/>
    <w:rsid w:val="0083556D"/>
    <w:rsid w:val="008364D8"/>
    <w:rsid w:val="0083652D"/>
    <w:rsid w:val="00836F01"/>
    <w:rsid w:val="00837A40"/>
    <w:rsid w:val="0084213E"/>
    <w:rsid w:val="0084265F"/>
    <w:rsid w:val="00842A34"/>
    <w:rsid w:val="00842C54"/>
    <w:rsid w:val="00845BFB"/>
    <w:rsid w:val="00846575"/>
    <w:rsid w:val="0084696D"/>
    <w:rsid w:val="00846976"/>
    <w:rsid w:val="00847A63"/>
    <w:rsid w:val="0085054D"/>
    <w:rsid w:val="00850C79"/>
    <w:rsid w:val="008517F1"/>
    <w:rsid w:val="00851C0F"/>
    <w:rsid w:val="008540CC"/>
    <w:rsid w:val="00854C8E"/>
    <w:rsid w:val="0085620B"/>
    <w:rsid w:val="008567C9"/>
    <w:rsid w:val="00856989"/>
    <w:rsid w:val="00857A40"/>
    <w:rsid w:val="0086019F"/>
    <w:rsid w:val="008615BB"/>
    <w:rsid w:val="0086176E"/>
    <w:rsid w:val="00861A7C"/>
    <w:rsid w:val="0086278E"/>
    <w:rsid w:val="00862C53"/>
    <w:rsid w:val="00862F0B"/>
    <w:rsid w:val="0086335E"/>
    <w:rsid w:val="00863490"/>
    <w:rsid w:val="008637A7"/>
    <w:rsid w:val="00863BCB"/>
    <w:rsid w:val="00865053"/>
    <w:rsid w:val="008655A2"/>
    <w:rsid w:val="00866E59"/>
    <w:rsid w:val="008679B5"/>
    <w:rsid w:val="00867F47"/>
    <w:rsid w:val="0087045F"/>
    <w:rsid w:val="00870A9E"/>
    <w:rsid w:val="0087144F"/>
    <w:rsid w:val="008722D8"/>
    <w:rsid w:val="0087246C"/>
    <w:rsid w:val="00873C7F"/>
    <w:rsid w:val="0087420D"/>
    <w:rsid w:val="00874F0F"/>
    <w:rsid w:val="00875130"/>
    <w:rsid w:val="00875FA3"/>
    <w:rsid w:val="00876508"/>
    <w:rsid w:val="0087673B"/>
    <w:rsid w:val="0087760E"/>
    <w:rsid w:val="008822A3"/>
    <w:rsid w:val="00882495"/>
    <w:rsid w:val="008830D5"/>
    <w:rsid w:val="00883C12"/>
    <w:rsid w:val="00883F27"/>
    <w:rsid w:val="00883F75"/>
    <w:rsid w:val="00886DCA"/>
    <w:rsid w:val="00887372"/>
    <w:rsid w:val="00890789"/>
    <w:rsid w:val="00890FAE"/>
    <w:rsid w:val="00891991"/>
    <w:rsid w:val="0089292C"/>
    <w:rsid w:val="008961E3"/>
    <w:rsid w:val="008979AD"/>
    <w:rsid w:val="008A0E26"/>
    <w:rsid w:val="008A0F4B"/>
    <w:rsid w:val="008A1452"/>
    <w:rsid w:val="008A1A86"/>
    <w:rsid w:val="008A3258"/>
    <w:rsid w:val="008A3857"/>
    <w:rsid w:val="008A69F2"/>
    <w:rsid w:val="008A6C81"/>
    <w:rsid w:val="008A7E2B"/>
    <w:rsid w:val="008A7FC6"/>
    <w:rsid w:val="008B060F"/>
    <w:rsid w:val="008B0955"/>
    <w:rsid w:val="008B09EF"/>
    <w:rsid w:val="008B0DF0"/>
    <w:rsid w:val="008B1AA3"/>
    <w:rsid w:val="008B1BCF"/>
    <w:rsid w:val="008B243E"/>
    <w:rsid w:val="008B34B3"/>
    <w:rsid w:val="008B37F1"/>
    <w:rsid w:val="008B3BB0"/>
    <w:rsid w:val="008B4043"/>
    <w:rsid w:val="008B4256"/>
    <w:rsid w:val="008B432D"/>
    <w:rsid w:val="008B45D1"/>
    <w:rsid w:val="008B5C4E"/>
    <w:rsid w:val="008B6399"/>
    <w:rsid w:val="008B7B00"/>
    <w:rsid w:val="008B7B34"/>
    <w:rsid w:val="008B7DED"/>
    <w:rsid w:val="008C015A"/>
    <w:rsid w:val="008C1F8F"/>
    <w:rsid w:val="008C2003"/>
    <w:rsid w:val="008C23DC"/>
    <w:rsid w:val="008C2A9C"/>
    <w:rsid w:val="008C3862"/>
    <w:rsid w:val="008C440B"/>
    <w:rsid w:val="008C4530"/>
    <w:rsid w:val="008C4697"/>
    <w:rsid w:val="008C4B41"/>
    <w:rsid w:val="008C5E6A"/>
    <w:rsid w:val="008D0F80"/>
    <w:rsid w:val="008D1FEA"/>
    <w:rsid w:val="008D21E0"/>
    <w:rsid w:val="008D34EA"/>
    <w:rsid w:val="008D4831"/>
    <w:rsid w:val="008D4F90"/>
    <w:rsid w:val="008D571D"/>
    <w:rsid w:val="008D6165"/>
    <w:rsid w:val="008D667B"/>
    <w:rsid w:val="008D69A1"/>
    <w:rsid w:val="008D7117"/>
    <w:rsid w:val="008D750F"/>
    <w:rsid w:val="008E173E"/>
    <w:rsid w:val="008E1988"/>
    <w:rsid w:val="008E36B1"/>
    <w:rsid w:val="008E4AD2"/>
    <w:rsid w:val="008E6557"/>
    <w:rsid w:val="008E6750"/>
    <w:rsid w:val="008E6A5F"/>
    <w:rsid w:val="008E7495"/>
    <w:rsid w:val="008E7CC9"/>
    <w:rsid w:val="008F0BE1"/>
    <w:rsid w:val="008F21C9"/>
    <w:rsid w:val="008F326A"/>
    <w:rsid w:val="008F3A3B"/>
    <w:rsid w:val="008F3FA6"/>
    <w:rsid w:val="008F43FC"/>
    <w:rsid w:val="008F5A5F"/>
    <w:rsid w:val="008F5F9F"/>
    <w:rsid w:val="008F63A8"/>
    <w:rsid w:val="008F6CC8"/>
    <w:rsid w:val="008F73EF"/>
    <w:rsid w:val="009026F3"/>
    <w:rsid w:val="009032CD"/>
    <w:rsid w:val="00903A5F"/>
    <w:rsid w:val="00903D25"/>
    <w:rsid w:val="009043C8"/>
    <w:rsid w:val="00905014"/>
    <w:rsid w:val="00906125"/>
    <w:rsid w:val="00906942"/>
    <w:rsid w:val="00907169"/>
    <w:rsid w:val="00910175"/>
    <w:rsid w:val="009102E0"/>
    <w:rsid w:val="009103CC"/>
    <w:rsid w:val="00914083"/>
    <w:rsid w:val="009143A3"/>
    <w:rsid w:val="009155AD"/>
    <w:rsid w:val="0091644B"/>
    <w:rsid w:val="00916550"/>
    <w:rsid w:val="00916EAF"/>
    <w:rsid w:val="00917D1D"/>
    <w:rsid w:val="00917FDB"/>
    <w:rsid w:val="00921BAC"/>
    <w:rsid w:val="009220EA"/>
    <w:rsid w:val="009222D5"/>
    <w:rsid w:val="009222F9"/>
    <w:rsid w:val="00922951"/>
    <w:rsid w:val="00923038"/>
    <w:rsid w:val="009233CF"/>
    <w:rsid w:val="0092372B"/>
    <w:rsid w:val="009245FA"/>
    <w:rsid w:val="0092539A"/>
    <w:rsid w:val="00925710"/>
    <w:rsid w:val="009258DF"/>
    <w:rsid w:val="00925B1C"/>
    <w:rsid w:val="00925CF2"/>
    <w:rsid w:val="00925F14"/>
    <w:rsid w:val="0092737F"/>
    <w:rsid w:val="009303CD"/>
    <w:rsid w:val="009307A8"/>
    <w:rsid w:val="009314E2"/>
    <w:rsid w:val="0093220D"/>
    <w:rsid w:val="00932ADB"/>
    <w:rsid w:val="0093368A"/>
    <w:rsid w:val="009349D0"/>
    <w:rsid w:val="00934DE6"/>
    <w:rsid w:val="00934EAE"/>
    <w:rsid w:val="00935CD5"/>
    <w:rsid w:val="00935FD2"/>
    <w:rsid w:val="00936695"/>
    <w:rsid w:val="00936EDE"/>
    <w:rsid w:val="00937864"/>
    <w:rsid w:val="00937C32"/>
    <w:rsid w:val="00937C56"/>
    <w:rsid w:val="00940031"/>
    <w:rsid w:val="00940CD5"/>
    <w:rsid w:val="00941AB2"/>
    <w:rsid w:val="00944B58"/>
    <w:rsid w:val="00944F1A"/>
    <w:rsid w:val="009472D5"/>
    <w:rsid w:val="00950339"/>
    <w:rsid w:val="0095175E"/>
    <w:rsid w:val="00952E25"/>
    <w:rsid w:val="009533DA"/>
    <w:rsid w:val="009552C1"/>
    <w:rsid w:val="009554A3"/>
    <w:rsid w:val="00957AC0"/>
    <w:rsid w:val="009606CF"/>
    <w:rsid w:val="00960BC1"/>
    <w:rsid w:val="00960D45"/>
    <w:rsid w:val="0096122A"/>
    <w:rsid w:val="00961923"/>
    <w:rsid w:val="00962033"/>
    <w:rsid w:val="009623FD"/>
    <w:rsid w:val="0096287B"/>
    <w:rsid w:val="0096289B"/>
    <w:rsid w:val="009631CC"/>
    <w:rsid w:val="00963E20"/>
    <w:rsid w:val="00963FC9"/>
    <w:rsid w:val="009644BD"/>
    <w:rsid w:val="009652F9"/>
    <w:rsid w:val="009655A9"/>
    <w:rsid w:val="00966629"/>
    <w:rsid w:val="00967100"/>
    <w:rsid w:val="009679EE"/>
    <w:rsid w:val="00967F90"/>
    <w:rsid w:val="00970A2D"/>
    <w:rsid w:val="0097238C"/>
    <w:rsid w:val="00973495"/>
    <w:rsid w:val="00974BBB"/>
    <w:rsid w:val="009764BA"/>
    <w:rsid w:val="00976616"/>
    <w:rsid w:val="00977047"/>
    <w:rsid w:val="0098010A"/>
    <w:rsid w:val="009805D4"/>
    <w:rsid w:val="0098072D"/>
    <w:rsid w:val="00980835"/>
    <w:rsid w:val="00981B2D"/>
    <w:rsid w:val="00981E7F"/>
    <w:rsid w:val="009823EC"/>
    <w:rsid w:val="00982B1B"/>
    <w:rsid w:val="00984243"/>
    <w:rsid w:val="00986AD0"/>
    <w:rsid w:val="009876B3"/>
    <w:rsid w:val="00987882"/>
    <w:rsid w:val="00987DEE"/>
    <w:rsid w:val="0099136B"/>
    <w:rsid w:val="00991727"/>
    <w:rsid w:val="0099258B"/>
    <w:rsid w:val="0099337A"/>
    <w:rsid w:val="009935A7"/>
    <w:rsid w:val="009938A3"/>
    <w:rsid w:val="00994B5E"/>
    <w:rsid w:val="00994C27"/>
    <w:rsid w:val="00994F9C"/>
    <w:rsid w:val="00994FF6"/>
    <w:rsid w:val="009959A5"/>
    <w:rsid w:val="00995D90"/>
    <w:rsid w:val="00996FD6"/>
    <w:rsid w:val="0099764F"/>
    <w:rsid w:val="00997D88"/>
    <w:rsid w:val="009A001E"/>
    <w:rsid w:val="009A04B4"/>
    <w:rsid w:val="009A1E43"/>
    <w:rsid w:val="009A2C56"/>
    <w:rsid w:val="009A35AE"/>
    <w:rsid w:val="009A3CB8"/>
    <w:rsid w:val="009A60E9"/>
    <w:rsid w:val="009A78B3"/>
    <w:rsid w:val="009B10DE"/>
    <w:rsid w:val="009B123C"/>
    <w:rsid w:val="009B1323"/>
    <w:rsid w:val="009B133E"/>
    <w:rsid w:val="009B1727"/>
    <w:rsid w:val="009B184C"/>
    <w:rsid w:val="009B2BAF"/>
    <w:rsid w:val="009B2CB7"/>
    <w:rsid w:val="009B2FA2"/>
    <w:rsid w:val="009B403F"/>
    <w:rsid w:val="009B41A3"/>
    <w:rsid w:val="009B42CA"/>
    <w:rsid w:val="009B4D60"/>
    <w:rsid w:val="009B56D0"/>
    <w:rsid w:val="009B5761"/>
    <w:rsid w:val="009B5A81"/>
    <w:rsid w:val="009C0431"/>
    <w:rsid w:val="009C0C42"/>
    <w:rsid w:val="009C0C83"/>
    <w:rsid w:val="009C0CCA"/>
    <w:rsid w:val="009C0D19"/>
    <w:rsid w:val="009C0D66"/>
    <w:rsid w:val="009C1005"/>
    <w:rsid w:val="009C21E4"/>
    <w:rsid w:val="009C2767"/>
    <w:rsid w:val="009C2BA0"/>
    <w:rsid w:val="009C3388"/>
    <w:rsid w:val="009C3485"/>
    <w:rsid w:val="009C3B22"/>
    <w:rsid w:val="009C3CC8"/>
    <w:rsid w:val="009C3FE8"/>
    <w:rsid w:val="009C4B4E"/>
    <w:rsid w:val="009C5403"/>
    <w:rsid w:val="009C66C8"/>
    <w:rsid w:val="009C697F"/>
    <w:rsid w:val="009C6C41"/>
    <w:rsid w:val="009C7020"/>
    <w:rsid w:val="009C74E9"/>
    <w:rsid w:val="009C7B65"/>
    <w:rsid w:val="009D07AA"/>
    <w:rsid w:val="009D118C"/>
    <w:rsid w:val="009D16B7"/>
    <w:rsid w:val="009D2756"/>
    <w:rsid w:val="009D347F"/>
    <w:rsid w:val="009D44ED"/>
    <w:rsid w:val="009D520D"/>
    <w:rsid w:val="009D55CF"/>
    <w:rsid w:val="009D59CD"/>
    <w:rsid w:val="009D611E"/>
    <w:rsid w:val="009D630C"/>
    <w:rsid w:val="009D6A04"/>
    <w:rsid w:val="009D6B0F"/>
    <w:rsid w:val="009D7997"/>
    <w:rsid w:val="009D7F5B"/>
    <w:rsid w:val="009D7FCF"/>
    <w:rsid w:val="009E0347"/>
    <w:rsid w:val="009E0429"/>
    <w:rsid w:val="009E07CF"/>
    <w:rsid w:val="009E15EB"/>
    <w:rsid w:val="009E2064"/>
    <w:rsid w:val="009E20C3"/>
    <w:rsid w:val="009E25FA"/>
    <w:rsid w:val="009E2BA1"/>
    <w:rsid w:val="009E3D35"/>
    <w:rsid w:val="009E47DD"/>
    <w:rsid w:val="009E585D"/>
    <w:rsid w:val="009E6592"/>
    <w:rsid w:val="009E7FAC"/>
    <w:rsid w:val="009F0CD1"/>
    <w:rsid w:val="009F0FB6"/>
    <w:rsid w:val="009F1105"/>
    <w:rsid w:val="009F11D0"/>
    <w:rsid w:val="009F152B"/>
    <w:rsid w:val="009F4B46"/>
    <w:rsid w:val="009F5221"/>
    <w:rsid w:val="009F566D"/>
    <w:rsid w:val="009F694D"/>
    <w:rsid w:val="009F7AAE"/>
    <w:rsid w:val="00A0020C"/>
    <w:rsid w:val="00A0076C"/>
    <w:rsid w:val="00A008FC"/>
    <w:rsid w:val="00A020FE"/>
    <w:rsid w:val="00A03573"/>
    <w:rsid w:val="00A03809"/>
    <w:rsid w:val="00A03C7E"/>
    <w:rsid w:val="00A0475C"/>
    <w:rsid w:val="00A0488C"/>
    <w:rsid w:val="00A0628A"/>
    <w:rsid w:val="00A078A6"/>
    <w:rsid w:val="00A07EBA"/>
    <w:rsid w:val="00A1059F"/>
    <w:rsid w:val="00A107EE"/>
    <w:rsid w:val="00A110D1"/>
    <w:rsid w:val="00A12C64"/>
    <w:rsid w:val="00A12CFE"/>
    <w:rsid w:val="00A13231"/>
    <w:rsid w:val="00A13B4A"/>
    <w:rsid w:val="00A14810"/>
    <w:rsid w:val="00A1509C"/>
    <w:rsid w:val="00A16825"/>
    <w:rsid w:val="00A16B57"/>
    <w:rsid w:val="00A16D5D"/>
    <w:rsid w:val="00A1710B"/>
    <w:rsid w:val="00A21364"/>
    <w:rsid w:val="00A2232B"/>
    <w:rsid w:val="00A2332F"/>
    <w:rsid w:val="00A238E4"/>
    <w:rsid w:val="00A2407E"/>
    <w:rsid w:val="00A24C12"/>
    <w:rsid w:val="00A24EE9"/>
    <w:rsid w:val="00A2582D"/>
    <w:rsid w:val="00A25EF1"/>
    <w:rsid w:val="00A26468"/>
    <w:rsid w:val="00A274D1"/>
    <w:rsid w:val="00A27789"/>
    <w:rsid w:val="00A318A7"/>
    <w:rsid w:val="00A339B1"/>
    <w:rsid w:val="00A33E66"/>
    <w:rsid w:val="00A3444C"/>
    <w:rsid w:val="00A34EFC"/>
    <w:rsid w:val="00A35161"/>
    <w:rsid w:val="00A35EF7"/>
    <w:rsid w:val="00A370C5"/>
    <w:rsid w:val="00A375D1"/>
    <w:rsid w:val="00A40C88"/>
    <w:rsid w:val="00A4100E"/>
    <w:rsid w:val="00A41783"/>
    <w:rsid w:val="00A41F8B"/>
    <w:rsid w:val="00A42D43"/>
    <w:rsid w:val="00A42F04"/>
    <w:rsid w:val="00A43310"/>
    <w:rsid w:val="00A46E9A"/>
    <w:rsid w:val="00A4797F"/>
    <w:rsid w:val="00A47CEC"/>
    <w:rsid w:val="00A5032E"/>
    <w:rsid w:val="00A50910"/>
    <w:rsid w:val="00A50FBA"/>
    <w:rsid w:val="00A511F2"/>
    <w:rsid w:val="00A5171F"/>
    <w:rsid w:val="00A519E9"/>
    <w:rsid w:val="00A52CC2"/>
    <w:rsid w:val="00A5346E"/>
    <w:rsid w:val="00A539A2"/>
    <w:rsid w:val="00A53E2B"/>
    <w:rsid w:val="00A53ED6"/>
    <w:rsid w:val="00A5413E"/>
    <w:rsid w:val="00A5442D"/>
    <w:rsid w:val="00A5484D"/>
    <w:rsid w:val="00A54C0D"/>
    <w:rsid w:val="00A55A9C"/>
    <w:rsid w:val="00A57731"/>
    <w:rsid w:val="00A57CCD"/>
    <w:rsid w:val="00A57DD0"/>
    <w:rsid w:val="00A60737"/>
    <w:rsid w:val="00A61307"/>
    <w:rsid w:val="00A61528"/>
    <w:rsid w:val="00A6221B"/>
    <w:rsid w:val="00A62684"/>
    <w:rsid w:val="00A63CFE"/>
    <w:rsid w:val="00A640E9"/>
    <w:rsid w:val="00A64632"/>
    <w:rsid w:val="00A65006"/>
    <w:rsid w:val="00A65FD4"/>
    <w:rsid w:val="00A67B32"/>
    <w:rsid w:val="00A70F65"/>
    <w:rsid w:val="00A71160"/>
    <w:rsid w:val="00A716A3"/>
    <w:rsid w:val="00A73064"/>
    <w:rsid w:val="00A73172"/>
    <w:rsid w:val="00A7383E"/>
    <w:rsid w:val="00A76370"/>
    <w:rsid w:val="00A832FE"/>
    <w:rsid w:val="00A83579"/>
    <w:rsid w:val="00A838EF"/>
    <w:rsid w:val="00A83B2E"/>
    <w:rsid w:val="00A85C1A"/>
    <w:rsid w:val="00A85C90"/>
    <w:rsid w:val="00A87971"/>
    <w:rsid w:val="00A90DB5"/>
    <w:rsid w:val="00A91077"/>
    <w:rsid w:val="00A91397"/>
    <w:rsid w:val="00A91B9F"/>
    <w:rsid w:val="00A92992"/>
    <w:rsid w:val="00A92E10"/>
    <w:rsid w:val="00A930DF"/>
    <w:rsid w:val="00A93811"/>
    <w:rsid w:val="00A93A0B"/>
    <w:rsid w:val="00A93D98"/>
    <w:rsid w:val="00A95C76"/>
    <w:rsid w:val="00A96885"/>
    <w:rsid w:val="00A96F97"/>
    <w:rsid w:val="00A9702B"/>
    <w:rsid w:val="00AA0117"/>
    <w:rsid w:val="00AA082B"/>
    <w:rsid w:val="00AA1322"/>
    <w:rsid w:val="00AA145E"/>
    <w:rsid w:val="00AA1E22"/>
    <w:rsid w:val="00AA1F8C"/>
    <w:rsid w:val="00AA3C0D"/>
    <w:rsid w:val="00AA3F0F"/>
    <w:rsid w:val="00AA3FFE"/>
    <w:rsid w:val="00AA4502"/>
    <w:rsid w:val="00AA50A5"/>
    <w:rsid w:val="00AA5903"/>
    <w:rsid w:val="00AA5955"/>
    <w:rsid w:val="00AA60D0"/>
    <w:rsid w:val="00AA69D6"/>
    <w:rsid w:val="00AB0D2E"/>
    <w:rsid w:val="00AB0E42"/>
    <w:rsid w:val="00AB19E6"/>
    <w:rsid w:val="00AB1D36"/>
    <w:rsid w:val="00AB403D"/>
    <w:rsid w:val="00AB4716"/>
    <w:rsid w:val="00AB4AED"/>
    <w:rsid w:val="00AB4E71"/>
    <w:rsid w:val="00AB5C0D"/>
    <w:rsid w:val="00AB602C"/>
    <w:rsid w:val="00AB617F"/>
    <w:rsid w:val="00AB6261"/>
    <w:rsid w:val="00AB6339"/>
    <w:rsid w:val="00AB714F"/>
    <w:rsid w:val="00AC06D7"/>
    <w:rsid w:val="00AC10DF"/>
    <w:rsid w:val="00AC2365"/>
    <w:rsid w:val="00AC273B"/>
    <w:rsid w:val="00AC2AB3"/>
    <w:rsid w:val="00AC3ABE"/>
    <w:rsid w:val="00AC4063"/>
    <w:rsid w:val="00AC40BB"/>
    <w:rsid w:val="00AC49FF"/>
    <w:rsid w:val="00AC4E7F"/>
    <w:rsid w:val="00AC63C9"/>
    <w:rsid w:val="00AC6FA6"/>
    <w:rsid w:val="00AC78CB"/>
    <w:rsid w:val="00AD01FC"/>
    <w:rsid w:val="00AD0A87"/>
    <w:rsid w:val="00AD10E9"/>
    <w:rsid w:val="00AD19B4"/>
    <w:rsid w:val="00AD2132"/>
    <w:rsid w:val="00AD23E3"/>
    <w:rsid w:val="00AD36B1"/>
    <w:rsid w:val="00AD3BCB"/>
    <w:rsid w:val="00AD4884"/>
    <w:rsid w:val="00AD48E0"/>
    <w:rsid w:val="00AD49C3"/>
    <w:rsid w:val="00AD49D8"/>
    <w:rsid w:val="00AD4A05"/>
    <w:rsid w:val="00AD68C6"/>
    <w:rsid w:val="00AD6C7A"/>
    <w:rsid w:val="00AD740B"/>
    <w:rsid w:val="00AE03C6"/>
    <w:rsid w:val="00AE0ACF"/>
    <w:rsid w:val="00AE1570"/>
    <w:rsid w:val="00AE1A4B"/>
    <w:rsid w:val="00AE2A0B"/>
    <w:rsid w:val="00AE2F11"/>
    <w:rsid w:val="00AE4357"/>
    <w:rsid w:val="00AE4D59"/>
    <w:rsid w:val="00AE5C31"/>
    <w:rsid w:val="00AE6DD5"/>
    <w:rsid w:val="00AE6F1E"/>
    <w:rsid w:val="00AE7750"/>
    <w:rsid w:val="00AF014B"/>
    <w:rsid w:val="00AF01DC"/>
    <w:rsid w:val="00AF0581"/>
    <w:rsid w:val="00AF27E2"/>
    <w:rsid w:val="00AF2A25"/>
    <w:rsid w:val="00AF4B4C"/>
    <w:rsid w:val="00AF4FA4"/>
    <w:rsid w:val="00AF59AA"/>
    <w:rsid w:val="00AF5BBE"/>
    <w:rsid w:val="00AF6665"/>
    <w:rsid w:val="00AF6837"/>
    <w:rsid w:val="00AF7660"/>
    <w:rsid w:val="00B00D05"/>
    <w:rsid w:val="00B00DB7"/>
    <w:rsid w:val="00B012B7"/>
    <w:rsid w:val="00B01A31"/>
    <w:rsid w:val="00B01BF0"/>
    <w:rsid w:val="00B02892"/>
    <w:rsid w:val="00B0307E"/>
    <w:rsid w:val="00B04A8E"/>
    <w:rsid w:val="00B068D8"/>
    <w:rsid w:val="00B06CB4"/>
    <w:rsid w:val="00B070CA"/>
    <w:rsid w:val="00B07B50"/>
    <w:rsid w:val="00B10F64"/>
    <w:rsid w:val="00B11219"/>
    <w:rsid w:val="00B1165E"/>
    <w:rsid w:val="00B11CE4"/>
    <w:rsid w:val="00B13AA1"/>
    <w:rsid w:val="00B15C90"/>
    <w:rsid w:val="00B16B2B"/>
    <w:rsid w:val="00B16DE9"/>
    <w:rsid w:val="00B16EE5"/>
    <w:rsid w:val="00B16EE8"/>
    <w:rsid w:val="00B175ED"/>
    <w:rsid w:val="00B17D13"/>
    <w:rsid w:val="00B207DD"/>
    <w:rsid w:val="00B20835"/>
    <w:rsid w:val="00B22AF7"/>
    <w:rsid w:val="00B23AA8"/>
    <w:rsid w:val="00B23E23"/>
    <w:rsid w:val="00B23EED"/>
    <w:rsid w:val="00B2448A"/>
    <w:rsid w:val="00B24B07"/>
    <w:rsid w:val="00B2534F"/>
    <w:rsid w:val="00B25C94"/>
    <w:rsid w:val="00B268D8"/>
    <w:rsid w:val="00B26B79"/>
    <w:rsid w:val="00B30581"/>
    <w:rsid w:val="00B30988"/>
    <w:rsid w:val="00B31015"/>
    <w:rsid w:val="00B32EE9"/>
    <w:rsid w:val="00B330ED"/>
    <w:rsid w:val="00B338CA"/>
    <w:rsid w:val="00B339EC"/>
    <w:rsid w:val="00B34ED5"/>
    <w:rsid w:val="00B34FB5"/>
    <w:rsid w:val="00B356FC"/>
    <w:rsid w:val="00B36A43"/>
    <w:rsid w:val="00B37F29"/>
    <w:rsid w:val="00B41B29"/>
    <w:rsid w:val="00B4225B"/>
    <w:rsid w:val="00B431A6"/>
    <w:rsid w:val="00B43607"/>
    <w:rsid w:val="00B43C54"/>
    <w:rsid w:val="00B44101"/>
    <w:rsid w:val="00B443D8"/>
    <w:rsid w:val="00B44425"/>
    <w:rsid w:val="00B444EB"/>
    <w:rsid w:val="00B4470C"/>
    <w:rsid w:val="00B44CE6"/>
    <w:rsid w:val="00B451E6"/>
    <w:rsid w:val="00B46331"/>
    <w:rsid w:val="00B46B07"/>
    <w:rsid w:val="00B521E4"/>
    <w:rsid w:val="00B54710"/>
    <w:rsid w:val="00B560C2"/>
    <w:rsid w:val="00B562A2"/>
    <w:rsid w:val="00B5673A"/>
    <w:rsid w:val="00B57C97"/>
    <w:rsid w:val="00B61D41"/>
    <w:rsid w:val="00B61E21"/>
    <w:rsid w:val="00B6212F"/>
    <w:rsid w:val="00B622D2"/>
    <w:rsid w:val="00B63E7A"/>
    <w:rsid w:val="00B63F3B"/>
    <w:rsid w:val="00B64212"/>
    <w:rsid w:val="00B652D4"/>
    <w:rsid w:val="00B653C3"/>
    <w:rsid w:val="00B667FB"/>
    <w:rsid w:val="00B67438"/>
    <w:rsid w:val="00B701C5"/>
    <w:rsid w:val="00B70A5B"/>
    <w:rsid w:val="00B70AD8"/>
    <w:rsid w:val="00B7203A"/>
    <w:rsid w:val="00B7222D"/>
    <w:rsid w:val="00B72475"/>
    <w:rsid w:val="00B7481E"/>
    <w:rsid w:val="00B748C6"/>
    <w:rsid w:val="00B748D4"/>
    <w:rsid w:val="00B772BA"/>
    <w:rsid w:val="00B773E8"/>
    <w:rsid w:val="00B77B94"/>
    <w:rsid w:val="00B77C50"/>
    <w:rsid w:val="00B800CD"/>
    <w:rsid w:val="00B8075B"/>
    <w:rsid w:val="00B80FAE"/>
    <w:rsid w:val="00B811BE"/>
    <w:rsid w:val="00B8134B"/>
    <w:rsid w:val="00B81782"/>
    <w:rsid w:val="00B827D1"/>
    <w:rsid w:val="00B832D1"/>
    <w:rsid w:val="00B85A72"/>
    <w:rsid w:val="00B86E2C"/>
    <w:rsid w:val="00B86EB7"/>
    <w:rsid w:val="00B90850"/>
    <w:rsid w:val="00B90861"/>
    <w:rsid w:val="00B90A40"/>
    <w:rsid w:val="00B90C55"/>
    <w:rsid w:val="00B91F25"/>
    <w:rsid w:val="00B9245C"/>
    <w:rsid w:val="00B92D9E"/>
    <w:rsid w:val="00B9329B"/>
    <w:rsid w:val="00B9355A"/>
    <w:rsid w:val="00B936BD"/>
    <w:rsid w:val="00B93FB4"/>
    <w:rsid w:val="00B94B6B"/>
    <w:rsid w:val="00B94CCA"/>
    <w:rsid w:val="00B95FE8"/>
    <w:rsid w:val="00B961CB"/>
    <w:rsid w:val="00B96395"/>
    <w:rsid w:val="00B974BB"/>
    <w:rsid w:val="00B97DCD"/>
    <w:rsid w:val="00BA0468"/>
    <w:rsid w:val="00BA0991"/>
    <w:rsid w:val="00BA1880"/>
    <w:rsid w:val="00BA2B91"/>
    <w:rsid w:val="00BA4A79"/>
    <w:rsid w:val="00BA4DD4"/>
    <w:rsid w:val="00BA5467"/>
    <w:rsid w:val="00BA559F"/>
    <w:rsid w:val="00BA5A85"/>
    <w:rsid w:val="00BA65DE"/>
    <w:rsid w:val="00BA670B"/>
    <w:rsid w:val="00BA6CEE"/>
    <w:rsid w:val="00BA7281"/>
    <w:rsid w:val="00BB05AF"/>
    <w:rsid w:val="00BB4AF7"/>
    <w:rsid w:val="00BB7DDD"/>
    <w:rsid w:val="00BC3C7A"/>
    <w:rsid w:val="00BC4127"/>
    <w:rsid w:val="00BC451C"/>
    <w:rsid w:val="00BC46CE"/>
    <w:rsid w:val="00BC50B2"/>
    <w:rsid w:val="00BC5470"/>
    <w:rsid w:val="00BC5592"/>
    <w:rsid w:val="00BC5669"/>
    <w:rsid w:val="00BC5D6C"/>
    <w:rsid w:val="00BC5EAA"/>
    <w:rsid w:val="00BC694B"/>
    <w:rsid w:val="00BC7F4E"/>
    <w:rsid w:val="00BD111F"/>
    <w:rsid w:val="00BD18FD"/>
    <w:rsid w:val="00BD1F0F"/>
    <w:rsid w:val="00BD2823"/>
    <w:rsid w:val="00BD2F0F"/>
    <w:rsid w:val="00BD342F"/>
    <w:rsid w:val="00BD4875"/>
    <w:rsid w:val="00BD5495"/>
    <w:rsid w:val="00BD5718"/>
    <w:rsid w:val="00BD63AD"/>
    <w:rsid w:val="00BD78A2"/>
    <w:rsid w:val="00BE045A"/>
    <w:rsid w:val="00BE07D4"/>
    <w:rsid w:val="00BE07F8"/>
    <w:rsid w:val="00BE0834"/>
    <w:rsid w:val="00BE09AC"/>
    <w:rsid w:val="00BE2133"/>
    <w:rsid w:val="00BE253A"/>
    <w:rsid w:val="00BE43F2"/>
    <w:rsid w:val="00BE5E53"/>
    <w:rsid w:val="00BE7148"/>
    <w:rsid w:val="00BE779B"/>
    <w:rsid w:val="00BF12B7"/>
    <w:rsid w:val="00BF2389"/>
    <w:rsid w:val="00BF29D0"/>
    <w:rsid w:val="00BF2ABE"/>
    <w:rsid w:val="00BF2B4A"/>
    <w:rsid w:val="00BF2BBC"/>
    <w:rsid w:val="00BF2E7A"/>
    <w:rsid w:val="00BF457B"/>
    <w:rsid w:val="00BF4784"/>
    <w:rsid w:val="00BF630B"/>
    <w:rsid w:val="00BF705D"/>
    <w:rsid w:val="00BF7DB3"/>
    <w:rsid w:val="00C0052E"/>
    <w:rsid w:val="00C008F1"/>
    <w:rsid w:val="00C00B9B"/>
    <w:rsid w:val="00C00EFB"/>
    <w:rsid w:val="00C0106E"/>
    <w:rsid w:val="00C0201A"/>
    <w:rsid w:val="00C02A03"/>
    <w:rsid w:val="00C03900"/>
    <w:rsid w:val="00C04F29"/>
    <w:rsid w:val="00C07987"/>
    <w:rsid w:val="00C07E31"/>
    <w:rsid w:val="00C10184"/>
    <w:rsid w:val="00C103F3"/>
    <w:rsid w:val="00C10B6F"/>
    <w:rsid w:val="00C1143C"/>
    <w:rsid w:val="00C12904"/>
    <w:rsid w:val="00C1300B"/>
    <w:rsid w:val="00C14DF7"/>
    <w:rsid w:val="00C20493"/>
    <w:rsid w:val="00C204F2"/>
    <w:rsid w:val="00C20740"/>
    <w:rsid w:val="00C20A32"/>
    <w:rsid w:val="00C2196B"/>
    <w:rsid w:val="00C2202C"/>
    <w:rsid w:val="00C23A9A"/>
    <w:rsid w:val="00C23CB4"/>
    <w:rsid w:val="00C23F79"/>
    <w:rsid w:val="00C241AB"/>
    <w:rsid w:val="00C261BE"/>
    <w:rsid w:val="00C26FFC"/>
    <w:rsid w:val="00C311FB"/>
    <w:rsid w:val="00C3161D"/>
    <w:rsid w:val="00C32E7E"/>
    <w:rsid w:val="00C3370C"/>
    <w:rsid w:val="00C3414D"/>
    <w:rsid w:val="00C34833"/>
    <w:rsid w:val="00C35183"/>
    <w:rsid w:val="00C353D2"/>
    <w:rsid w:val="00C36EAF"/>
    <w:rsid w:val="00C3737D"/>
    <w:rsid w:val="00C37493"/>
    <w:rsid w:val="00C3778B"/>
    <w:rsid w:val="00C37AC6"/>
    <w:rsid w:val="00C40285"/>
    <w:rsid w:val="00C40345"/>
    <w:rsid w:val="00C40B0C"/>
    <w:rsid w:val="00C41FD1"/>
    <w:rsid w:val="00C4255F"/>
    <w:rsid w:val="00C43C5F"/>
    <w:rsid w:val="00C44470"/>
    <w:rsid w:val="00C44F4E"/>
    <w:rsid w:val="00C45952"/>
    <w:rsid w:val="00C464C8"/>
    <w:rsid w:val="00C4717F"/>
    <w:rsid w:val="00C471B3"/>
    <w:rsid w:val="00C47685"/>
    <w:rsid w:val="00C50101"/>
    <w:rsid w:val="00C50BC5"/>
    <w:rsid w:val="00C51736"/>
    <w:rsid w:val="00C54B60"/>
    <w:rsid w:val="00C56E8F"/>
    <w:rsid w:val="00C57247"/>
    <w:rsid w:val="00C5740F"/>
    <w:rsid w:val="00C57959"/>
    <w:rsid w:val="00C60426"/>
    <w:rsid w:val="00C61524"/>
    <w:rsid w:val="00C62291"/>
    <w:rsid w:val="00C62348"/>
    <w:rsid w:val="00C6246A"/>
    <w:rsid w:val="00C62DBC"/>
    <w:rsid w:val="00C63582"/>
    <w:rsid w:val="00C63685"/>
    <w:rsid w:val="00C637FE"/>
    <w:rsid w:val="00C639D4"/>
    <w:rsid w:val="00C6470F"/>
    <w:rsid w:val="00C66692"/>
    <w:rsid w:val="00C67255"/>
    <w:rsid w:val="00C67978"/>
    <w:rsid w:val="00C67989"/>
    <w:rsid w:val="00C701AB"/>
    <w:rsid w:val="00C70844"/>
    <w:rsid w:val="00C708F3"/>
    <w:rsid w:val="00C71FBB"/>
    <w:rsid w:val="00C73688"/>
    <w:rsid w:val="00C747C4"/>
    <w:rsid w:val="00C74849"/>
    <w:rsid w:val="00C74EF9"/>
    <w:rsid w:val="00C767D1"/>
    <w:rsid w:val="00C77725"/>
    <w:rsid w:val="00C77E40"/>
    <w:rsid w:val="00C8090B"/>
    <w:rsid w:val="00C809E2"/>
    <w:rsid w:val="00C81F78"/>
    <w:rsid w:val="00C825EC"/>
    <w:rsid w:val="00C8327F"/>
    <w:rsid w:val="00C83ADF"/>
    <w:rsid w:val="00C83B1E"/>
    <w:rsid w:val="00C84188"/>
    <w:rsid w:val="00C8454B"/>
    <w:rsid w:val="00C8470C"/>
    <w:rsid w:val="00C84A25"/>
    <w:rsid w:val="00C84C13"/>
    <w:rsid w:val="00C856F5"/>
    <w:rsid w:val="00C85CAD"/>
    <w:rsid w:val="00C87602"/>
    <w:rsid w:val="00C87B23"/>
    <w:rsid w:val="00C90755"/>
    <w:rsid w:val="00C913AF"/>
    <w:rsid w:val="00C919A5"/>
    <w:rsid w:val="00C93E0A"/>
    <w:rsid w:val="00C94F31"/>
    <w:rsid w:val="00C952AA"/>
    <w:rsid w:val="00C97ECE"/>
    <w:rsid w:val="00CA0235"/>
    <w:rsid w:val="00CA0BB3"/>
    <w:rsid w:val="00CA1180"/>
    <w:rsid w:val="00CA1940"/>
    <w:rsid w:val="00CA19AC"/>
    <w:rsid w:val="00CA1F70"/>
    <w:rsid w:val="00CA276B"/>
    <w:rsid w:val="00CA2B3F"/>
    <w:rsid w:val="00CA5AE4"/>
    <w:rsid w:val="00CA6EF8"/>
    <w:rsid w:val="00CA7145"/>
    <w:rsid w:val="00CA7623"/>
    <w:rsid w:val="00CA774C"/>
    <w:rsid w:val="00CA7A20"/>
    <w:rsid w:val="00CB037B"/>
    <w:rsid w:val="00CB136C"/>
    <w:rsid w:val="00CB21A7"/>
    <w:rsid w:val="00CB2696"/>
    <w:rsid w:val="00CB376F"/>
    <w:rsid w:val="00CB4395"/>
    <w:rsid w:val="00CB4587"/>
    <w:rsid w:val="00CB4B6C"/>
    <w:rsid w:val="00CB6624"/>
    <w:rsid w:val="00CB6D37"/>
    <w:rsid w:val="00CB794C"/>
    <w:rsid w:val="00CB7C20"/>
    <w:rsid w:val="00CC0FEA"/>
    <w:rsid w:val="00CC21A7"/>
    <w:rsid w:val="00CC2CE4"/>
    <w:rsid w:val="00CC2FA6"/>
    <w:rsid w:val="00CC3189"/>
    <w:rsid w:val="00CC3636"/>
    <w:rsid w:val="00CC39E6"/>
    <w:rsid w:val="00CC53CE"/>
    <w:rsid w:val="00CC5684"/>
    <w:rsid w:val="00CC59E6"/>
    <w:rsid w:val="00CC6594"/>
    <w:rsid w:val="00CC66B3"/>
    <w:rsid w:val="00CC6D79"/>
    <w:rsid w:val="00CC72B5"/>
    <w:rsid w:val="00CC7D04"/>
    <w:rsid w:val="00CC7FFC"/>
    <w:rsid w:val="00CD0B31"/>
    <w:rsid w:val="00CD15C7"/>
    <w:rsid w:val="00CD2ADC"/>
    <w:rsid w:val="00CD2CFC"/>
    <w:rsid w:val="00CD3788"/>
    <w:rsid w:val="00CD4DC1"/>
    <w:rsid w:val="00CD5EDD"/>
    <w:rsid w:val="00CD7271"/>
    <w:rsid w:val="00CD72BF"/>
    <w:rsid w:val="00CD76A1"/>
    <w:rsid w:val="00CD7AC1"/>
    <w:rsid w:val="00CE0A2C"/>
    <w:rsid w:val="00CE1EF2"/>
    <w:rsid w:val="00CE2931"/>
    <w:rsid w:val="00CE2D2A"/>
    <w:rsid w:val="00CE2DA0"/>
    <w:rsid w:val="00CE3294"/>
    <w:rsid w:val="00CE460A"/>
    <w:rsid w:val="00CE4B22"/>
    <w:rsid w:val="00CE4D06"/>
    <w:rsid w:val="00CE5252"/>
    <w:rsid w:val="00CE7DB2"/>
    <w:rsid w:val="00CF0053"/>
    <w:rsid w:val="00CF107F"/>
    <w:rsid w:val="00CF1950"/>
    <w:rsid w:val="00CF1BA0"/>
    <w:rsid w:val="00CF34AF"/>
    <w:rsid w:val="00CF3866"/>
    <w:rsid w:val="00CF4662"/>
    <w:rsid w:val="00CF4792"/>
    <w:rsid w:val="00CF4B1C"/>
    <w:rsid w:val="00CF5229"/>
    <w:rsid w:val="00CF70E3"/>
    <w:rsid w:val="00CF71F3"/>
    <w:rsid w:val="00CF74FA"/>
    <w:rsid w:val="00CF755B"/>
    <w:rsid w:val="00CF77CC"/>
    <w:rsid w:val="00CF7E4D"/>
    <w:rsid w:val="00D02AC1"/>
    <w:rsid w:val="00D0352A"/>
    <w:rsid w:val="00D038FE"/>
    <w:rsid w:val="00D0434B"/>
    <w:rsid w:val="00D05233"/>
    <w:rsid w:val="00D063E5"/>
    <w:rsid w:val="00D079B2"/>
    <w:rsid w:val="00D07CE3"/>
    <w:rsid w:val="00D10DCB"/>
    <w:rsid w:val="00D112BB"/>
    <w:rsid w:val="00D12620"/>
    <w:rsid w:val="00D12884"/>
    <w:rsid w:val="00D12910"/>
    <w:rsid w:val="00D13213"/>
    <w:rsid w:val="00D13877"/>
    <w:rsid w:val="00D13F21"/>
    <w:rsid w:val="00D14EA8"/>
    <w:rsid w:val="00D1537F"/>
    <w:rsid w:val="00D15A13"/>
    <w:rsid w:val="00D15FC1"/>
    <w:rsid w:val="00D169C7"/>
    <w:rsid w:val="00D16A5D"/>
    <w:rsid w:val="00D1753E"/>
    <w:rsid w:val="00D17D32"/>
    <w:rsid w:val="00D204DB"/>
    <w:rsid w:val="00D21B34"/>
    <w:rsid w:val="00D21FEA"/>
    <w:rsid w:val="00D225FF"/>
    <w:rsid w:val="00D22DEE"/>
    <w:rsid w:val="00D23148"/>
    <w:rsid w:val="00D23921"/>
    <w:rsid w:val="00D23C1E"/>
    <w:rsid w:val="00D24DB5"/>
    <w:rsid w:val="00D27343"/>
    <w:rsid w:val="00D2747A"/>
    <w:rsid w:val="00D302A8"/>
    <w:rsid w:val="00D30BBC"/>
    <w:rsid w:val="00D31CE2"/>
    <w:rsid w:val="00D32517"/>
    <w:rsid w:val="00D32D79"/>
    <w:rsid w:val="00D3301F"/>
    <w:rsid w:val="00D3469F"/>
    <w:rsid w:val="00D34B29"/>
    <w:rsid w:val="00D3506E"/>
    <w:rsid w:val="00D35353"/>
    <w:rsid w:val="00D35A72"/>
    <w:rsid w:val="00D36E8A"/>
    <w:rsid w:val="00D37194"/>
    <w:rsid w:val="00D413DD"/>
    <w:rsid w:val="00D41997"/>
    <w:rsid w:val="00D4299C"/>
    <w:rsid w:val="00D42BAF"/>
    <w:rsid w:val="00D42CD1"/>
    <w:rsid w:val="00D447FB"/>
    <w:rsid w:val="00D44AB3"/>
    <w:rsid w:val="00D4619D"/>
    <w:rsid w:val="00D4707A"/>
    <w:rsid w:val="00D47460"/>
    <w:rsid w:val="00D478A7"/>
    <w:rsid w:val="00D47FBA"/>
    <w:rsid w:val="00D50474"/>
    <w:rsid w:val="00D50D8F"/>
    <w:rsid w:val="00D5134C"/>
    <w:rsid w:val="00D517C6"/>
    <w:rsid w:val="00D52096"/>
    <w:rsid w:val="00D53295"/>
    <w:rsid w:val="00D54BAC"/>
    <w:rsid w:val="00D55166"/>
    <w:rsid w:val="00D5561B"/>
    <w:rsid w:val="00D56574"/>
    <w:rsid w:val="00D567A8"/>
    <w:rsid w:val="00D57166"/>
    <w:rsid w:val="00D60492"/>
    <w:rsid w:val="00D60FB8"/>
    <w:rsid w:val="00D62E48"/>
    <w:rsid w:val="00D62E6E"/>
    <w:rsid w:val="00D62F44"/>
    <w:rsid w:val="00D639AA"/>
    <w:rsid w:val="00D6503B"/>
    <w:rsid w:val="00D650D5"/>
    <w:rsid w:val="00D650FD"/>
    <w:rsid w:val="00D65FBD"/>
    <w:rsid w:val="00D66196"/>
    <w:rsid w:val="00D6744F"/>
    <w:rsid w:val="00D67696"/>
    <w:rsid w:val="00D679AA"/>
    <w:rsid w:val="00D7018C"/>
    <w:rsid w:val="00D708CB"/>
    <w:rsid w:val="00D70B0F"/>
    <w:rsid w:val="00D70F9D"/>
    <w:rsid w:val="00D7221D"/>
    <w:rsid w:val="00D73F58"/>
    <w:rsid w:val="00D74A49"/>
    <w:rsid w:val="00D757EF"/>
    <w:rsid w:val="00D807F2"/>
    <w:rsid w:val="00D80989"/>
    <w:rsid w:val="00D813BF"/>
    <w:rsid w:val="00D816D1"/>
    <w:rsid w:val="00D82107"/>
    <w:rsid w:val="00D824BD"/>
    <w:rsid w:val="00D82AAF"/>
    <w:rsid w:val="00D82DEE"/>
    <w:rsid w:val="00D83D81"/>
    <w:rsid w:val="00D83F45"/>
    <w:rsid w:val="00D846D9"/>
    <w:rsid w:val="00D84BDD"/>
    <w:rsid w:val="00D84EA6"/>
    <w:rsid w:val="00D8547B"/>
    <w:rsid w:val="00D875E9"/>
    <w:rsid w:val="00D930C7"/>
    <w:rsid w:val="00D931AC"/>
    <w:rsid w:val="00D94198"/>
    <w:rsid w:val="00D94B63"/>
    <w:rsid w:val="00D9683E"/>
    <w:rsid w:val="00D97BBF"/>
    <w:rsid w:val="00D97DD1"/>
    <w:rsid w:val="00DA1C72"/>
    <w:rsid w:val="00DA1F29"/>
    <w:rsid w:val="00DA3557"/>
    <w:rsid w:val="00DA4FE6"/>
    <w:rsid w:val="00DA50AF"/>
    <w:rsid w:val="00DA5599"/>
    <w:rsid w:val="00DA75EC"/>
    <w:rsid w:val="00DB184B"/>
    <w:rsid w:val="00DB19EE"/>
    <w:rsid w:val="00DB1BCD"/>
    <w:rsid w:val="00DB2842"/>
    <w:rsid w:val="00DB2D19"/>
    <w:rsid w:val="00DB2F2D"/>
    <w:rsid w:val="00DB3183"/>
    <w:rsid w:val="00DB35C1"/>
    <w:rsid w:val="00DB42C9"/>
    <w:rsid w:val="00DB5FB9"/>
    <w:rsid w:val="00DB63CB"/>
    <w:rsid w:val="00DB6428"/>
    <w:rsid w:val="00DB6992"/>
    <w:rsid w:val="00DB6BAF"/>
    <w:rsid w:val="00DB7414"/>
    <w:rsid w:val="00DB7C29"/>
    <w:rsid w:val="00DC0B27"/>
    <w:rsid w:val="00DC1723"/>
    <w:rsid w:val="00DC2597"/>
    <w:rsid w:val="00DC2A90"/>
    <w:rsid w:val="00DC3205"/>
    <w:rsid w:val="00DC364A"/>
    <w:rsid w:val="00DC562B"/>
    <w:rsid w:val="00DC66D9"/>
    <w:rsid w:val="00DC6E22"/>
    <w:rsid w:val="00DC6F1D"/>
    <w:rsid w:val="00DD01D7"/>
    <w:rsid w:val="00DD0CFC"/>
    <w:rsid w:val="00DD0D7C"/>
    <w:rsid w:val="00DD169A"/>
    <w:rsid w:val="00DD1D9A"/>
    <w:rsid w:val="00DD2E0E"/>
    <w:rsid w:val="00DD3FD9"/>
    <w:rsid w:val="00DD4958"/>
    <w:rsid w:val="00DD57E0"/>
    <w:rsid w:val="00DD6E55"/>
    <w:rsid w:val="00DE00E5"/>
    <w:rsid w:val="00DE1122"/>
    <w:rsid w:val="00DE16DC"/>
    <w:rsid w:val="00DE1FBE"/>
    <w:rsid w:val="00DE3CC8"/>
    <w:rsid w:val="00DE4B72"/>
    <w:rsid w:val="00DE4BBE"/>
    <w:rsid w:val="00DE4EA4"/>
    <w:rsid w:val="00DE54D1"/>
    <w:rsid w:val="00DE5BBB"/>
    <w:rsid w:val="00DE6562"/>
    <w:rsid w:val="00DE67E5"/>
    <w:rsid w:val="00DE69E7"/>
    <w:rsid w:val="00DE733D"/>
    <w:rsid w:val="00DF1ADE"/>
    <w:rsid w:val="00DF4A29"/>
    <w:rsid w:val="00DF4DFB"/>
    <w:rsid w:val="00DF4F96"/>
    <w:rsid w:val="00DF4FCB"/>
    <w:rsid w:val="00DF63E3"/>
    <w:rsid w:val="00DF666C"/>
    <w:rsid w:val="00DF69A0"/>
    <w:rsid w:val="00DF6B93"/>
    <w:rsid w:val="00DF6C35"/>
    <w:rsid w:val="00DF6C50"/>
    <w:rsid w:val="00DF7397"/>
    <w:rsid w:val="00E00877"/>
    <w:rsid w:val="00E03B3E"/>
    <w:rsid w:val="00E0425A"/>
    <w:rsid w:val="00E04945"/>
    <w:rsid w:val="00E04DF9"/>
    <w:rsid w:val="00E0544B"/>
    <w:rsid w:val="00E054AF"/>
    <w:rsid w:val="00E054CA"/>
    <w:rsid w:val="00E057D1"/>
    <w:rsid w:val="00E0635C"/>
    <w:rsid w:val="00E064C2"/>
    <w:rsid w:val="00E07610"/>
    <w:rsid w:val="00E07D8E"/>
    <w:rsid w:val="00E07EF9"/>
    <w:rsid w:val="00E11D0D"/>
    <w:rsid w:val="00E12696"/>
    <w:rsid w:val="00E13557"/>
    <w:rsid w:val="00E13810"/>
    <w:rsid w:val="00E14EB9"/>
    <w:rsid w:val="00E15B61"/>
    <w:rsid w:val="00E15C24"/>
    <w:rsid w:val="00E162B7"/>
    <w:rsid w:val="00E16DFB"/>
    <w:rsid w:val="00E170FF"/>
    <w:rsid w:val="00E1777C"/>
    <w:rsid w:val="00E17A4A"/>
    <w:rsid w:val="00E21A94"/>
    <w:rsid w:val="00E21E0A"/>
    <w:rsid w:val="00E21E22"/>
    <w:rsid w:val="00E21FC6"/>
    <w:rsid w:val="00E22B67"/>
    <w:rsid w:val="00E23AE1"/>
    <w:rsid w:val="00E251DF"/>
    <w:rsid w:val="00E260B8"/>
    <w:rsid w:val="00E26B30"/>
    <w:rsid w:val="00E30815"/>
    <w:rsid w:val="00E315F3"/>
    <w:rsid w:val="00E31740"/>
    <w:rsid w:val="00E31E3F"/>
    <w:rsid w:val="00E32BD0"/>
    <w:rsid w:val="00E3398E"/>
    <w:rsid w:val="00E33A16"/>
    <w:rsid w:val="00E33EF4"/>
    <w:rsid w:val="00E34BF6"/>
    <w:rsid w:val="00E36D35"/>
    <w:rsid w:val="00E405EE"/>
    <w:rsid w:val="00E40FF5"/>
    <w:rsid w:val="00E417F7"/>
    <w:rsid w:val="00E439AD"/>
    <w:rsid w:val="00E445FF"/>
    <w:rsid w:val="00E4473E"/>
    <w:rsid w:val="00E4498B"/>
    <w:rsid w:val="00E44E75"/>
    <w:rsid w:val="00E4502F"/>
    <w:rsid w:val="00E45E0B"/>
    <w:rsid w:val="00E45E6C"/>
    <w:rsid w:val="00E461F7"/>
    <w:rsid w:val="00E46530"/>
    <w:rsid w:val="00E47971"/>
    <w:rsid w:val="00E50E60"/>
    <w:rsid w:val="00E51156"/>
    <w:rsid w:val="00E5148F"/>
    <w:rsid w:val="00E51F19"/>
    <w:rsid w:val="00E524E1"/>
    <w:rsid w:val="00E536E2"/>
    <w:rsid w:val="00E53BD2"/>
    <w:rsid w:val="00E57788"/>
    <w:rsid w:val="00E57B57"/>
    <w:rsid w:val="00E60013"/>
    <w:rsid w:val="00E606E8"/>
    <w:rsid w:val="00E618C7"/>
    <w:rsid w:val="00E6196D"/>
    <w:rsid w:val="00E61AC8"/>
    <w:rsid w:val="00E62F84"/>
    <w:rsid w:val="00E63656"/>
    <w:rsid w:val="00E637DF"/>
    <w:rsid w:val="00E63A13"/>
    <w:rsid w:val="00E63A47"/>
    <w:rsid w:val="00E64698"/>
    <w:rsid w:val="00E648AA"/>
    <w:rsid w:val="00E64B74"/>
    <w:rsid w:val="00E64C07"/>
    <w:rsid w:val="00E65743"/>
    <w:rsid w:val="00E659E7"/>
    <w:rsid w:val="00E65E5E"/>
    <w:rsid w:val="00E66DE5"/>
    <w:rsid w:val="00E7054F"/>
    <w:rsid w:val="00E71DBD"/>
    <w:rsid w:val="00E72B2B"/>
    <w:rsid w:val="00E73EAE"/>
    <w:rsid w:val="00E73F14"/>
    <w:rsid w:val="00E76222"/>
    <w:rsid w:val="00E7638D"/>
    <w:rsid w:val="00E765D5"/>
    <w:rsid w:val="00E767BB"/>
    <w:rsid w:val="00E76B2A"/>
    <w:rsid w:val="00E76B4C"/>
    <w:rsid w:val="00E77103"/>
    <w:rsid w:val="00E80095"/>
    <w:rsid w:val="00E80382"/>
    <w:rsid w:val="00E805BC"/>
    <w:rsid w:val="00E8090A"/>
    <w:rsid w:val="00E80D3B"/>
    <w:rsid w:val="00E81A2F"/>
    <w:rsid w:val="00E81C19"/>
    <w:rsid w:val="00E823D8"/>
    <w:rsid w:val="00E82457"/>
    <w:rsid w:val="00E831C0"/>
    <w:rsid w:val="00E834C1"/>
    <w:rsid w:val="00E840ED"/>
    <w:rsid w:val="00E8495F"/>
    <w:rsid w:val="00E84B47"/>
    <w:rsid w:val="00E8543C"/>
    <w:rsid w:val="00E85AB7"/>
    <w:rsid w:val="00E86C12"/>
    <w:rsid w:val="00E87FF5"/>
    <w:rsid w:val="00E90657"/>
    <w:rsid w:val="00E910E7"/>
    <w:rsid w:val="00E91E39"/>
    <w:rsid w:val="00E92A33"/>
    <w:rsid w:val="00E92B6D"/>
    <w:rsid w:val="00E93640"/>
    <w:rsid w:val="00E93C8B"/>
    <w:rsid w:val="00E9487C"/>
    <w:rsid w:val="00E94958"/>
    <w:rsid w:val="00E94BE9"/>
    <w:rsid w:val="00E94CB2"/>
    <w:rsid w:val="00E97E24"/>
    <w:rsid w:val="00EA0E41"/>
    <w:rsid w:val="00EA1138"/>
    <w:rsid w:val="00EA19C3"/>
    <w:rsid w:val="00EA35E8"/>
    <w:rsid w:val="00EA4B56"/>
    <w:rsid w:val="00EA5761"/>
    <w:rsid w:val="00EA577A"/>
    <w:rsid w:val="00EA6033"/>
    <w:rsid w:val="00EA67C9"/>
    <w:rsid w:val="00EA7CCF"/>
    <w:rsid w:val="00EB02B2"/>
    <w:rsid w:val="00EB056E"/>
    <w:rsid w:val="00EB08A6"/>
    <w:rsid w:val="00EB0BC2"/>
    <w:rsid w:val="00EB10C8"/>
    <w:rsid w:val="00EB407E"/>
    <w:rsid w:val="00EB4AB9"/>
    <w:rsid w:val="00EB5195"/>
    <w:rsid w:val="00EB6BF0"/>
    <w:rsid w:val="00EB71D2"/>
    <w:rsid w:val="00EB735D"/>
    <w:rsid w:val="00EB7F02"/>
    <w:rsid w:val="00EC04FD"/>
    <w:rsid w:val="00EC19B9"/>
    <w:rsid w:val="00EC2673"/>
    <w:rsid w:val="00EC2B87"/>
    <w:rsid w:val="00EC355E"/>
    <w:rsid w:val="00EC3C59"/>
    <w:rsid w:val="00EC563A"/>
    <w:rsid w:val="00EC5C73"/>
    <w:rsid w:val="00EC6CD9"/>
    <w:rsid w:val="00EC6CF7"/>
    <w:rsid w:val="00EC6D32"/>
    <w:rsid w:val="00EC73C9"/>
    <w:rsid w:val="00ED23DC"/>
    <w:rsid w:val="00ED245F"/>
    <w:rsid w:val="00ED3BB6"/>
    <w:rsid w:val="00ED3D90"/>
    <w:rsid w:val="00ED3FF5"/>
    <w:rsid w:val="00ED46E8"/>
    <w:rsid w:val="00ED6959"/>
    <w:rsid w:val="00ED6E70"/>
    <w:rsid w:val="00ED70C9"/>
    <w:rsid w:val="00ED7268"/>
    <w:rsid w:val="00EE2029"/>
    <w:rsid w:val="00EE3422"/>
    <w:rsid w:val="00EE3F52"/>
    <w:rsid w:val="00EE67F6"/>
    <w:rsid w:val="00EF06B1"/>
    <w:rsid w:val="00EF082D"/>
    <w:rsid w:val="00EF0BDC"/>
    <w:rsid w:val="00EF1742"/>
    <w:rsid w:val="00EF2F75"/>
    <w:rsid w:val="00EF341C"/>
    <w:rsid w:val="00EF3AD4"/>
    <w:rsid w:val="00EF4158"/>
    <w:rsid w:val="00EF4790"/>
    <w:rsid w:val="00EF549D"/>
    <w:rsid w:val="00EF5D2C"/>
    <w:rsid w:val="00EF607E"/>
    <w:rsid w:val="00EF689C"/>
    <w:rsid w:val="00F0030E"/>
    <w:rsid w:val="00F003D9"/>
    <w:rsid w:val="00F01992"/>
    <w:rsid w:val="00F02157"/>
    <w:rsid w:val="00F0255F"/>
    <w:rsid w:val="00F02703"/>
    <w:rsid w:val="00F02B20"/>
    <w:rsid w:val="00F0332B"/>
    <w:rsid w:val="00F03F54"/>
    <w:rsid w:val="00F04426"/>
    <w:rsid w:val="00F048E2"/>
    <w:rsid w:val="00F05726"/>
    <w:rsid w:val="00F06554"/>
    <w:rsid w:val="00F070E9"/>
    <w:rsid w:val="00F07F69"/>
    <w:rsid w:val="00F108EB"/>
    <w:rsid w:val="00F108ED"/>
    <w:rsid w:val="00F11FA1"/>
    <w:rsid w:val="00F1225D"/>
    <w:rsid w:val="00F13231"/>
    <w:rsid w:val="00F13C93"/>
    <w:rsid w:val="00F14F2A"/>
    <w:rsid w:val="00F15E96"/>
    <w:rsid w:val="00F161E8"/>
    <w:rsid w:val="00F165DB"/>
    <w:rsid w:val="00F17051"/>
    <w:rsid w:val="00F20674"/>
    <w:rsid w:val="00F2088B"/>
    <w:rsid w:val="00F2112A"/>
    <w:rsid w:val="00F21509"/>
    <w:rsid w:val="00F21F55"/>
    <w:rsid w:val="00F22A70"/>
    <w:rsid w:val="00F22C25"/>
    <w:rsid w:val="00F23108"/>
    <w:rsid w:val="00F233E3"/>
    <w:rsid w:val="00F23C50"/>
    <w:rsid w:val="00F240E1"/>
    <w:rsid w:val="00F2437F"/>
    <w:rsid w:val="00F243C7"/>
    <w:rsid w:val="00F2444A"/>
    <w:rsid w:val="00F249E2"/>
    <w:rsid w:val="00F24FB5"/>
    <w:rsid w:val="00F25494"/>
    <w:rsid w:val="00F25A33"/>
    <w:rsid w:val="00F25A39"/>
    <w:rsid w:val="00F25CDA"/>
    <w:rsid w:val="00F25D79"/>
    <w:rsid w:val="00F26408"/>
    <w:rsid w:val="00F268E3"/>
    <w:rsid w:val="00F26A65"/>
    <w:rsid w:val="00F270F7"/>
    <w:rsid w:val="00F2713A"/>
    <w:rsid w:val="00F2717B"/>
    <w:rsid w:val="00F27905"/>
    <w:rsid w:val="00F303D4"/>
    <w:rsid w:val="00F3041B"/>
    <w:rsid w:val="00F31AAB"/>
    <w:rsid w:val="00F31E0D"/>
    <w:rsid w:val="00F31F2F"/>
    <w:rsid w:val="00F32CD7"/>
    <w:rsid w:val="00F330B6"/>
    <w:rsid w:val="00F3319B"/>
    <w:rsid w:val="00F3520A"/>
    <w:rsid w:val="00F352B5"/>
    <w:rsid w:val="00F35A93"/>
    <w:rsid w:val="00F36399"/>
    <w:rsid w:val="00F36F4E"/>
    <w:rsid w:val="00F372DD"/>
    <w:rsid w:val="00F3758D"/>
    <w:rsid w:val="00F37634"/>
    <w:rsid w:val="00F37E99"/>
    <w:rsid w:val="00F4010B"/>
    <w:rsid w:val="00F4135B"/>
    <w:rsid w:val="00F41897"/>
    <w:rsid w:val="00F423D4"/>
    <w:rsid w:val="00F42A0E"/>
    <w:rsid w:val="00F42A6E"/>
    <w:rsid w:val="00F449D6"/>
    <w:rsid w:val="00F459C7"/>
    <w:rsid w:val="00F45EFF"/>
    <w:rsid w:val="00F467A4"/>
    <w:rsid w:val="00F46F44"/>
    <w:rsid w:val="00F46F7B"/>
    <w:rsid w:val="00F47245"/>
    <w:rsid w:val="00F47DBE"/>
    <w:rsid w:val="00F47F36"/>
    <w:rsid w:val="00F504A3"/>
    <w:rsid w:val="00F507FF"/>
    <w:rsid w:val="00F5093A"/>
    <w:rsid w:val="00F50C91"/>
    <w:rsid w:val="00F51015"/>
    <w:rsid w:val="00F5136E"/>
    <w:rsid w:val="00F51F15"/>
    <w:rsid w:val="00F51FE8"/>
    <w:rsid w:val="00F528CF"/>
    <w:rsid w:val="00F52A09"/>
    <w:rsid w:val="00F5300A"/>
    <w:rsid w:val="00F53A17"/>
    <w:rsid w:val="00F54A64"/>
    <w:rsid w:val="00F5509D"/>
    <w:rsid w:val="00F5520F"/>
    <w:rsid w:val="00F55985"/>
    <w:rsid w:val="00F56558"/>
    <w:rsid w:val="00F56C7A"/>
    <w:rsid w:val="00F571BC"/>
    <w:rsid w:val="00F6048C"/>
    <w:rsid w:val="00F609F7"/>
    <w:rsid w:val="00F60FE2"/>
    <w:rsid w:val="00F626C5"/>
    <w:rsid w:val="00F6278E"/>
    <w:rsid w:val="00F6322A"/>
    <w:rsid w:val="00F640A9"/>
    <w:rsid w:val="00F64B42"/>
    <w:rsid w:val="00F66766"/>
    <w:rsid w:val="00F66810"/>
    <w:rsid w:val="00F673EB"/>
    <w:rsid w:val="00F67BCB"/>
    <w:rsid w:val="00F7061F"/>
    <w:rsid w:val="00F70841"/>
    <w:rsid w:val="00F70B37"/>
    <w:rsid w:val="00F71B3B"/>
    <w:rsid w:val="00F7308A"/>
    <w:rsid w:val="00F73550"/>
    <w:rsid w:val="00F73CF3"/>
    <w:rsid w:val="00F73E02"/>
    <w:rsid w:val="00F73EAA"/>
    <w:rsid w:val="00F74315"/>
    <w:rsid w:val="00F753B0"/>
    <w:rsid w:val="00F75E28"/>
    <w:rsid w:val="00F76235"/>
    <w:rsid w:val="00F7632B"/>
    <w:rsid w:val="00F777A0"/>
    <w:rsid w:val="00F80395"/>
    <w:rsid w:val="00F818A5"/>
    <w:rsid w:val="00F82B2C"/>
    <w:rsid w:val="00F834AC"/>
    <w:rsid w:val="00F83AA1"/>
    <w:rsid w:val="00F83B13"/>
    <w:rsid w:val="00F84C68"/>
    <w:rsid w:val="00F85B86"/>
    <w:rsid w:val="00F85C03"/>
    <w:rsid w:val="00F8644B"/>
    <w:rsid w:val="00F87622"/>
    <w:rsid w:val="00F8766C"/>
    <w:rsid w:val="00F90410"/>
    <w:rsid w:val="00F9075E"/>
    <w:rsid w:val="00F92470"/>
    <w:rsid w:val="00F928FE"/>
    <w:rsid w:val="00F93576"/>
    <w:rsid w:val="00F93C74"/>
    <w:rsid w:val="00F94066"/>
    <w:rsid w:val="00F945F8"/>
    <w:rsid w:val="00F94B51"/>
    <w:rsid w:val="00F965E2"/>
    <w:rsid w:val="00F96EA9"/>
    <w:rsid w:val="00F973F9"/>
    <w:rsid w:val="00FA0161"/>
    <w:rsid w:val="00FA0841"/>
    <w:rsid w:val="00FA0F84"/>
    <w:rsid w:val="00FA115B"/>
    <w:rsid w:val="00FA192D"/>
    <w:rsid w:val="00FA24DB"/>
    <w:rsid w:val="00FA2B0A"/>
    <w:rsid w:val="00FA4742"/>
    <w:rsid w:val="00FA480B"/>
    <w:rsid w:val="00FA4EDC"/>
    <w:rsid w:val="00FA797D"/>
    <w:rsid w:val="00FB02A1"/>
    <w:rsid w:val="00FB0F16"/>
    <w:rsid w:val="00FB15B5"/>
    <w:rsid w:val="00FB28AE"/>
    <w:rsid w:val="00FB2B2E"/>
    <w:rsid w:val="00FB30DA"/>
    <w:rsid w:val="00FB3674"/>
    <w:rsid w:val="00FB47DB"/>
    <w:rsid w:val="00FB5E66"/>
    <w:rsid w:val="00FB7799"/>
    <w:rsid w:val="00FB7F5F"/>
    <w:rsid w:val="00FC0668"/>
    <w:rsid w:val="00FC0C4F"/>
    <w:rsid w:val="00FC17CA"/>
    <w:rsid w:val="00FC1C77"/>
    <w:rsid w:val="00FC2E77"/>
    <w:rsid w:val="00FC302A"/>
    <w:rsid w:val="00FC462C"/>
    <w:rsid w:val="00FC4C06"/>
    <w:rsid w:val="00FC595F"/>
    <w:rsid w:val="00FC6DAA"/>
    <w:rsid w:val="00FC6DDD"/>
    <w:rsid w:val="00FD08C1"/>
    <w:rsid w:val="00FD299D"/>
    <w:rsid w:val="00FD2D77"/>
    <w:rsid w:val="00FD2E83"/>
    <w:rsid w:val="00FD2FAD"/>
    <w:rsid w:val="00FD31E7"/>
    <w:rsid w:val="00FD4D33"/>
    <w:rsid w:val="00FD4D44"/>
    <w:rsid w:val="00FD528A"/>
    <w:rsid w:val="00FD5F2C"/>
    <w:rsid w:val="00FD7034"/>
    <w:rsid w:val="00FD77BD"/>
    <w:rsid w:val="00FD78AC"/>
    <w:rsid w:val="00FE09A8"/>
    <w:rsid w:val="00FE2A67"/>
    <w:rsid w:val="00FE2C27"/>
    <w:rsid w:val="00FE3A29"/>
    <w:rsid w:val="00FE3F3F"/>
    <w:rsid w:val="00FE3F47"/>
    <w:rsid w:val="00FE3F8F"/>
    <w:rsid w:val="00FE47B6"/>
    <w:rsid w:val="00FE5C47"/>
    <w:rsid w:val="00FE6369"/>
    <w:rsid w:val="00FE6AC1"/>
    <w:rsid w:val="00FE74C5"/>
    <w:rsid w:val="00FE7E9C"/>
    <w:rsid w:val="00FF01F4"/>
    <w:rsid w:val="00FF0F38"/>
    <w:rsid w:val="00FF1684"/>
    <w:rsid w:val="00FF25B4"/>
    <w:rsid w:val="00FF378A"/>
    <w:rsid w:val="00FF3955"/>
    <w:rsid w:val="00FF4BBC"/>
    <w:rsid w:val="00FF4C0D"/>
    <w:rsid w:val="00FF6587"/>
    <w:rsid w:val="00FF7077"/>
    <w:rsid w:val="00FF7116"/>
    <w:rsid w:val="00FF7B1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6B358DA"/>
  <w15:docId w15:val="{70CD1F63-2749-4D14-81ED-5C176B256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4A39"/>
    <w:rPr>
      <w:sz w:val="22"/>
      <w:szCs w:val="22"/>
      <w:lang w:val="en-GB" w:eastAsia="en-GB"/>
    </w:rPr>
  </w:style>
  <w:style w:type="paragraph" w:styleId="Heading1">
    <w:name w:val="heading 1"/>
    <w:aliases w:val="h1"/>
    <w:next w:val="Paragraph"/>
    <w:link w:val="Heading1Char"/>
    <w:uiPriority w:val="9"/>
    <w:qFormat/>
    <w:rsid w:val="00283E1C"/>
    <w:pPr>
      <w:numPr>
        <w:numId w:val="8"/>
      </w:numPr>
      <w:spacing w:before="6600" w:line="264" w:lineRule="auto"/>
      <w:ind w:left="851" w:hanging="851"/>
      <w:outlineLvl w:val="0"/>
    </w:pPr>
    <w:rPr>
      <w:rFonts w:eastAsia="Arial Unicode MS" w:cs="Calibri"/>
      <w:b/>
      <w:bCs/>
      <w:color w:val="FFFFFF" w:themeColor="background1"/>
      <w:sz w:val="72"/>
      <w:szCs w:val="88"/>
      <w:lang w:val="en-GB" w:eastAsia="en-GB"/>
    </w:rPr>
  </w:style>
  <w:style w:type="paragraph" w:styleId="Heading2">
    <w:name w:val="heading 2"/>
    <w:aliases w:val="h2"/>
    <w:basedOn w:val="Heading1"/>
    <w:next w:val="Paragraph"/>
    <w:link w:val="Heading2Char"/>
    <w:uiPriority w:val="9"/>
    <w:qFormat/>
    <w:rsid w:val="00436E11"/>
    <w:pPr>
      <w:keepNext/>
      <w:keepLines/>
      <w:numPr>
        <w:ilvl w:val="1"/>
      </w:numPr>
      <w:spacing w:before="360"/>
      <w:ind w:left="992" w:hanging="998"/>
      <w:outlineLvl w:val="1"/>
    </w:pPr>
    <w:rPr>
      <w:bCs w:val="0"/>
      <w:color w:val="0079C1" w:themeColor="text2"/>
      <w:sz w:val="36"/>
      <w:lang w:eastAsia="en-AU"/>
    </w:rPr>
  </w:style>
  <w:style w:type="paragraph" w:styleId="Heading3">
    <w:name w:val="heading 3"/>
    <w:aliases w:val="h3"/>
    <w:basedOn w:val="Heading2"/>
    <w:next w:val="Paragraph"/>
    <w:link w:val="Heading3Char"/>
    <w:uiPriority w:val="9"/>
    <w:qFormat/>
    <w:rsid w:val="000F341C"/>
    <w:pPr>
      <w:numPr>
        <w:ilvl w:val="2"/>
      </w:numPr>
      <w:spacing w:after="120"/>
      <w:ind w:left="993" w:hanging="993"/>
      <w:outlineLvl w:val="2"/>
    </w:pPr>
    <w:rPr>
      <w:sz w:val="28"/>
    </w:rPr>
  </w:style>
  <w:style w:type="paragraph" w:styleId="Heading4">
    <w:name w:val="heading 4"/>
    <w:aliases w:val="h4"/>
    <w:basedOn w:val="Heading3"/>
    <w:next w:val="Paragraph"/>
    <w:link w:val="Heading4Char"/>
    <w:uiPriority w:val="9"/>
    <w:qFormat/>
    <w:rsid w:val="005762AD"/>
    <w:pPr>
      <w:numPr>
        <w:ilvl w:val="0"/>
        <w:numId w:val="0"/>
      </w:numPr>
      <w:spacing w:before="240" w:line="240" w:lineRule="auto"/>
      <w:outlineLvl w:val="3"/>
    </w:pPr>
    <w:rPr>
      <w:noProof/>
      <w:sz w:val="24"/>
    </w:rPr>
  </w:style>
  <w:style w:type="paragraph" w:styleId="Heading5">
    <w:name w:val="heading 5"/>
    <w:aliases w:val="h5"/>
    <w:basedOn w:val="Heading4"/>
    <w:next w:val="Paragraph"/>
    <w:link w:val="Heading5Char"/>
    <w:uiPriority w:val="9"/>
    <w:qFormat/>
    <w:rsid w:val="002E59B3"/>
    <w:pPr>
      <w:spacing w:after="0"/>
      <w:outlineLvl w:val="4"/>
    </w:pPr>
    <w:rPr>
      <w:rFonts w:cs="Arial"/>
      <w:color w:val="595959" w:themeColor="text1" w:themeTint="A6"/>
      <w:szCs w:val="24"/>
    </w:rPr>
  </w:style>
  <w:style w:type="paragraph" w:styleId="Heading6">
    <w:name w:val="heading 6"/>
    <w:aliases w:val="h6"/>
    <w:basedOn w:val="Heading5"/>
    <w:next w:val="Paragraph"/>
    <w:link w:val="Heading6Char"/>
    <w:uiPriority w:val="9"/>
    <w:qFormat/>
    <w:rsid w:val="00976616"/>
    <w:pPr>
      <w:spacing w:after="120"/>
      <w:outlineLvl w:val="5"/>
    </w:pPr>
    <w:rPr>
      <w:rFonts w:cs="Calibri"/>
      <w:bCs/>
      <w:i/>
    </w:rPr>
  </w:style>
  <w:style w:type="paragraph" w:styleId="Heading7">
    <w:name w:val="heading 7"/>
    <w:aliases w:val="h7"/>
    <w:basedOn w:val="Heading1"/>
    <w:next w:val="Paragraph"/>
    <w:link w:val="Heading7Char"/>
    <w:uiPriority w:val="9"/>
    <w:qFormat/>
    <w:rsid w:val="007F2EAD"/>
    <w:pPr>
      <w:numPr>
        <w:numId w:val="9"/>
      </w:numPr>
      <w:tabs>
        <w:tab w:val="left" w:pos="3119"/>
      </w:tabs>
      <w:spacing w:before="4000"/>
      <w:ind w:left="3119" w:hanging="3119"/>
      <w:outlineLvl w:val="6"/>
    </w:pPr>
    <w:rPr>
      <w:sz w:val="56"/>
      <w:szCs w:val="40"/>
      <w:lang w:eastAsia="en-AU"/>
    </w:rPr>
  </w:style>
  <w:style w:type="paragraph" w:styleId="Heading8">
    <w:name w:val="heading 8"/>
    <w:aliases w:val="h8"/>
    <w:basedOn w:val="Heading2"/>
    <w:next w:val="Paragraph"/>
    <w:link w:val="Heading8Char"/>
    <w:uiPriority w:val="9"/>
    <w:qFormat/>
    <w:rsid w:val="009D611E"/>
    <w:pPr>
      <w:numPr>
        <w:numId w:val="17"/>
      </w:numPr>
      <w:spacing w:after="120"/>
      <w:outlineLvl w:val="7"/>
    </w:pPr>
  </w:style>
  <w:style w:type="paragraph" w:styleId="Heading9">
    <w:name w:val="heading 9"/>
    <w:aliases w:val="h9"/>
    <w:basedOn w:val="Heading4"/>
    <w:next w:val="Paragraph"/>
    <w:link w:val="Heading9Char"/>
    <w:uiPriority w:val="9"/>
    <w:qFormat/>
    <w:rsid w:val="004876F6"/>
    <w:pPr>
      <w:outlineLvl w:val="8"/>
    </w:pPr>
    <w:rPr>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aliases w:val="p,Para"/>
    <w:basedOn w:val="Normal"/>
    <w:link w:val="ParagraphChar"/>
    <w:qFormat/>
    <w:rsid w:val="00BF705D"/>
    <w:pPr>
      <w:spacing w:before="240" w:after="240" w:line="264" w:lineRule="auto"/>
    </w:pPr>
  </w:style>
  <w:style w:type="character" w:customStyle="1" w:styleId="ParagraphChar">
    <w:name w:val="Paragraph Char"/>
    <w:aliases w:val="p Char,Para Char"/>
    <w:basedOn w:val="DefaultParagraphFont"/>
    <w:link w:val="Paragraph"/>
    <w:rsid w:val="00BF705D"/>
    <w:rPr>
      <w:sz w:val="22"/>
      <w:szCs w:val="22"/>
      <w:lang w:val="en-GB" w:eastAsia="en-GB"/>
    </w:rPr>
  </w:style>
  <w:style w:type="character" w:customStyle="1" w:styleId="Heading1Char">
    <w:name w:val="Heading 1 Char"/>
    <w:aliases w:val="h1 Char"/>
    <w:basedOn w:val="DefaultParagraphFont"/>
    <w:link w:val="Heading1"/>
    <w:uiPriority w:val="9"/>
    <w:rsid w:val="00283E1C"/>
    <w:rPr>
      <w:rFonts w:eastAsia="Arial Unicode MS" w:cs="Calibri"/>
      <w:b/>
      <w:bCs/>
      <w:color w:val="FFFFFF" w:themeColor="background1"/>
      <w:sz w:val="72"/>
      <w:szCs w:val="88"/>
      <w:lang w:val="en-GB" w:eastAsia="en-GB"/>
    </w:rPr>
  </w:style>
  <w:style w:type="character" w:customStyle="1" w:styleId="Heading2Char">
    <w:name w:val="Heading 2 Char"/>
    <w:aliases w:val="h2 Char"/>
    <w:basedOn w:val="DefaultParagraphFont"/>
    <w:link w:val="Heading2"/>
    <w:uiPriority w:val="9"/>
    <w:rsid w:val="00436E11"/>
    <w:rPr>
      <w:rFonts w:eastAsia="Arial Unicode MS" w:cs="Calibri"/>
      <w:b/>
      <w:color w:val="0079C1" w:themeColor="text2"/>
      <w:sz w:val="36"/>
      <w:szCs w:val="88"/>
      <w:lang w:val="en-GB"/>
    </w:rPr>
  </w:style>
  <w:style w:type="character" w:customStyle="1" w:styleId="Heading3Char">
    <w:name w:val="Heading 3 Char"/>
    <w:aliases w:val="h3 Char"/>
    <w:basedOn w:val="DefaultParagraphFont"/>
    <w:link w:val="Heading3"/>
    <w:uiPriority w:val="9"/>
    <w:rsid w:val="000F341C"/>
    <w:rPr>
      <w:rFonts w:eastAsia="Arial Unicode MS" w:cs="Calibri"/>
      <w:b/>
      <w:color w:val="0079C1" w:themeColor="text2"/>
      <w:sz w:val="28"/>
      <w:szCs w:val="88"/>
      <w:lang w:val="en-GB"/>
    </w:rPr>
  </w:style>
  <w:style w:type="character" w:customStyle="1" w:styleId="Heading4Char">
    <w:name w:val="Heading 4 Char"/>
    <w:aliases w:val="h4 Char"/>
    <w:basedOn w:val="DefaultParagraphFont"/>
    <w:link w:val="Heading4"/>
    <w:uiPriority w:val="9"/>
    <w:rsid w:val="005762AD"/>
    <w:rPr>
      <w:rFonts w:eastAsia="Arial Unicode MS" w:cs="Calibri"/>
      <w:b/>
      <w:noProof/>
      <w:color w:val="0079C1" w:themeColor="text2"/>
      <w:sz w:val="24"/>
      <w:szCs w:val="88"/>
      <w:lang w:val="en-GB"/>
    </w:rPr>
  </w:style>
  <w:style w:type="character" w:customStyle="1" w:styleId="Heading5Char">
    <w:name w:val="Heading 5 Char"/>
    <w:aliases w:val="h5 Char"/>
    <w:basedOn w:val="DefaultParagraphFont"/>
    <w:link w:val="Heading5"/>
    <w:uiPriority w:val="9"/>
    <w:rsid w:val="002E59B3"/>
    <w:rPr>
      <w:rFonts w:eastAsia="Arial Unicode MS" w:cs="Arial"/>
      <w:b/>
      <w:noProof/>
      <w:color w:val="595959" w:themeColor="text1" w:themeTint="A6"/>
      <w:sz w:val="24"/>
      <w:szCs w:val="24"/>
      <w:lang w:val="en-GB"/>
    </w:rPr>
  </w:style>
  <w:style w:type="character" w:customStyle="1" w:styleId="Heading6Char">
    <w:name w:val="Heading 6 Char"/>
    <w:aliases w:val="h6 Char"/>
    <w:link w:val="Heading6"/>
    <w:uiPriority w:val="9"/>
    <w:rsid w:val="00976616"/>
    <w:rPr>
      <w:rFonts w:eastAsia="Arial Unicode MS" w:cs="Calibri"/>
      <w:b/>
      <w:bCs/>
      <w:i/>
      <w:color w:val="808080" w:themeColor="background1" w:themeShade="80"/>
      <w:sz w:val="24"/>
      <w:szCs w:val="24"/>
      <w:lang w:val="en-GB"/>
    </w:rPr>
  </w:style>
  <w:style w:type="character" w:customStyle="1" w:styleId="Heading7Char">
    <w:name w:val="Heading 7 Char"/>
    <w:aliases w:val="h7 Char"/>
    <w:link w:val="Heading7"/>
    <w:uiPriority w:val="9"/>
    <w:rsid w:val="007F2EAD"/>
    <w:rPr>
      <w:rFonts w:eastAsia="Arial Unicode MS" w:cs="Calibri"/>
      <w:b/>
      <w:bCs/>
      <w:color w:val="FFFFFF" w:themeColor="background1"/>
      <w:sz w:val="56"/>
      <w:szCs w:val="40"/>
      <w:lang w:val="en-GB"/>
    </w:rPr>
  </w:style>
  <w:style w:type="character" w:customStyle="1" w:styleId="Heading8Char">
    <w:name w:val="Heading 8 Char"/>
    <w:aliases w:val="h8 Char"/>
    <w:link w:val="Heading8"/>
    <w:uiPriority w:val="9"/>
    <w:rsid w:val="009D611E"/>
    <w:rPr>
      <w:rFonts w:eastAsia="Arial Unicode MS" w:cs="Calibri"/>
      <w:b/>
      <w:color w:val="0079C1" w:themeColor="text2"/>
      <w:sz w:val="36"/>
      <w:szCs w:val="88"/>
      <w:lang w:val="en-GB"/>
    </w:rPr>
  </w:style>
  <w:style w:type="character" w:customStyle="1" w:styleId="Heading9Char">
    <w:name w:val="Heading 9 Char"/>
    <w:aliases w:val="h9 Char"/>
    <w:link w:val="Heading9"/>
    <w:uiPriority w:val="9"/>
    <w:rsid w:val="004876F6"/>
    <w:rPr>
      <w:rFonts w:eastAsia="Arial Unicode MS" w:cs="Calibri"/>
      <w:b/>
      <w:iCs/>
      <w:noProof/>
      <w:color w:val="0079C1" w:themeColor="text2"/>
      <w:sz w:val="28"/>
      <w:lang w:val="en-GB"/>
    </w:rPr>
  </w:style>
  <w:style w:type="paragraph" w:styleId="Header">
    <w:name w:val="header"/>
    <w:basedOn w:val="Normal"/>
    <w:link w:val="HeaderChar"/>
    <w:uiPriority w:val="99"/>
    <w:unhideWhenUsed/>
    <w:qFormat/>
    <w:rsid w:val="00CF3866"/>
    <w:pPr>
      <w:pBdr>
        <w:bottom w:val="single" w:sz="4" w:space="1" w:color="0079C1" w:themeColor="text2"/>
      </w:pBdr>
      <w:tabs>
        <w:tab w:val="left" w:pos="426"/>
      </w:tabs>
      <w:spacing w:after="240"/>
    </w:pPr>
    <w:rPr>
      <w:b/>
      <w:noProof/>
      <w:color w:val="0079C1" w:themeColor="text2"/>
      <w:sz w:val="28"/>
      <w:szCs w:val="36"/>
    </w:rPr>
  </w:style>
  <w:style w:type="character" w:customStyle="1" w:styleId="HeaderChar">
    <w:name w:val="Header Char"/>
    <w:basedOn w:val="DefaultParagraphFont"/>
    <w:link w:val="Header"/>
    <w:uiPriority w:val="99"/>
    <w:rsid w:val="00CF3866"/>
    <w:rPr>
      <w:b/>
      <w:noProof/>
      <w:color w:val="0079C1" w:themeColor="text2"/>
      <w:sz w:val="28"/>
      <w:szCs w:val="36"/>
      <w:lang w:val="en-GB" w:eastAsia="en-GB"/>
    </w:rPr>
  </w:style>
  <w:style w:type="paragraph" w:styleId="Footer">
    <w:name w:val="footer"/>
    <w:basedOn w:val="Normal"/>
    <w:link w:val="FooterChar"/>
    <w:uiPriority w:val="99"/>
    <w:unhideWhenUsed/>
    <w:qFormat/>
    <w:rsid w:val="0027225E"/>
    <w:pPr>
      <w:pBdr>
        <w:top w:val="single" w:sz="4" w:space="6" w:color="0079C1" w:themeColor="text2"/>
      </w:pBdr>
      <w:spacing w:before="120"/>
      <w:jc w:val="right"/>
    </w:pPr>
    <w:rPr>
      <w:rFonts w:eastAsiaTheme="minorHAnsi" w:cs="Calibri"/>
      <w:bCs/>
      <w:noProof/>
      <w:color w:val="0079C1" w:themeColor="text2"/>
      <w:sz w:val="20"/>
      <w:szCs w:val="28"/>
    </w:rPr>
  </w:style>
  <w:style w:type="character" w:customStyle="1" w:styleId="FooterChar">
    <w:name w:val="Footer Char"/>
    <w:basedOn w:val="DefaultParagraphFont"/>
    <w:link w:val="Footer"/>
    <w:uiPriority w:val="99"/>
    <w:rsid w:val="0027225E"/>
    <w:rPr>
      <w:rFonts w:eastAsiaTheme="minorHAnsi" w:cs="Calibri"/>
      <w:bCs/>
      <w:noProof/>
      <w:color w:val="0079C1" w:themeColor="text2"/>
      <w:szCs w:val="28"/>
      <w:lang w:val="en-GB" w:eastAsia="en-GB"/>
    </w:rPr>
  </w:style>
  <w:style w:type="paragraph" w:styleId="BalloonText">
    <w:name w:val="Balloon Text"/>
    <w:basedOn w:val="Normal"/>
    <w:link w:val="BalloonTextChar"/>
    <w:uiPriority w:val="99"/>
    <w:semiHidden/>
    <w:unhideWhenUsed/>
    <w:rsid w:val="00B72475"/>
    <w:rPr>
      <w:rFonts w:ascii="Tahoma" w:hAnsi="Tahoma" w:cs="Tahoma"/>
      <w:sz w:val="16"/>
      <w:szCs w:val="16"/>
    </w:rPr>
  </w:style>
  <w:style w:type="character" w:customStyle="1" w:styleId="BalloonTextChar">
    <w:name w:val="Balloon Text Char"/>
    <w:basedOn w:val="DefaultParagraphFont"/>
    <w:link w:val="BalloonText"/>
    <w:uiPriority w:val="99"/>
    <w:semiHidden/>
    <w:rsid w:val="00B72475"/>
    <w:rPr>
      <w:rFonts w:ascii="Tahoma" w:hAnsi="Tahoma" w:cs="Tahoma"/>
      <w:sz w:val="16"/>
      <w:szCs w:val="16"/>
      <w:lang w:val="en-GB" w:eastAsia="en-GB"/>
    </w:rPr>
  </w:style>
  <w:style w:type="paragraph" w:styleId="TOCHeading">
    <w:name w:val="TOC Heading"/>
    <w:basedOn w:val="Heading2"/>
    <w:next w:val="Normal"/>
    <w:uiPriority w:val="39"/>
    <w:qFormat/>
    <w:rsid w:val="00C20493"/>
    <w:pPr>
      <w:numPr>
        <w:ilvl w:val="0"/>
        <w:numId w:val="0"/>
      </w:numPr>
      <w:spacing w:before="0" w:after="240"/>
      <w:outlineLvl w:val="0"/>
    </w:pPr>
    <w:rPr>
      <w:sz w:val="48"/>
    </w:rPr>
  </w:style>
  <w:style w:type="paragraph" w:styleId="TOC2">
    <w:name w:val="toc 2"/>
    <w:basedOn w:val="Normal"/>
    <w:next w:val="Normal"/>
    <w:autoRedefine/>
    <w:uiPriority w:val="39"/>
    <w:unhideWhenUsed/>
    <w:qFormat/>
    <w:rsid w:val="0027225E"/>
    <w:pPr>
      <w:tabs>
        <w:tab w:val="right" w:leader="dot" w:pos="9356"/>
      </w:tabs>
      <w:spacing w:before="120"/>
      <w:ind w:left="1134" w:right="-1" w:hanging="567"/>
    </w:pPr>
    <w:rPr>
      <w:rFonts w:eastAsia="Arial Unicode MS" w:cs="Calibri"/>
      <w:noProof/>
      <w:szCs w:val="24"/>
      <w:lang w:eastAsia="en-AU"/>
    </w:rPr>
  </w:style>
  <w:style w:type="paragraph" w:styleId="TOC1">
    <w:name w:val="toc 1"/>
    <w:basedOn w:val="Normal"/>
    <w:next w:val="Normal"/>
    <w:autoRedefine/>
    <w:uiPriority w:val="39"/>
    <w:unhideWhenUsed/>
    <w:qFormat/>
    <w:rsid w:val="00253202"/>
    <w:pPr>
      <w:tabs>
        <w:tab w:val="left" w:pos="567"/>
        <w:tab w:val="left" w:pos="1276"/>
        <w:tab w:val="right" w:leader="dot" w:pos="9356"/>
      </w:tabs>
      <w:spacing w:before="360"/>
      <w:ind w:left="567" w:right="-1" w:hanging="567"/>
    </w:pPr>
    <w:rPr>
      <w:rFonts w:eastAsia="Arial Unicode MS"/>
      <w:b/>
      <w:noProof/>
      <w:color w:val="0079C1" w:themeColor="text2"/>
      <w:lang w:eastAsia="en-AU"/>
    </w:rPr>
  </w:style>
  <w:style w:type="paragraph" w:styleId="TOC3">
    <w:name w:val="toc 3"/>
    <w:basedOn w:val="Normal"/>
    <w:next w:val="Normal"/>
    <w:autoRedefine/>
    <w:uiPriority w:val="39"/>
    <w:unhideWhenUsed/>
    <w:qFormat/>
    <w:rsid w:val="00B37F29"/>
    <w:pPr>
      <w:tabs>
        <w:tab w:val="right" w:leader="dot" w:pos="9356"/>
      </w:tabs>
      <w:ind w:left="1843" w:right="340" w:hanging="709"/>
    </w:pPr>
    <w:rPr>
      <w:rFonts w:eastAsia="Arial Unicode MS" w:cs="Calibri"/>
      <w:lang w:eastAsia="en-AU"/>
    </w:rPr>
  </w:style>
  <w:style w:type="character" w:styleId="Hyperlink">
    <w:name w:val="Hyperlink"/>
    <w:uiPriority w:val="99"/>
    <w:unhideWhenUsed/>
    <w:rsid w:val="006121E9"/>
    <w:rPr>
      <w:noProof/>
      <w:color w:val="0000FF"/>
      <w:u w:val="single"/>
      <w:lang w:val="en-GB"/>
    </w:rPr>
  </w:style>
  <w:style w:type="paragraph" w:styleId="Caption">
    <w:name w:val="caption"/>
    <w:basedOn w:val="Normal"/>
    <w:next w:val="Normal"/>
    <w:link w:val="CaptionChar"/>
    <w:uiPriority w:val="35"/>
    <w:qFormat/>
    <w:rsid w:val="00567987"/>
    <w:pPr>
      <w:keepNext/>
      <w:spacing w:before="240" w:after="40"/>
      <w:ind w:left="1134" w:hanging="1134"/>
      <w:outlineLvl w:val="8"/>
    </w:pPr>
    <w:rPr>
      <w:b/>
      <w:bCs/>
      <w:i/>
      <w:szCs w:val="18"/>
    </w:rPr>
  </w:style>
  <w:style w:type="character" w:customStyle="1" w:styleId="CaptionChar">
    <w:name w:val="Caption Char"/>
    <w:basedOn w:val="DefaultParagraphFont"/>
    <w:link w:val="Caption"/>
    <w:uiPriority w:val="35"/>
    <w:rsid w:val="00567987"/>
    <w:rPr>
      <w:b/>
      <w:bCs/>
      <w:i/>
      <w:sz w:val="22"/>
      <w:szCs w:val="18"/>
      <w:lang w:val="en-GB" w:eastAsia="en-GB"/>
    </w:rPr>
  </w:style>
  <w:style w:type="paragraph" w:styleId="TableofFigures">
    <w:name w:val="table of figures"/>
    <w:basedOn w:val="Normal"/>
    <w:next w:val="Normal"/>
    <w:uiPriority w:val="99"/>
    <w:unhideWhenUsed/>
    <w:rsid w:val="00B8134B"/>
    <w:pPr>
      <w:tabs>
        <w:tab w:val="left" w:pos="1134"/>
        <w:tab w:val="right" w:leader="dot" w:pos="9356"/>
      </w:tabs>
      <w:spacing w:before="120"/>
      <w:ind w:left="1134" w:hanging="1134"/>
    </w:pPr>
  </w:style>
  <w:style w:type="paragraph" w:styleId="Title">
    <w:name w:val="Title"/>
    <w:basedOn w:val="Normal"/>
    <w:next w:val="Heading1"/>
    <w:link w:val="TitleChar"/>
    <w:uiPriority w:val="10"/>
    <w:qFormat/>
    <w:rsid w:val="00B34FB5"/>
    <w:pPr>
      <w:contextualSpacing/>
      <w:outlineLvl w:val="0"/>
    </w:pPr>
    <w:rPr>
      <w:rFonts w:eastAsiaTheme="majorEastAsia" w:cstheme="majorBidi"/>
      <w:color w:val="FFFFFF" w:themeColor="background1"/>
      <w:spacing w:val="5"/>
      <w:kern w:val="28"/>
      <w:sz w:val="96"/>
      <w:szCs w:val="112"/>
    </w:rPr>
  </w:style>
  <w:style w:type="character" w:customStyle="1" w:styleId="TitleChar">
    <w:name w:val="Title Char"/>
    <w:basedOn w:val="DefaultParagraphFont"/>
    <w:link w:val="Title"/>
    <w:uiPriority w:val="10"/>
    <w:rsid w:val="00B34FB5"/>
    <w:rPr>
      <w:rFonts w:eastAsiaTheme="majorEastAsia" w:cstheme="majorBidi"/>
      <w:color w:val="FFFFFF" w:themeColor="background1"/>
      <w:spacing w:val="5"/>
      <w:kern w:val="28"/>
      <w:sz w:val="96"/>
      <w:szCs w:val="112"/>
      <w:lang w:val="en-GB" w:eastAsia="en-GB"/>
    </w:rPr>
  </w:style>
  <w:style w:type="character" w:styleId="Strong">
    <w:name w:val="Strong"/>
    <w:uiPriority w:val="22"/>
    <w:qFormat/>
    <w:rsid w:val="00981B2D"/>
    <w:rPr>
      <w:b/>
      <w:bCs/>
      <w:noProof w:val="0"/>
      <w:lang w:val="en-GB"/>
    </w:rPr>
  </w:style>
  <w:style w:type="character" w:styleId="Emphasis">
    <w:name w:val="Emphasis"/>
    <w:uiPriority w:val="20"/>
    <w:qFormat/>
    <w:rsid w:val="006121E9"/>
    <w:rPr>
      <w:i/>
      <w:iCs/>
      <w:noProof w:val="0"/>
      <w:lang w:val="en-GB"/>
    </w:rPr>
  </w:style>
  <w:style w:type="paragraph" w:styleId="DocumentMap">
    <w:name w:val="Document Map"/>
    <w:basedOn w:val="Normal"/>
    <w:link w:val="DocumentMapChar"/>
    <w:uiPriority w:val="99"/>
    <w:semiHidden/>
    <w:unhideWhenUsed/>
    <w:rsid w:val="00BC5669"/>
    <w:rPr>
      <w:rFonts w:ascii="Tahoma" w:hAnsi="Tahoma" w:cs="Tahoma"/>
      <w:sz w:val="16"/>
      <w:szCs w:val="16"/>
    </w:rPr>
  </w:style>
  <w:style w:type="character" w:customStyle="1" w:styleId="DocumentMapChar">
    <w:name w:val="Document Map Char"/>
    <w:basedOn w:val="DefaultParagraphFont"/>
    <w:link w:val="DocumentMap"/>
    <w:uiPriority w:val="99"/>
    <w:semiHidden/>
    <w:rsid w:val="00BC5669"/>
    <w:rPr>
      <w:rFonts w:ascii="Tahoma" w:eastAsiaTheme="minorHAnsi" w:hAnsi="Tahoma" w:cs="Tahoma"/>
      <w:sz w:val="16"/>
      <w:szCs w:val="16"/>
    </w:rPr>
  </w:style>
  <w:style w:type="character" w:styleId="CommentReference">
    <w:name w:val="annotation reference"/>
    <w:basedOn w:val="DefaultParagraphFont"/>
    <w:uiPriority w:val="99"/>
    <w:rsid w:val="00976616"/>
    <w:rPr>
      <w:sz w:val="16"/>
      <w:szCs w:val="16"/>
    </w:rPr>
  </w:style>
  <w:style w:type="paragraph" w:styleId="CommentText">
    <w:name w:val="annotation text"/>
    <w:basedOn w:val="Normal"/>
    <w:link w:val="CommentTextChar"/>
    <w:uiPriority w:val="99"/>
    <w:qFormat/>
    <w:rsid w:val="00B8134B"/>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rsid w:val="00B8134B"/>
    <w:rPr>
      <w:rFonts w:ascii="Times New Roman" w:eastAsia="Times New Roman" w:hAnsi="Times New Roman"/>
      <w:lang w:val="en-GB" w:eastAsia="en-GB"/>
    </w:rPr>
  </w:style>
  <w:style w:type="paragraph" w:styleId="CommentSubject">
    <w:name w:val="annotation subject"/>
    <w:basedOn w:val="CommentText"/>
    <w:next w:val="CommentText"/>
    <w:link w:val="CommentSubjectChar"/>
    <w:uiPriority w:val="99"/>
    <w:semiHidden/>
    <w:rsid w:val="00976616"/>
    <w:rPr>
      <w:b/>
      <w:bCs/>
    </w:rPr>
  </w:style>
  <w:style w:type="character" w:customStyle="1" w:styleId="CommentSubjectChar">
    <w:name w:val="Comment Subject Char"/>
    <w:basedOn w:val="CommentTextChar"/>
    <w:link w:val="CommentSubject"/>
    <w:uiPriority w:val="99"/>
    <w:semiHidden/>
    <w:rsid w:val="00976616"/>
    <w:rPr>
      <w:rFonts w:ascii="Times New Roman" w:eastAsia="Times New Roman" w:hAnsi="Times New Roman"/>
      <w:b/>
      <w:bCs/>
      <w:noProof/>
      <w:lang w:val="en-GB" w:eastAsia="en-GB"/>
    </w:rPr>
  </w:style>
  <w:style w:type="paragraph" w:customStyle="1" w:styleId="TableHeading1">
    <w:name w:val="Table Heading 1"/>
    <w:aliases w:val="th1"/>
    <w:basedOn w:val="TableText"/>
    <w:next w:val="TableText"/>
    <w:link w:val="TableHeading1Char"/>
    <w:qFormat/>
    <w:rsid w:val="00A91397"/>
    <w:pPr>
      <w:keepNext/>
      <w:keepLines/>
      <w:spacing w:before="120" w:after="120"/>
    </w:pPr>
    <w:rPr>
      <w:rFonts w:eastAsiaTheme="minorHAnsi" w:cs="Calibri"/>
      <w:b/>
      <w:color w:val="FFFFFF" w:themeColor="background1"/>
      <w:szCs w:val="20"/>
      <w:lang w:eastAsia="en-AU"/>
    </w:rPr>
  </w:style>
  <w:style w:type="paragraph" w:customStyle="1" w:styleId="TableText">
    <w:name w:val="Table Text"/>
    <w:aliases w:val="tt"/>
    <w:basedOn w:val="Paragraph"/>
    <w:link w:val="TableTextChar"/>
    <w:qFormat/>
    <w:rsid w:val="00D80989"/>
    <w:pPr>
      <w:tabs>
        <w:tab w:val="left" w:pos="318"/>
      </w:tabs>
      <w:spacing w:before="60" w:after="60" w:line="240" w:lineRule="auto"/>
    </w:pPr>
    <w:rPr>
      <w:color w:val="000000" w:themeColor="text1"/>
    </w:rPr>
  </w:style>
  <w:style w:type="character" w:customStyle="1" w:styleId="TableTextChar">
    <w:name w:val="Table Text Char"/>
    <w:aliases w:val="tt Char"/>
    <w:link w:val="TableText"/>
    <w:rsid w:val="00D80989"/>
    <w:rPr>
      <w:color w:val="000000" w:themeColor="text1"/>
      <w:sz w:val="22"/>
      <w:szCs w:val="22"/>
      <w:lang w:val="en-GB" w:eastAsia="en-GB"/>
    </w:rPr>
  </w:style>
  <w:style w:type="character" w:customStyle="1" w:styleId="TableHeading1Char">
    <w:name w:val="Table Heading 1 Char"/>
    <w:aliases w:val="th1 Char"/>
    <w:basedOn w:val="DefaultParagraphFont"/>
    <w:link w:val="TableHeading1"/>
    <w:rsid w:val="00A91397"/>
    <w:rPr>
      <w:rFonts w:eastAsiaTheme="minorHAnsi" w:cs="Calibri"/>
      <w:b/>
      <w:color w:val="FFFFFF" w:themeColor="background1"/>
      <w:sz w:val="22"/>
      <w:lang w:val="en-GB"/>
    </w:rPr>
  </w:style>
  <w:style w:type="character" w:styleId="FollowedHyperlink">
    <w:name w:val="FollowedHyperlink"/>
    <w:basedOn w:val="DefaultParagraphFont"/>
    <w:rsid w:val="00976616"/>
    <w:rPr>
      <w:color w:val="606420"/>
      <w:u w:val="single"/>
    </w:rPr>
  </w:style>
  <w:style w:type="paragraph" w:styleId="FootnoteText">
    <w:name w:val="footnote text"/>
    <w:basedOn w:val="Normal"/>
    <w:link w:val="FootnoteTextChar"/>
    <w:uiPriority w:val="99"/>
    <w:qFormat/>
    <w:rsid w:val="00C20493"/>
    <w:rPr>
      <w:rFonts w:eastAsia="Times New Roman"/>
      <w:sz w:val="20"/>
      <w:szCs w:val="20"/>
    </w:rPr>
  </w:style>
  <w:style w:type="character" w:customStyle="1" w:styleId="FootnoteTextChar">
    <w:name w:val="Footnote Text Char"/>
    <w:basedOn w:val="DefaultParagraphFont"/>
    <w:link w:val="FootnoteText"/>
    <w:uiPriority w:val="99"/>
    <w:rsid w:val="00C20493"/>
    <w:rPr>
      <w:rFonts w:eastAsia="Times New Roman"/>
      <w:lang w:val="en-GB" w:eastAsia="en-GB"/>
    </w:rPr>
  </w:style>
  <w:style w:type="character" w:styleId="FootnoteReference">
    <w:name w:val="footnote reference"/>
    <w:basedOn w:val="DefaultParagraphFont"/>
    <w:uiPriority w:val="99"/>
    <w:rsid w:val="00981B2D"/>
    <w:rPr>
      <w:noProof w:val="0"/>
      <w:vertAlign w:val="superscript"/>
      <w:lang w:val="en-GB"/>
    </w:rPr>
  </w:style>
  <w:style w:type="character" w:customStyle="1" w:styleId="CrossReference">
    <w:name w:val="Cross Reference"/>
    <w:uiPriority w:val="1"/>
    <w:rsid w:val="002436E7"/>
    <w:rPr>
      <w:i/>
      <w:noProof w:val="0"/>
      <w:bdr w:val="none" w:sz="0" w:space="0" w:color="auto"/>
      <w:shd w:val="clear" w:color="auto" w:fill="FDE9D9" w:themeFill="accent6" w:themeFillTint="33"/>
      <w:lang w:val="en-GB"/>
    </w:rPr>
  </w:style>
  <w:style w:type="paragraph" w:styleId="Quote">
    <w:name w:val="Quote"/>
    <w:basedOn w:val="Normal"/>
    <w:next w:val="Normal"/>
    <w:link w:val="QuoteChar"/>
    <w:uiPriority w:val="29"/>
    <w:qFormat/>
    <w:rsid w:val="006121E9"/>
    <w:pPr>
      <w:spacing w:before="120" w:after="240"/>
      <w:ind w:left="709" w:right="709"/>
    </w:pPr>
    <w:rPr>
      <w:i/>
      <w:iCs/>
      <w:color w:val="000000" w:themeColor="text1"/>
    </w:rPr>
  </w:style>
  <w:style w:type="character" w:customStyle="1" w:styleId="QuoteChar">
    <w:name w:val="Quote Char"/>
    <w:basedOn w:val="DefaultParagraphFont"/>
    <w:link w:val="Quote"/>
    <w:uiPriority w:val="29"/>
    <w:rsid w:val="006121E9"/>
    <w:rPr>
      <w:rFonts w:asciiTheme="minorHAnsi" w:hAnsiTheme="minorHAnsi"/>
      <w:i/>
      <w:iCs/>
      <w:color w:val="000000" w:themeColor="text1"/>
      <w:sz w:val="22"/>
      <w:szCs w:val="22"/>
      <w:lang w:val="en-GB" w:eastAsia="en-GB"/>
    </w:rPr>
  </w:style>
  <w:style w:type="paragraph" w:styleId="Revision">
    <w:name w:val="Revision"/>
    <w:hidden/>
    <w:uiPriority w:val="99"/>
    <w:semiHidden/>
    <w:rsid w:val="003769CE"/>
    <w:rPr>
      <w:rFonts w:eastAsiaTheme="minorHAnsi" w:cs="Calibri"/>
      <w:sz w:val="22"/>
      <w:szCs w:val="22"/>
    </w:rPr>
  </w:style>
  <w:style w:type="paragraph" w:customStyle="1" w:styleId="TableHeading2">
    <w:name w:val="Table Heading 2"/>
    <w:aliases w:val="th2"/>
    <w:basedOn w:val="TableHeading1"/>
    <w:next w:val="TableText"/>
    <w:qFormat/>
    <w:rsid w:val="00B34FB5"/>
    <w:pPr>
      <w:spacing w:before="60" w:after="60"/>
    </w:pPr>
    <w:rPr>
      <w:color w:val="0079C1" w:themeColor="text2"/>
    </w:rPr>
  </w:style>
  <w:style w:type="paragraph" w:customStyle="1" w:styleId="Note">
    <w:name w:val="Note"/>
    <w:basedOn w:val="FootnoteText"/>
    <w:link w:val="NoteChar"/>
    <w:qFormat/>
    <w:rsid w:val="002B47AA"/>
    <w:pPr>
      <w:keepLines/>
      <w:spacing w:before="40" w:after="120"/>
      <w:contextualSpacing/>
    </w:pPr>
  </w:style>
  <w:style w:type="character" w:customStyle="1" w:styleId="NoteChar">
    <w:name w:val="Note Char"/>
    <w:link w:val="Note"/>
    <w:rsid w:val="002B47AA"/>
    <w:rPr>
      <w:rFonts w:asciiTheme="minorHAnsi" w:eastAsia="Times New Roman" w:hAnsiTheme="minorHAnsi"/>
      <w:lang w:val="en-GB" w:eastAsia="en-GB"/>
    </w:rPr>
  </w:style>
  <w:style w:type="paragraph" w:customStyle="1" w:styleId="TableHeading2Centred">
    <w:name w:val="Table Heading 2_Centred"/>
    <w:aliases w:val="th2c"/>
    <w:basedOn w:val="TableHeading2"/>
    <w:next w:val="TableText"/>
    <w:qFormat/>
    <w:rsid w:val="0014409E"/>
    <w:pPr>
      <w:jc w:val="center"/>
    </w:pPr>
  </w:style>
  <w:style w:type="paragraph" w:customStyle="1" w:styleId="TableTextCentred">
    <w:name w:val="Table Text_Centred"/>
    <w:aliases w:val="ttc"/>
    <w:basedOn w:val="TableText"/>
    <w:qFormat/>
    <w:rsid w:val="00170FF8"/>
    <w:pPr>
      <w:jc w:val="center"/>
    </w:pPr>
  </w:style>
  <w:style w:type="paragraph" w:customStyle="1" w:styleId="TableHeading1Centred">
    <w:name w:val="Table Heading 1_Centred"/>
    <w:aliases w:val="th1c"/>
    <w:basedOn w:val="TableHeading1"/>
    <w:next w:val="TableText"/>
    <w:qFormat/>
    <w:rsid w:val="00BF630B"/>
    <w:pPr>
      <w:jc w:val="center"/>
    </w:pPr>
  </w:style>
  <w:style w:type="paragraph" w:customStyle="1" w:styleId="TableBullet2">
    <w:name w:val="Table Bullet 2"/>
    <w:aliases w:val="tb2"/>
    <w:basedOn w:val="TableBullet1"/>
    <w:qFormat/>
    <w:rsid w:val="00834167"/>
    <w:pPr>
      <w:ind w:left="601" w:hanging="283"/>
      <w:contextualSpacing/>
    </w:pPr>
  </w:style>
  <w:style w:type="paragraph" w:customStyle="1" w:styleId="TableBullet1">
    <w:name w:val="Table Bullet 1"/>
    <w:aliases w:val="tb1"/>
    <w:basedOn w:val="TableText"/>
    <w:qFormat/>
    <w:rsid w:val="00A21364"/>
    <w:pPr>
      <w:numPr>
        <w:numId w:val="15"/>
      </w:numPr>
      <w:tabs>
        <w:tab w:val="clear" w:pos="318"/>
      </w:tabs>
      <w:spacing w:before="30" w:after="30"/>
      <w:ind w:left="358"/>
    </w:pPr>
  </w:style>
  <w:style w:type="paragraph" w:customStyle="1" w:styleId="Bullet1">
    <w:name w:val="Bullet 1"/>
    <w:aliases w:val="b1"/>
    <w:basedOn w:val="Normal"/>
    <w:link w:val="Bullet1Char"/>
    <w:qFormat/>
    <w:rsid w:val="00EE2029"/>
    <w:pPr>
      <w:numPr>
        <w:numId w:val="2"/>
      </w:numPr>
      <w:spacing w:before="120" w:after="120" w:line="264" w:lineRule="auto"/>
    </w:pPr>
    <w:rPr>
      <w:lang w:eastAsia="en-AU"/>
    </w:rPr>
  </w:style>
  <w:style w:type="character" w:customStyle="1" w:styleId="Bullet1Char">
    <w:name w:val="Bullet 1 Char"/>
    <w:aliases w:val="b1 Char"/>
    <w:basedOn w:val="DefaultParagraphFont"/>
    <w:link w:val="Bullet1"/>
    <w:rsid w:val="00EE2029"/>
    <w:rPr>
      <w:sz w:val="22"/>
      <w:szCs w:val="22"/>
      <w:lang w:val="en-GB"/>
    </w:rPr>
  </w:style>
  <w:style w:type="paragraph" w:customStyle="1" w:styleId="Bullet2">
    <w:name w:val="Bullet 2"/>
    <w:aliases w:val="b2"/>
    <w:basedOn w:val="Bullet1"/>
    <w:qFormat/>
    <w:rsid w:val="00EE2029"/>
    <w:pPr>
      <w:numPr>
        <w:ilvl w:val="1"/>
        <w:numId w:val="3"/>
      </w:numPr>
      <w:spacing w:before="60" w:after="60"/>
    </w:pPr>
  </w:style>
  <w:style w:type="paragraph" w:customStyle="1" w:styleId="Heading10">
    <w:name w:val="Heading 10"/>
    <w:aliases w:val="h10"/>
    <w:basedOn w:val="Heading9"/>
    <w:rsid w:val="00E26B30"/>
    <w:rPr>
      <w:color w:val="595959" w:themeColor="text1" w:themeTint="A6"/>
    </w:rPr>
  </w:style>
  <w:style w:type="character" w:styleId="EndnoteReference">
    <w:name w:val="endnote reference"/>
    <w:basedOn w:val="DefaultParagraphFont"/>
    <w:semiHidden/>
    <w:rsid w:val="00976616"/>
    <w:rPr>
      <w:vertAlign w:val="superscript"/>
    </w:rPr>
  </w:style>
  <w:style w:type="paragraph" w:customStyle="1" w:styleId="NoteBullet">
    <w:name w:val="Note Bullet"/>
    <w:basedOn w:val="Note"/>
    <w:rsid w:val="0014409E"/>
    <w:pPr>
      <w:numPr>
        <w:numId w:val="1"/>
      </w:numPr>
      <w:spacing w:before="0"/>
      <w:ind w:left="714" w:hanging="357"/>
    </w:pPr>
  </w:style>
  <w:style w:type="paragraph" w:customStyle="1" w:styleId="TableTextRight">
    <w:name w:val="Table Text_Right"/>
    <w:aliases w:val="ttr"/>
    <w:basedOn w:val="TableText"/>
    <w:qFormat/>
    <w:rsid w:val="0014409E"/>
    <w:pPr>
      <w:spacing w:line="264" w:lineRule="auto"/>
      <w:jc w:val="right"/>
    </w:pPr>
  </w:style>
  <w:style w:type="paragraph" w:styleId="EndnoteText">
    <w:name w:val="endnote text"/>
    <w:basedOn w:val="Normal"/>
    <w:link w:val="EndnoteTextChar"/>
    <w:semiHidden/>
    <w:rsid w:val="00976616"/>
    <w:rPr>
      <w:rFonts w:ascii="Times New Roman" w:eastAsia="Times New Roman" w:hAnsi="Times New Roman"/>
      <w:sz w:val="20"/>
      <w:szCs w:val="20"/>
      <w:lang w:val="en-AU"/>
    </w:rPr>
  </w:style>
  <w:style w:type="character" w:customStyle="1" w:styleId="EndnoteTextChar">
    <w:name w:val="Endnote Text Char"/>
    <w:basedOn w:val="DefaultParagraphFont"/>
    <w:link w:val="EndnoteText"/>
    <w:semiHidden/>
    <w:rsid w:val="00976616"/>
    <w:rPr>
      <w:rFonts w:ascii="Times New Roman" w:eastAsia="Times New Roman" w:hAnsi="Times New Roman"/>
      <w:noProof/>
      <w:lang w:eastAsia="en-GB"/>
    </w:rPr>
  </w:style>
  <w:style w:type="character" w:styleId="PlaceholderText">
    <w:name w:val="Placeholder Text"/>
    <w:basedOn w:val="DefaultParagraphFont"/>
    <w:uiPriority w:val="99"/>
    <w:semiHidden/>
    <w:rsid w:val="00976616"/>
    <w:rPr>
      <w:color w:val="808080"/>
    </w:rPr>
  </w:style>
  <w:style w:type="paragraph" w:customStyle="1" w:styleId="ParagraphKeep">
    <w:name w:val="Paragraph_Keep"/>
    <w:aliases w:val="kwn"/>
    <w:basedOn w:val="Paragraph"/>
    <w:qFormat/>
    <w:rsid w:val="00BF705D"/>
    <w:pPr>
      <w:keepNext/>
      <w:spacing w:after="120"/>
    </w:pPr>
  </w:style>
  <w:style w:type="paragraph" w:customStyle="1" w:styleId="Insidecover">
    <w:name w:val="Inside cover"/>
    <w:rsid w:val="00EF3AD4"/>
    <w:pPr>
      <w:spacing w:line="264" w:lineRule="auto"/>
      <w:ind w:left="142"/>
      <w:contextualSpacing/>
    </w:pPr>
    <w:rPr>
      <w:rFonts w:eastAsia="Times New Roman" w:cs="Arial"/>
      <w:color w:val="404142" w:themeColor="background2" w:themeShade="80"/>
      <w:szCs w:val="24"/>
      <w:lang w:val="en-GB"/>
    </w:rPr>
  </w:style>
  <w:style w:type="table" w:styleId="TableGrid">
    <w:name w:val="Table Grid"/>
    <w:basedOn w:val="TableNormal"/>
    <w:uiPriority w:val="39"/>
    <w:rsid w:val="00976616"/>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Hanging">
    <w:name w:val="Table Text_Hanging"/>
    <w:aliases w:val="tth"/>
    <w:basedOn w:val="TableText"/>
    <w:qFormat/>
    <w:rsid w:val="0014409E"/>
    <w:pPr>
      <w:tabs>
        <w:tab w:val="left" w:pos="454"/>
      </w:tabs>
      <w:ind w:left="454" w:hanging="454"/>
    </w:pPr>
    <w:rPr>
      <w:rFonts w:eastAsia="Arial" w:cs="Arial"/>
      <w:szCs w:val="24"/>
    </w:rPr>
  </w:style>
  <w:style w:type="paragraph" w:customStyle="1" w:styleId="Title2">
    <w:name w:val="Title 2"/>
    <w:basedOn w:val="Title"/>
    <w:qFormat/>
    <w:rsid w:val="007C42FC"/>
    <w:pPr>
      <w:outlineLvl w:val="9"/>
    </w:pPr>
    <w:rPr>
      <w:sz w:val="60"/>
      <w:szCs w:val="60"/>
    </w:rPr>
  </w:style>
  <w:style w:type="paragraph" w:customStyle="1" w:styleId="Title3">
    <w:name w:val="Title 3"/>
    <w:basedOn w:val="Title2"/>
    <w:qFormat/>
    <w:rsid w:val="0014409E"/>
    <w:pPr>
      <w:contextualSpacing w:val="0"/>
    </w:pPr>
    <w:rPr>
      <w:i/>
      <w:sz w:val="40"/>
    </w:rPr>
  </w:style>
  <w:style w:type="paragraph" w:styleId="TOC4">
    <w:name w:val="toc 4"/>
    <w:basedOn w:val="TOC3"/>
    <w:semiHidden/>
    <w:rsid w:val="00976616"/>
    <w:pPr>
      <w:tabs>
        <w:tab w:val="left" w:pos="1230"/>
        <w:tab w:val="left" w:pos="1418"/>
        <w:tab w:val="right" w:pos="7938"/>
      </w:tabs>
      <w:spacing w:after="60"/>
      <w:ind w:left="1418" w:right="567" w:hanging="1418"/>
    </w:pPr>
    <w:rPr>
      <w:rFonts w:ascii="Univers 45 Light" w:hAnsi="Univers 45 Light"/>
      <w:i/>
      <w:color w:val="003366"/>
      <w:szCs w:val="20"/>
      <w:lang w:val="en-AU"/>
    </w:rPr>
  </w:style>
  <w:style w:type="paragraph" w:customStyle="1" w:styleId="TOCHeading2">
    <w:name w:val="TOC Heading 2"/>
    <w:basedOn w:val="TOCHeading"/>
    <w:next w:val="Normal"/>
    <w:qFormat/>
    <w:rsid w:val="00EB056E"/>
    <w:pPr>
      <w:spacing w:before="240" w:line="240" w:lineRule="auto"/>
      <w:outlineLvl w:val="1"/>
    </w:pPr>
    <w:rPr>
      <w:sz w:val="36"/>
    </w:rPr>
  </w:style>
  <w:style w:type="character" w:styleId="IntenseEmphasis">
    <w:name w:val="Intense Emphasis"/>
    <w:uiPriority w:val="21"/>
    <w:qFormat/>
    <w:rsid w:val="006121E9"/>
    <w:rPr>
      <w:b/>
      <w:bCs/>
      <w:i/>
      <w:iCs/>
      <w:noProof w:val="0"/>
      <w:color w:val="auto"/>
      <w:lang w:val="en-GB"/>
    </w:rPr>
  </w:style>
  <w:style w:type="paragraph" w:customStyle="1" w:styleId="IndentHanging">
    <w:name w:val="Indent_Hanging"/>
    <w:aliases w:val="ih"/>
    <w:basedOn w:val="Indent1"/>
    <w:rsid w:val="003E39FE"/>
    <w:pPr>
      <w:tabs>
        <w:tab w:val="left" w:pos="1134"/>
      </w:tabs>
      <w:spacing w:before="120" w:after="120"/>
      <w:ind w:left="1134" w:hanging="709"/>
    </w:pPr>
  </w:style>
  <w:style w:type="paragraph" w:customStyle="1" w:styleId="Indent1">
    <w:name w:val="Indent 1"/>
    <w:aliases w:val="i1"/>
    <w:basedOn w:val="Paragraph"/>
    <w:rsid w:val="002F7C32"/>
    <w:pPr>
      <w:ind w:left="709"/>
    </w:pPr>
    <w:rPr>
      <w:lang w:eastAsia="en-AU"/>
    </w:rPr>
  </w:style>
  <w:style w:type="paragraph" w:customStyle="1" w:styleId="Bullet3">
    <w:name w:val="Bullet 3"/>
    <w:aliases w:val="b3"/>
    <w:basedOn w:val="Bullet2"/>
    <w:qFormat/>
    <w:rsid w:val="00EE2029"/>
    <w:pPr>
      <w:numPr>
        <w:ilvl w:val="2"/>
        <w:numId w:val="4"/>
      </w:numPr>
    </w:pPr>
  </w:style>
  <w:style w:type="paragraph" w:customStyle="1" w:styleId="Indent2">
    <w:name w:val="Indent 2"/>
    <w:aliases w:val="i2"/>
    <w:basedOn w:val="Paragraph"/>
    <w:rsid w:val="003E39FE"/>
    <w:pPr>
      <w:spacing w:before="120" w:after="120"/>
      <w:ind w:left="1134"/>
    </w:pPr>
    <w:rPr>
      <w:lang w:eastAsia="en-AU"/>
    </w:rPr>
  </w:style>
  <w:style w:type="paragraph" w:customStyle="1" w:styleId="Indent3">
    <w:name w:val="Indent 3"/>
    <w:aliases w:val="i3"/>
    <w:basedOn w:val="Indent2"/>
    <w:rsid w:val="00EB056E"/>
    <w:pPr>
      <w:ind w:left="1560"/>
    </w:pPr>
  </w:style>
  <w:style w:type="paragraph" w:styleId="List3">
    <w:name w:val="List 3"/>
    <w:aliases w:val="l3"/>
    <w:basedOn w:val="Normal"/>
    <w:uiPriority w:val="99"/>
    <w:unhideWhenUsed/>
    <w:qFormat/>
    <w:rsid w:val="00B8134B"/>
    <w:pPr>
      <w:numPr>
        <w:ilvl w:val="2"/>
        <w:numId w:val="6"/>
      </w:numPr>
      <w:spacing w:before="120" w:after="120" w:line="22" w:lineRule="atLeast"/>
    </w:pPr>
  </w:style>
  <w:style w:type="paragraph" w:customStyle="1" w:styleId="List1">
    <w:name w:val="List 1"/>
    <w:aliases w:val="l1"/>
    <w:basedOn w:val="Normal"/>
    <w:rsid w:val="00D13F21"/>
    <w:pPr>
      <w:numPr>
        <w:numId w:val="7"/>
      </w:numPr>
      <w:spacing w:before="120" w:after="120" w:line="22" w:lineRule="atLeast"/>
    </w:pPr>
  </w:style>
  <w:style w:type="paragraph" w:styleId="List2">
    <w:name w:val="List 2"/>
    <w:aliases w:val="l2"/>
    <w:basedOn w:val="Normal"/>
    <w:uiPriority w:val="99"/>
    <w:unhideWhenUsed/>
    <w:qFormat/>
    <w:rsid w:val="00D13F21"/>
    <w:pPr>
      <w:numPr>
        <w:ilvl w:val="1"/>
        <w:numId w:val="5"/>
      </w:numPr>
      <w:spacing w:before="120" w:after="120" w:line="22" w:lineRule="atLeast"/>
    </w:pPr>
  </w:style>
  <w:style w:type="paragraph" w:customStyle="1" w:styleId="Client">
    <w:name w:val="Client"/>
    <w:basedOn w:val="Title"/>
    <w:rsid w:val="00B34FB5"/>
    <w:pPr>
      <w:spacing w:after="120"/>
      <w:outlineLvl w:val="9"/>
    </w:pPr>
    <w:rPr>
      <w:color w:val="BFE7FF" w:themeColor="text2" w:themeTint="33"/>
      <w:sz w:val="56"/>
    </w:rPr>
  </w:style>
  <w:style w:type="character" w:customStyle="1" w:styleId="Bold">
    <w:name w:val="Bold"/>
    <w:uiPriority w:val="1"/>
    <w:qFormat/>
    <w:rsid w:val="003E39FE"/>
    <w:rPr>
      <w:b/>
    </w:rPr>
  </w:style>
  <w:style w:type="paragraph" w:customStyle="1" w:styleId="RefNo">
    <w:name w:val="RefNo"/>
    <w:basedOn w:val="Title3"/>
    <w:rsid w:val="0014409E"/>
    <w:rPr>
      <w:color w:val="C3FAFF" w:themeColor="accent2" w:themeTint="33"/>
    </w:rPr>
  </w:style>
  <w:style w:type="paragraph" w:customStyle="1" w:styleId="Space">
    <w:name w:val="Space"/>
    <w:basedOn w:val="RefNo"/>
    <w:rsid w:val="00D02AC1"/>
    <w:pPr>
      <w:spacing w:before="12480"/>
    </w:pPr>
    <w:rPr>
      <w:i w:val="0"/>
      <w:color w:val="auto"/>
    </w:rPr>
  </w:style>
  <w:style w:type="paragraph" w:customStyle="1" w:styleId="Pullquote">
    <w:name w:val="Pull quote"/>
    <w:basedOn w:val="Quote"/>
    <w:qFormat/>
    <w:rsid w:val="0027225E"/>
    <w:pPr>
      <w:pBdr>
        <w:top w:val="single" w:sz="48" w:space="9" w:color="80CFFF" w:themeColor="text2" w:themeTint="66"/>
        <w:bottom w:val="single" w:sz="48" w:space="8" w:color="80CFFF" w:themeColor="text2" w:themeTint="66"/>
      </w:pBdr>
      <w:spacing w:before="720" w:after="720" w:line="288" w:lineRule="auto"/>
      <w:jc w:val="center"/>
    </w:pPr>
    <w:rPr>
      <w:color w:val="595959" w:themeColor="text1" w:themeTint="A6"/>
      <w:sz w:val="28"/>
    </w:rPr>
  </w:style>
  <w:style w:type="paragraph" w:customStyle="1" w:styleId="Stage">
    <w:name w:val="Stage"/>
    <w:basedOn w:val="Heading4"/>
    <w:rsid w:val="007C42FC"/>
    <w:pPr>
      <w:numPr>
        <w:numId w:val="10"/>
      </w:numPr>
      <w:pBdr>
        <w:top w:val="single" w:sz="48" w:space="1" w:color="0079C1" w:themeColor="text2"/>
        <w:left w:val="single" w:sz="48" w:space="4" w:color="0079C1" w:themeColor="text2"/>
        <w:bottom w:val="single" w:sz="48" w:space="1" w:color="0079C1" w:themeColor="text2"/>
        <w:right w:val="single" w:sz="48" w:space="4" w:color="0079C1" w:themeColor="text2"/>
      </w:pBdr>
      <w:shd w:val="clear" w:color="auto" w:fill="0079C1" w:themeFill="text2"/>
      <w:spacing w:before="480" w:after="0"/>
      <w:ind w:left="142" w:right="142" w:firstLine="0"/>
      <w:contextualSpacing/>
      <w:outlineLvl w:val="2"/>
    </w:pPr>
    <w:rPr>
      <w:color w:val="FFFFFF" w:themeColor="background1"/>
      <w:szCs w:val="72"/>
    </w:rPr>
  </w:style>
  <w:style w:type="paragraph" w:customStyle="1" w:styleId="Image">
    <w:name w:val="Image"/>
    <w:basedOn w:val="Normal"/>
    <w:rsid w:val="009B184C"/>
    <w:pPr>
      <w:widowControl w:val="0"/>
    </w:pPr>
    <w:rPr>
      <w:lang w:eastAsia="en-AU"/>
    </w:rPr>
  </w:style>
  <w:style w:type="paragraph" w:styleId="NoSpacing">
    <w:name w:val="No Spacing"/>
    <w:link w:val="NoSpacingChar"/>
    <w:uiPriority w:val="1"/>
    <w:qFormat/>
    <w:rsid w:val="00D6503B"/>
    <w:rPr>
      <w:rFonts w:asciiTheme="minorHAnsi" w:hAnsiTheme="minorHAnsi"/>
      <w:sz w:val="24"/>
      <w:szCs w:val="22"/>
      <w:lang w:val="en-GB" w:eastAsia="en-GB"/>
    </w:rPr>
  </w:style>
  <w:style w:type="character" w:customStyle="1" w:styleId="NoSpacingChar">
    <w:name w:val="No Spacing Char"/>
    <w:basedOn w:val="DefaultParagraphFont"/>
    <w:link w:val="NoSpacing"/>
    <w:uiPriority w:val="1"/>
    <w:rsid w:val="00D6503B"/>
    <w:rPr>
      <w:rFonts w:asciiTheme="minorHAnsi" w:hAnsiTheme="minorHAnsi"/>
      <w:sz w:val="24"/>
      <w:szCs w:val="22"/>
      <w:lang w:val="en-GB" w:eastAsia="en-GB"/>
    </w:rPr>
  </w:style>
  <w:style w:type="paragraph" w:customStyle="1" w:styleId="TableTextKeep">
    <w:name w:val="Table Text_Keep"/>
    <w:aliases w:val="ttk"/>
    <w:basedOn w:val="TableText"/>
    <w:qFormat/>
    <w:rsid w:val="00777A29"/>
    <w:pPr>
      <w:keepNext/>
    </w:pPr>
  </w:style>
  <w:style w:type="paragraph" w:customStyle="1" w:styleId="Name">
    <w:name w:val="Name"/>
    <w:basedOn w:val="Heading2"/>
    <w:rsid w:val="00B67438"/>
    <w:pPr>
      <w:numPr>
        <w:ilvl w:val="0"/>
        <w:numId w:val="0"/>
      </w:numPr>
      <w:spacing w:before="120" w:after="120"/>
    </w:pPr>
  </w:style>
  <w:style w:type="paragraph" w:customStyle="1" w:styleId="HangingPara">
    <w:name w:val="Hanging Para"/>
    <w:aliases w:val="hp"/>
    <w:basedOn w:val="Paragraph"/>
    <w:rsid w:val="00510C58"/>
    <w:pPr>
      <w:spacing w:after="120"/>
      <w:ind w:left="720" w:hanging="720"/>
    </w:pPr>
  </w:style>
  <w:style w:type="paragraph" w:customStyle="1" w:styleId="HangingParaKeep">
    <w:name w:val="Hanging Para_Keep"/>
    <w:aliases w:val="hpk"/>
    <w:basedOn w:val="HangingPara"/>
    <w:rsid w:val="00510C58"/>
    <w:pPr>
      <w:keepNext/>
    </w:pPr>
  </w:style>
  <w:style w:type="paragraph" w:customStyle="1" w:styleId="TableTextIndent">
    <w:name w:val="Table Text_Indent"/>
    <w:aliases w:val="tti"/>
    <w:basedOn w:val="TableText"/>
    <w:qFormat/>
    <w:rsid w:val="00510C58"/>
    <w:pPr>
      <w:spacing w:before="120" w:after="120"/>
      <w:ind w:left="318"/>
    </w:pPr>
  </w:style>
  <w:style w:type="paragraph" w:customStyle="1" w:styleId="Phase">
    <w:name w:val="Phase"/>
    <w:basedOn w:val="Stage"/>
    <w:rsid w:val="00E90657"/>
    <w:pPr>
      <w:numPr>
        <w:ilvl w:val="1"/>
        <w:numId w:val="11"/>
      </w:numPr>
      <w:pBdr>
        <w:top w:val="single" w:sz="48" w:space="1" w:color="E2F4FF" w:themeColor="accent1" w:themeTint="33"/>
        <w:left w:val="single" w:sz="48" w:space="4" w:color="E2F4FF" w:themeColor="accent1" w:themeTint="33"/>
        <w:bottom w:val="single" w:sz="48" w:space="1" w:color="E2F4FF" w:themeColor="accent1" w:themeTint="33"/>
        <w:right w:val="single" w:sz="48" w:space="4" w:color="E2F4FF" w:themeColor="accent1" w:themeTint="33"/>
      </w:pBdr>
      <w:shd w:val="clear" w:color="auto" w:fill="E2F4FF" w:themeFill="accent1" w:themeFillTint="33"/>
      <w:spacing w:before="0" w:after="120"/>
      <w:ind w:left="142" w:right="141" w:firstLine="0"/>
    </w:pPr>
    <w:rPr>
      <w:color w:val="00A2C1" w:themeColor="accent3"/>
    </w:rPr>
  </w:style>
  <w:style w:type="paragraph" w:customStyle="1" w:styleId="ListAlpha">
    <w:name w:val="List Alpha"/>
    <w:aliases w:val="la"/>
    <w:basedOn w:val="List3"/>
    <w:qFormat/>
    <w:rsid w:val="00E90657"/>
    <w:pPr>
      <w:numPr>
        <w:ilvl w:val="0"/>
        <w:numId w:val="12"/>
      </w:numPr>
      <w:ind w:left="1037" w:hanging="357"/>
    </w:pPr>
  </w:style>
  <w:style w:type="paragraph" w:customStyle="1" w:styleId="TableTextLast">
    <w:name w:val="Table Text Last"/>
    <w:aliases w:val="ttl"/>
    <w:basedOn w:val="TableText"/>
    <w:qFormat/>
    <w:rsid w:val="00E90657"/>
    <w:rPr>
      <w:rFonts w:asciiTheme="minorHAnsi" w:hAnsiTheme="minorHAnsi"/>
    </w:rPr>
  </w:style>
  <w:style w:type="paragraph" w:customStyle="1" w:styleId="TableList1">
    <w:name w:val="Table List1"/>
    <w:aliases w:val="tl1"/>
    <w:basedOn w:val="TableText"/>
    <w:qFormat/>
    <w:rsid w:val="0059083D"/>
    <w:pPr>
      <w:numPr>
        <w:numId w:val="13"/>
      </w:numPr>
    </w:pPr>
  </w:style>
  <w:style w:type="paragraph" w:customStyle="1" w:styleId="TableList1Centred">
    <w:name w:val="Table List1_Centred"/>
    <w:aliases w:val="tl1c"/>
    <w:basedOn w:val="TableList1"/>
    <w:qFormat/>
    <w:rsid w:val="0059083D"/>
    <w:pPr>
      <w:jc w:val="center"/>
    </w:pPr>
  </w:style>
  <w:style w:type="paragraph" w:customStyle="1" w:styleId="Instruction">
    <w:name w:val="Instruction"/>
    <w:basedOn w:val="Quote"/>
    <w:rsid w:val="00153B5A"/>
    <w:pPr>
      <w:pBdr>
        <w:top w:val="single" w:sz="48" w:space="8" w:color="71C9FF" w:themeColor="accent1"/>
        <w:bottom w:val="single" w:sz="48" w:space="8" w:color="71C9FF" w:themeColor="accent1"/>
      </w:pBdr>
      <w:spacing w:line="300" w:lineRule="auto"/>
      <w:jc w:val="center"/>
    </w:pPr>
    <w:rPr>
      <w:i w:val="0"/>
      <w:color w:val="7F7F7F" w:themeColor="text1" w:themeTint="80"/>
      <w:sz w:val="36"/>
    </w:rPr>
  </w:style>
  <w:style w:type="paragraph" w:customStyle="1" w:styleId="TextBox">
    <w:name w:val="Text Box"/>
    <w:basedOn w:val="Paragraph"/>
    <w:qFormat/>
    <w:rsid w:val="008F21C9"/>
    <w:pPr>
      <w:spacing w:before="0" w:after="0"/>
    </w:pPr>
    <w:rPr>
      <w:i/>
      <w:color w:val="595959" w:themeColor="text1" w:themeTint="A6"/>
      <w:szCs w:val="28"/>
    </w:rPr>
  </w:style>
  <w:style w:type="paragraph" w:customStyle="1" w:styleId="TextBoxList">
    <w:name w:val="Text Box List"/>
    <w:basedOn w:val="TextBox"/>
    <w:qFormat/>
    <w:rsid w:val="00351E81"/>
    <w:pPr>
      <w:numPr>
        <w:numId w:val="14"/>
      </w:numPr>
    </w:pPr>
    <w:rPr>
      <w:b/>
      <w:color w:val="000000"/>
      <w14:textFill>
        <w14:solidFill>
          <w14:srgbClr w14:val="000000">
            <w14:lumMod w14:val="65000"/>
            <w14:lumOff w14:val="35000"/>
          </w14:srgbClr>
        </w14:solidFill>
      </w14:textFill>
    </w:rPr>
  </w:style>
  <w:style w:type="character" w:customStyle="1" w:styleId="Placeholder">
    <w:name w:val="Placeholder"/>
    <w:uiPriority w:val="1"/>
    <w:qFormat/>
    <w:rsid w:val="002436E7"/>
    <w:rPr>
      <w:bdr w:val="none" w:sz="0" w:space="0" w:color="auto"/>
      <w:shd w:val="clear" w:color="auto" w:fill="auto"/>
    </w:rPr>
  </w:style>
  <w:style w:type="paragraph" w:styleId="Date">
    <w:name w:val="Date"/>
    <w:basedOn w:val="Client"/>
    <w:next w:val="Normal"/>
    <w:link w:val="DateChar"/>
    <w:uiPriority w:val="99"/>
    <w:unhideWhenUsed/>
    <w:rsid w:val="007C42FC"/>
    <w:pPr>
      <w:spacing w:before="120"/>
    </w:pPr>
  </w:style>
  <w:style w:type="character" w:customStyle="1" w:styleId="DateChar">
    <w:name w:val="Date Char"/>
    <w:basedOn w:val="DefaultParagraphFont"/>
    <w:link w:val="Date"/>
    <w:uiPriority w:val="99"/>
    <w:rsid w:val="007C42FC"/>
    <w:rPr>
      <w:rFonts w:eastAsiaTheme="majorEastAsia" w:cstheme="majorBidi"/>
      <w:color w:val="BFE7FF" w:themeColor="text2" w:themeTint="33"/>
      <w:spacing w:val="5"/>
      <w:kern w:val="28"/>
      <w:sz w:val="56"/>
      <w:szCs w:val="112"/>
      <w:lang w:val="en-GB" w:eastAsia="en-GB"/>
    </w:rPr>
  </w:style>
  <w:style w:type="paragraph" w:customStyle="1" w:styleId="TableHeading2Row">
    <w:name w:val="Table Heading 2_Row"/>
    <w:aliases w:val="th2r"/>
    <w:basedOn w:val="TableText"/>
    <w:qFormat/>
    <w:rsid w:val="00B34FB5"/>
    <w:rPr>
      <w:b/>
      <w:color w:val="0079C1" w:themeColor="text2"/>
    </w:rPr>
  </w:style>
  <w:style w:type="paragraph" w:customStyle="1" w:styleId="TableList2">
    <w:name w:val="TableList2"/>
    <w:aliases w:val="tl2"/>
    <w:basedOn w:val="List2"/>
    <w:qFormat/>
    <w:rsid w:val="007B7328"/>
    <w:pPr>
      <w:numPr>
        <w:ilvl w:val="0"/>
        <w:numId w:val="0"/>
      </w:numPr>
      <w:ind w:left="425" w:hanging="360"/>
    </w:pPr>
  </w:style>
  <w:style w:type="character" w:customStyle="1" w:styleId="Italic">
    <w:name w:val="Italic"/>
    <w:uiPriority w:val="1"/>
    <w:qFormat/>
    <w:rsid w:val="003E39FE"/>
    <w:rPr>
      <w:b w:val="0"/>
      <w:i/>
    </w:rPr>
  </w:style>
  <w:style w:type="paragraph" w:styleId="ListParagraph">
    <w:name w:val="List Paragraph"/>
    <w:basedOn w:val="Normal"/>
    <w:link w:val="ListParagraphChar"/>
    <w:uiPriority w:val="99"/>
    <w:qFormat/>
    <w:rsid w:val="00DA75EC"/>
    <w:pPr>
      <w:ind w:left="720"/>
      <w:contextualSpacing/>
    </w:pPr>
  </w:style>
  <w:style w:type="paragraph" w:customStyle="1" w:styleId="Bullet1Keep">
    <w:name w:val="Bullet 1_Keep"/>
    <w:aliases w:val="b1k"/>
    <w:basedOn w:val="Bullet1"/>
    <w:rsid w:val="00816354"/>
    <w:pPr>
      <w:keepNext/>
      <w:numPr>
        <w:numId w:val="0"/>
      </w:numPr>
      <w:spacing w:line="240" w:lineRule="auto"/>
      <w:ind w:left="720" w:hanging="360"/>
    </w:pPr>
  </w:style>
  <w:style w:type="character" w:customStyle="1" w:styleId="Italics">
    <w:name w:val="Italics"/>
    <w:uiPriority w:val="1"/>
    <w:qFormat/>
    <w:rsid w:val="006C264C"/>
    <w:rPr>
      <w:i/>
    </w:rPr>
  </w:style>
  <w:style w:type="table" w:customStyle="1" w:styleId="TableGrid1">
    <w:name w:val="Table Grid1"/>
    <w:basedOn w:val="TableNormal"/>
    <w:next w:val="TableGrid"/>
    <w:uiPriority w:val="59"/>
    <w:rsid w:val="00262D6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62D6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62D6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62D6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62D6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62D6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62D6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62D6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62D6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08F3"/>
    <w:pPr>
      <w:autoSpaceDE w:val="0"/>
      <w:autoSpaceDN w:val="0"/>
      <w:adjustRightInd w:val="0"/>
    </w:pPr>
    <w:rPr>
      <w:rFonts w:ascii="Arial" w:hAnsi="Arial" w:cs="Arial"/>
      <w:color w:val="000000"/>
      <w:sz w:val="24"/>
      <w:szCs w:val="24"/>
    </w:rPr>
  </w:style>
  <w:style w:type="table" w:customStyle="1" w:styleId="TableGrid10">
    <w:name w:val="Table Grid10"/>
    <w:basedOn w:val="TableNormal"/>
    <w:next w:val="TableGrid"/>
    <w:uiPriority w:val="39"/>
    <w:rsid w:val="007C355B"/>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99"/>
    <w:rsid w:val="00F4135B"/>
    <w:rPr>
      <w:sz w:val="22"/>
      <w:szCs w:val="22"/>
      <w:lang w:val="en-GB" w:eastAsia="en-GB"/>
    </w:rPr>
  </w:style>
  <w:style w:type="numbering" w:customStyle="1" w:styleId="AHAList">
    <w:name w:val="AHA List"/>
    <w:uiPriority w:val="99"/>
    <w:rsid w:val="00F4135B"/>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73658">
      <w:bodyDiv w:val="1"/>
      <w:marLeft w:val="0"/>
      <w:marRight w:val="0"/>
      <w:marTop w:val="0"/>
      <w:marBottom w:val="0"/>
      <w:divBdr>
        <w:top w:val="none" w:sz="0" w:space="0" w:color="auto"/>
        <w:left w:val="none" w:sz="0" w:space="0" w:color="auto"/>
        <w:bottom w:val="none" w:sz="0" w:space="0" w:color="auto"/>
        <w:right w:val="none" w:sz="0" w:space="0" w:color="auto"/>
      </w:divBdr>
    </w:div>
    <w:div w:id="90712042">
      <w:bodyDiv w:val="1"/>
      <w:marLeft w:val="0"/>
      <w:marRight w:val="0"/>
      <w:marTop w:val="0"/>
      <w:marBottom w:val="0"/>
      <w:divBdr>
        <w:top w:val="none" w:sz="0" w:space="0" w:color="auto"/>
        <w:left w:val="none" w:sz="0" w:space="0" w:color="auto"/>
        <w:bottom w:val="none" w:sz="0" w:space="0" w:color="auto"/>
        <w:right w:val="none" w:sz="0" w:space="0" w:color="auto"/>
      </w:divBdr>
    </w:div>
    <w:div w:id="168839405">
      <w:bodyDiv w:val="1"/>
      <w:marLeft w:val="0"/>
      <w:marRight w:val="0"/>
      <w:marTop w:val="0"/>
      <w:marBottom w:val="0"/>
      <w:divBdr>
        <w:top w:val="none" w:sz="0" w:space="0" w:color="auto"/>
        <w:left w:val="none" w:sz="0" w:space="0" w:color="auto"/>
        <w:bottom w:val="none" w:sz="0" w:space="0" w:color="auto"/>
        <w:right w:val="none" w:sz="0" w:space="0" w:color="auto"/>
      </w:divBdr>
    </w:div>
    <w:div w:id="210121268">
      <w:bodyDiv w:val="1"/>
      <w:marLeft w:val="0"/>
      <w:marRight w:val="0"/>
      <w:marTop w:val="0"/>
      <w:marBottom w:val="0"/>
      <w:divBdr>
        <w:top w:val="none" w:sz="0" w:space="0" w:color="auto"/>
        <w:left w:val="none" w:sz="0" w:space="0" w:color="auto"/>
        <w:bottom w:val="none" w:sz="0" w:space="0" w:color="auto"/>
        <w:right w:val="none" w:sz="0" w:space="0" w:color="auto"/>
      </w:divBdr>
    </w:div>
    <w:div w:id="224994951">
      <w:bodyDiv w:val="1"/>
      <w:marLeft w:val="0"/>
      <w:marRight w:val="0"/>
      <w:marTop w:val="0"/>
      <w:marBottom w:val="0"/>
      <w:divBdr>
        <w:top w:val="none" w:sz="0" w:space="0" w:color="auto"/>
        <w:left w:val="none" w:sz="0" w:space="0" w:color="auto"/>
        <w:bottom w:val="none" w:sz="0" w:space="0" w:color="auto"/>
        <w:right w:val="none" w:sz="0" w:space="0" w:color="auto"/>
      </w:divBdr>
    </w:div>
    <w:div w:id="394160081">
      <w:bodyDiv w:val="1"/>
      <w:marLeft w:val="0"/>
      <w:marRight w:val="0"/>
      <w:marTop w:val="0"/>
      <w:marBottom w:val="0"/>
      <w:divBdr>
        <w:top w:val="none" w:sz="0" w:space="0" w:color="auto"/>
        <w:left w:val="none" w:sz="0" w:space="0" w:color="auto"/>
        <w:bottom w:val="none" w:sz="0" w:space="0" w:color="auto"/>
        <w:right w:val="none" w:sz="0" w:space="0" w:color="auto"/>
      </w:divBdr>
    </w:div>
    <w:div w:id="510336393">
      <w:bodyDiv w:val="1"/>
      <w:marLeft w:val="0"/>
      <w:marRight w:val="0"/>
      <w:marTop w:val="0"/>
      <w:marBottom w:val="0"/>
      <w:divBdr>
        <w:top w:val="none" w:sz="0" w:space="0" w:color="auto"/>
        <w:left w:val="none" w:sz="0" w:space="0" w:color="auto"/>
        <w:bottom w:val="none" w:sz="0" w:space="0" w:color="auto"/>
        <w:right w:val="none" w:sz="0" w:space="0" w:color="auto"/>
      </w:divBdr>
    </w:div>
    <w:div w:id="522011713">
      <w:bodyDiv w:val="1"/>
      <w:marLeft w:val="0"/>
      <w:marRight w:val="0"/>
      <w:marTop w:val="0"/>
      <w:marBottom w:val="0"/>
      <w:divBdr>
        <w:top w:val="none" w:sz="0" w:space="0" w:color="auto"/>
        <w:left w:val="none" w:sz="0" w:space="0" w:color="auto"/>
        <w:bottom w:val="none" w:sz="0" w:space="0" w:color="auto"/>
        <w:right w:val="none" w:sz="0" w:space="0" w:color="auto"/>
      </w:divBdr>
    </w:div>
    <w:div w:id="752119808">
      <w:bodyDiv w:val="1"/>
      <w:marLeft w:val="0"/>
      <w:marRight w:val="0"/>
      <w:marTop w:val="0"/>
      <w:marBottom w:val="0"/>
      <w:divBdr>
        <w:top w:val="none" w:sz="0" w:space="0" w:color="auto"/>
        <w:left w:val="none" w:sz="0" w:space="0" w:color="auto"/>
        <w:bottom w:val="none" w:sz="0" w:space="0" w:color="auto"/>
        <w:right w:val="none" w:sz="0" w:space="0" w:color="auto"/>
      </w:divBdr>
    </w:div>
    <w:div w:id="975332744">
      <w:bodyDiv w:val="1"/>
      <w:marLeft w:val="0"/>
      <w:marRight w:val="0"/>
      <w:marTop w:val="0"/>
      <w:marBottom w:val="0"/>
      <w:divBdr>
        <w:top w:val="none" w:sz="0" w:space="0" w:color="auto"/>
        <w:left w:val="none" w:sz="0" w:space="0" w:color="auto"/>
        <w:bottom w:val="none" w:sz="0" w:space="0" w:color="auto"/>
        <w:right w:val="none" w:sz="0" w:space="0" w:color="auto"/>
      </w:divBdr>
    </w:div>
    <w:div w:id="1010058760">
      <w:bodyDiv w:val="1"/>
      <w:marLeft w:val="0"/>
      <w:marRight w:val="0"/>
      <w:marTop w:val="0"/>
      <w:marBottom w:val="0"/>
      <w:divBdr>
        <w:top w:val="none" w:sz="0" w:space="0" w:color="auto"/>
        <w:left w:val="none" w:sz="0" w:space="0" w:color="auto"/>
        <w:bottom w:val="none" w:sz="0" w:space="0" w:color="auto"/>
        <w:right w:val="none" w:sz="0" w:space="0" w:color="auto"/>
      </w:divBdr>
    </w:div>
    <w:div w:id="1016999444">
      <w:bodyDiv w:val="1"/>
      <w:marLeft w:val="0"/>
      <w:marRight w:val="0"/>
      <w:marTop w:val="0"/>
      <w:marBottom w:val="0"/>
      <w:divBdr>
        <w:top w:val="none" w:sz="0" w:space="0" w:color="auto"/>
        <w:left w:val="none" w:sz="0" w:space="0" w:color="auto"/>
        <w:bottom w:val="none" w:sz="0" w:space="0" w:color="auto"/>
        <w:right w:val="none" w:sz="0" w:space="0" w:color="auto"/>
      </w:divBdr>
    </w:div>
    <w:div w:id="1018236992">
      <w:bodyDiv w:val="1"/>
      <w:marLeft w:val="0"/>
      <w:marRight w:val="0"/>
      <w:marTop w:val="0"/>
      <w:marBottom w:val="0"/>
      <w:divBdr>
        <w:top w:val="none" w:sz="0" w:space="0" w:color="auto"/>
        <w:left w:val="none" w:sz="0" w:space="0" w:color="auto"/>
        <w:bottom w:val="none" w:sz="0" w:space="0" w:color="auto"/>
        <w:right w:val="none" w:sz="0" w:space="0" w:color="auto"/>
      </w:divBdr>
      <w:divsChild>
        <w:div w:id="803540384">
          <w:marLeft w:val="0"/>
          <w:marRight w:val="0"/>
          <w:marTop w:val="0"/>
          <w:marBottom w:val="0"/>
          <w:divBdr>
            <w:top w:val="none" w:sz="0" w:space="0" w:color="auto"/>
            <w:left w:val="none" w:sz="0" w:space="0" w:color="auto"/>
            <w:bottom w:val="none" w:sz="0" w:space="0" w:color="auto"/>
            <w:right w:val="none" w:sz="0" w:space="0" w:color="auto"/>
          </w:divBdr>
        </w:div>
      </w:divsChild>
    </w:div>
    <w:div w:id="1037122402">
      <w:bodyDiv w:val="1"/>
      <w:marLeft w:val="0"/>
      <w:marRight w:val="0"/>
      <w:marTop w:val="0"/>
      <w:marBottom w:val="0"/>
      <w:divBdr>
        <w:top w:val="none" w:sz="0" w:space="0" w:color="auto"/>
        <w:left w:val="none" w:sz="0" w:space="0" w:color="auto"/>
        <w:bottom w:val="none" w:sz="0" w:space="0" w:color="auto"/>
        <w:right w:val="none" w:sz="0" w:space="0" w:color="auto"/>
      </w:divBdr>
    </w:div>
    <w:div w:id="1085107300">
      <w:bodyDiv w:val="1"/>
      <w:marLeft w:val="0"/>
      <w:marRight w:val="0"/>
      <w:marTop w:val="0"/>
      <w:marBottom w:val="0"/>
      <w:divBdr>
        <w:top w:val="none" w:sz="0" w:space="0" w:color="auto"/>
        <w:left w:val="none" w:sz="0" w:space="0" w:color="auto"/>
        <w:bottom w:val="none" w:sz="0" w:space="0" w:color="auto"/>
        <w:right w:val="none" w:sz="0" w:space="0" w:color="auto"/>
      </w:divBdr>
    </w:div>
    <w:div w:id="1259480049">
      <w:bodyDiv w:val="1"/>
      <w:marLeft w:val="0"/>
      <w:marRight w:val="0"/>
      <w:marTop w:val="0"/>
      <w:marBottom w:val="0"/>
      <w:divBdr>
        <w:top w:val="none" w:sz="0" w:space="0" w:color="auto"/>
        <w:left w:val="none" w:sz="0" w:space="0" w:color="auto"/>
        <w:bottom w:val="none" w:sz="0" w:space="0" w:color="auto"/>
        <w:right w:val="none" w:sz="0" w:space="0" w:color="auto"/>
      </w:divBdr>
    </w:div>
    <w:div w:id="1331179385">
      <w:bodyDiv w:val="1"/>
      <w:marLeft w:val="0"/>
      <w:marRight w:val="0"/>
      <w:marTop w:val="0"/>
      <w:marBottom w:val="0"/>
      <w:divBdr>
        <w:top w:val="none" w:sz="0" w:space="0" w:color="auto"/>
        <w:left w:val="none" w:sz="0" w:space="0" w:color="auto"/>
        <w:bottom w:val="none" w:sz="0" w:space="0" w:color="auto"/>
        <w:right w:val="none" w:sz="0" w:space="0" w:color="auto"/>
      </w:divBdr>
    </w:div>
    <w:div w:id="1597590370">
      <w:bodyDiv w:val="1"/>
      <w:marLeft w:val="0"/>
      <w:marRight w:val="0"/>
      <w:marTop w:val="0"/>
      <w:marBottom w:val="0"/>
      <w:divBdr>
        <w:top w:val="none" w:sz="0" w:space="0" w:color="auto"/>
        <w:left w:val="none" w:sz="0" w:space="0" w:color="auto"/>
        <w:bottom w:val="none" w:sz="0" w:space="0" w:color="auto"/>
        <w:right w:val="none" w:sz="0" w:space="0" w:color="auto"/>
      </w:divBdr>
    </w:div>
    <w:div w:id="1604068134">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1909294">
      <w:bodyDiv w:val="1"/>
      <w:marLeft w:val="0"/>
      <w:marRight w:val="0"/>
      <w:marTop w:val="0"/>
      <w:marBottom w:val="0"/>
      <w:divBdr>
        <w:top w:val="none" w:sz="0" w:space="0" w:color="auto"/>
        <w:left w:val="none" w:sz="0" w:space="0" w:color="auto"/>
        <w:bottom w:val="none" w:sz="0" w:space="0" w:color="auto"/>
        <w:right w:val="none" w:sz="0" w:space="0" w:color="auto"/>
      </w:divBdr>
    </w:div>
    <w:div w:id="1764838336">
      <w:bodyDiv w:val="1"/>
      <w:marLeft w:val="0"/>
      <w:marRight w:val="0"/>
      <w:marTop w:val="0"/>
      <w:marBottom w:val="0"/>
      <w:divBdr>
        <w:top w:val="none" w:sz="0" w:space="0" w:color="auto"/>
        <w:left w:val="none" w:sz="0" w:space="0" w:color="auto"/>
        <w:bottom w:val="none" w:sz="0" w:space="0" w:color="auto"/>
        <w:right w:val="none" w:sz="0" w:space="0" w:color="auto"/>
      </w:divBdr>
    </w:div>
    <w:div w:id="1765568316">
      <w:bodyDiv w:val="1"/>
      <w:marLeft w:val="0"/>
      <w:marRight w:val="0"/>
      <w:marTop w:val="0"/>
      <w:marBottom w:val="0"/>
      <w:divBdr>
        <w:top w:val="none" w:sz="0" w:space="0" w:color="auto"/>
        <w:left w:val="none" w:sz="0" w:space="0" w:color="auto"/>
        <w:bottom w:val="none" w:sz="0" w:space="0" w:color="auto"/>
        <w:right w:val="none" w:sz="0" w:space="0" w:color="auto"/>
      </w:divBdr>
    </w:div>
    <w:div w:id="1796363702">
      <w:bodyDiv w:val="1"/>
      <w:marLeft w:val="0"/>
      <w:marRight w:val="0"/>
      <w:marTop w:val="0"/>
      <w:marBottom w:val="0"/>
      <w:divBdr>
        <w:top w:val="none" w:sz="0" w:space="0" w:color="auto"/>
        <w:left w:val="none" w:sz="0" w:space="0" w:color="auto"/>
        <w:bottom w:val="none" w:sz="0" w:space="0" w:color="auto"/>
        <w:right w:val="none" w:sz="0" w:space="0" w:color="auto"/>
      </w:divBdr>
    </w:div>
    <w:div w:id="1831409270">
      <w:bodyDiv w:val="1"/>
      <w:marLeft w:val="0"/>
      <w:marRight w:val="0"/>
      <w:marTop w:val="0"/>
      <w:marBottom w:val="0"/>
      <w:divBdr>
        <w:top w:val="none" w:sz="0" w:space="0" w:color="auto"/>
        <w:left w:val="none" w:sz="0" w:space="0" w:color="auto"/>
        <w:bottom w:val="none" w:sz="0" w:space="0" w:color="auto"/>
        <w:right w:val="none" w:sz="0" w:space="0" w:color="auto"/>
      </w:divBdr>
    </w:div>
    <w:div w:id="1835611702">
      <w:bodyDiv w:val="1"/>
      <w:marLeft w:val="0"/>
      <w:marRight w:val="0"/>
      <w:marTop w:val="0"/>
      <w:marBottom w:val="0"/>
      <w:divBdr>
        <w:top w:val="none" w:sz="0" w:space="0" w:color="auto"/>
        <w:left w:val="none" w:sz="0" w:space="0" w:color="auto"/>
        <w:bottom w:val="none" w:sz="0" w:space="0" w:color="auto"/>
        <w:right w:val="none" w:sz="0" w:space="0" w:color="auto"/>
      </w:divBdr>
    </w:div>
    <w:div w:id="1874535274">
      <w:bodyDiv w:val="1"/>
      <w:marLeft w:val="0"/>
      <w:marRight w:val="0"/>
      <w:marTop w:val="0"/>
      <w:marBottom w:val="0"/>
      <w:divBdr>
        <w:top w:val="none" w:sz="0" w:space="0" w:color="auto"/>
        <w:left w:val="none" w:sz="0" w:space="0" w:color="auto"/>
        <w:bottom w:val="none" w:sz="0" w:space="0" w:color="auto"/>
        <w:right w:val="none" w:sz="0" w:space="0" w:color="auto"/>
      </w:divBdr>
      <w:divsChild>
        <w:div w:id="1065646874">
          <w:marLeft w:val="0"/>
          <w:marRight w:val="0"/>
          <w:marTop w:val="0"/>
          <w:marBottom w:val="0"/>
          <w:divBdr>
            <w:top w:val="none" w:sz="0" w:space="0" w:color="auto"/>
            <w:left w:val="none" w:sz="0" w:space="0" w:color="auto"/>
            <w:bottom w:val="none" w:sz="0" w:space="0" w:color="auto"/>
            <w:right w:val="none" w:sz="0" w:space="0" w:color="auto"/>
          </w:divBdr>
        </w:div>
        <w:div w:id="1153254978">
          <w:marLeft w:val="0"/>
          <w:marRight w:val="0"/>
          <w:marTop w:val="0"/>
          <w:marBottom w:val="0"/>
          <w:divBdr>
            <w:top w:val="none" w:sz="0" w:space="0" w:color="auto"/>
            <w:left w:val="none" w:sz="0" w:space="0" w:color="auto"/>
            <w:bottom w:val="none" w:sz="0" w:space="0" w:color="auto"/>
            <w:right w:val="none" w:sz="0" w:space="0" w:color="auto"/>
          </w:divBdr>
        </w:div>
        <w:div w:id="2074346917">
          <w:marLeft w:val="0"/>
          <w:marRight w:val="0"/>
          <w:marTop w:val="0"/>
          <w:marBottom w:val="0"/>
          <w:divBdr>
            <w:top w:val="none" w:sz="0" w:space="0" w:color="auto"/>
            <w:left w:val="none" w:sz="0" w:space="0" w:color="auto"/>
            <w:bottom w:val="none" w:sz="0" w:space="0" w:color="auto"/>
            <w:right w:val="none" w:sz="0" w:space="0" w:color="auto"/>
          </w:divBdr>
        </w:div>
        <w:div w:id="630328127">
          <w:marLeft w:val="0"/>
          <w:marRight w:val="0"/>
          <w:marTop w:val="0"/>
          <w:marBottom w:val="0"/>
          <w:divBdr>
            <w:top w:val="none" w:sz="0" w:space="0" w:color="auto"/>
            <w:left w:val="none" w:sz="0" w:space="0" w:color="auto"/>
            <w:bottom w:val="none" w:sz="0" w:space="0" w:color="auto"/>
            <w:right w:val="none" w:sz="0" w:space="0" w:color="auto"/>
          </w:divBdr>
        </w:div>
        <w:div w:id="1953587350">
          <w:marLeft w:val="0"/>
          <w:marRight w:val="0"/>
          <w:marTop w:val="0"/>
          <w:marBottom w:val="0"/>
          <w:divBdr>
            <w:top w:val="none" w:sz="0" w:space="0" w:color="auto"/>
            <w:left w:val="none" w:sz="0" w:space="0" w:color="auto"/>
            <w:bottom w:val="none" w:sz="0" w:space="0" w:color="auto"/>
            <w:right w:val="none" w:sz="0" w:space="0" w:color="auto"/>
          </w:divBdr>
        </w:div>
      </w:divsChild>
    </w:div>
    <w:div w:id="1982029943">
      <w:bodyDiv w:val="1"/>
      <w:marLeft w:val="0"/>
      <w:marRight w:val="0"/>
      <w:marTop w:val="0"/>
      <w:marBottom w:val="0"/>
      <w:divBdr>
        <w:top w:val="none" w:sz="0" w:space="0" w:color="auto"/>
        <w:left w:val="none" w:sz="0" w:space="0" w:color="auto"/>
        <w:bottom w:val="none" w:sz="0" w:space="0" w:color="auto"/>
        <w:right w:val="none" w:sz="0" w:space="0" w:color="auto"/>
      </w:divBdr>
    </w:div>
    <w:div w:id="1985160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hyperlink" Target="https://travel.state.gov/content/adoptionsabroad/en/about-us/statistic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intercountryadopteevoices.wordpress.com" TargetMode="Externa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ag.gov.au/FamiliesAndMarriage/IntercountryAdoption/Documents/DiagramRolesandResponsibilitiesofCentralAuthorities.pdf" TargetMode="External"/><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hyperlink" Target="http://www.intercountryadoption.gov.au" TargetMode="Externa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eader" Target="header6.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N:\Administration\Templates\AHA%20Documents_New%20Style\Proposals%20&amp;%20Reports.dotx" TargetMode="External"/></Relationships>
</file>

<file path=word/theme/theme1.xml><?xml version="1.0" encoding="utf-8"?>
<a:theme xmlns:a="http://schemas.openxmlformats.org/drawingml/2006/main" name="Office Theme">
  <a:themeElements>
    <a:clrScheme name="AHA">
      <a:dk1>
        <a:sysClr val="windowText" lastClr="000000"/>
      </a:dk1>
      <a:lt1>
        <a:sysClr val="window" lastClr="FFFFFF"/>
      </a:lt1>
      <a:dk2>
        <a:srgbClr val="0079C1"/>
      </a:dk2>
      <a:lt2>
        <a:srgbClr val="808285"/>
      </a:lt2>
      <a:accent1>
        <a:srgbClr val="71C9FF"/>
      </a:accent1>
      <a:accent2>
        <a:srgbClr val="00C4D5"/>
      </a:accent2>
      <a:accent3>
        <a:srgbClr val="00A2C1"/>
      </a:accent3>
      <a:accent4>
        <a:srgbClr val="C1C2C3"/>
      </a:accent4>
      <a:accent5>
        <a:srgbClr val="5D5E5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58E3B-77FC-4B14-8B66-CE0CF8E77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Proposals &amp; Reports</Template>
  <TotalTime>45</TotalTime>
  <Pages>134</Pages>
  <Words>55162</Words>
  <Characters>314428</Characters>
  <Application>Microsoft Office Word</Application>
  <DocSecurity>0</DocSecurity>
  <Lines>2620</Lines>
  <Paragraphs>737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Trish O'Connor</dc:creator>
  <cp:lastModifiedBy>WHITER, Shaun</cp:lastModifiedBy>
  <cp:revision>6</cp:revision>
  <cp:lastPrinted>2018-09-04T00:57:00Z</cp:lastPrinted>
  <dcterms:created xsi:type="dcterms:W3CDTF">2018-09-03T23:37:00Z</dcterms:created>
  <dcterms:modified xsi:type="dcterms:W3CDTF">2018-09-04T00:58:00Z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http://csl.mendeley.com/styles/440566041/style-manual-australian-government</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(author-date)</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7th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http://csl.mendeley.com/styles/440566041/style-manual-australian-government</vt:lpwstr>
  </property>
  <property fmtid="{D5CDD505-2E9C-101B-9397-08002B2CF9AE}" pid="23" name="Mendeley Recent Style Name 9_1">
    <vt:lpwstr>Style Manual - Australian Government (author-date) - Tess Lethborg</vt:lpwstr>
  </property>
  <property fmtid="{D5CDD505-2E9C-101B-9397-08002B2CF9AE}" pid="24" name="Mendeley Unique User Id_1">
    <vt:lpwstr>2cc419ae-0769-31fe-af33-8a98c1381b9d</vt:lpwstr>
  </property>
  <property fmtid="{D5CDD505-2E9C-101B-9397-08002B2CF9AE}" pid="25" name="Mendeley User Name_1">
    <vt:lpwstr>mendeley@ahaconsulting.com.au@www.mendeley.com</vt:lpwstr>
  </property>
</Properties>
</file>