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367" w:rsidRPr="00EB6ACC" w:rsidRDefault="00AB5367" w:rsidP="00EB6ACC">
      <w:pPr>
        <w:pStyle w:val="Heading1"/>
      </w:pPr>
      <w:r w:rsidRPr="00EB6ACC">
        <w:t xml:space="preserve">Guidelines for assessing </w:t>
      </w:r>
      <w:r w:rsidR="002B06FC" w:rsidRPr="00EB6ACC">
        <w:t>applications for</w:t>
      </w:r>
      <w:r w:rsidR="003D2D61" w:rsidRPr="00EB6ACC">
        <w:t xml:space="preserve"> </w:t>
      </w:r>
      <w:r w:rsidRPr="00EB6ACC">
        <w:t xml:space="preserve">an exemption from </w:t>
      </w:r>
      <w:r w:rsidR="00DA24FA" w:rsidRPr="00EB6ACC">
        <w:t xml:space="preserve">the </w:t>
      </w:r>
      <w:r w:rsidR="00EB6ACC" w:rsidRPr="00EB6ACC">
        <w:t xml:space="preserve">ATM </w:t>
      </w:r>
      <w:r w:rsidRPr="00EB6ACC">
        <w:t>withdrawal limit</w:t>
      </w:r>
    </w:p>
    <w:p w:rsidR="00AB5367" w:rsidRDefault="00AB5367">
      <w:pPr>
        <w:spacing w:after="0"/>
        <w:rPr>
          <w:rFonts w:eastAsia="Times New Roman" w:cs="Times New Roman"/>
          <w:b/>
          <w:bCs/>
          <w:color w:val="555555"/>
          <w:szCs w:val="24"/>
          <w:lang w:eastAsia="en-AU"/>
        </w:rPr>
      </w:pPr>
    </w:p>
    <w:p w:rsidR="00AB5367" w:rsidRDefault="00AB5367">
      <w:pPr>
        <w:spacing w:after="0"/>
        <w:rPr>
          <w:rFonts w:eastAsia="Times New Roman" w:cs="Times New Roman"/>
          <w:b/>
          <w:bCs/>
          <w:color w:val="555555"/>
          <w:szCs w:val="24"/>
          <w:lang w:eastAsia="en-AU"/>
        </w:rPr>
      </w:pPr>
      <w:r>
        <w:rPr>
          <w:rFonts w:eastAsia="Times New Roman" w:cs="Times New Roman"/>
          <w:b/>
          <w:bCs/>
          <w:color w:val="555555"/>
          <w:szCs w:val="24"/>
          <w:lang w:eastAsia="en-AU"/>
        </w:rPr>
        <w:br w:type="page"/>
      </w:r>
    </w:p>
    <w:p w:rsidR="00AB5367" w:rsidRPr="007A1ED7" w:rsidRDefault="00DA24FA" w:rsidP="007A1ED7">
      <w:pPr>
        <w:pStyle w:val="Heading2"/>
      </w:pPr>
      <w:r w:rsidRPr="007A1ED7">
        <w:lastRenderedPageBreak/>
        <w:t>Preamble</w:t>
      </w:r>
    </w:p>
    <w:p w:rsidR="00D232F0" w:rsidRPr="0081612D" w:rsidRDefault="00C466A8" w:rsidP="007A1ED7">
      <w:pPr>
        <w:pStyle w:val="Heading3"/>
        <w:rPr>
          <w:rFonts w:eastAsia="Times New Roman" w:cs="Times New Roman"/>
          <w:iCs/>
          <w:color w:val="222222"/>
          <w:szCs w:val="24"/>
          <w:lang w:eastAsia="en-AU"/>
        </w:rPr>
      </w:pPr>
      <w:r w:rsidRPr="0081612D">
        <w:t>The National Gambling Reform Act 2012</w:t>
      </w:r>
    </w:p>
    <w:p w:rsidR="00AB5367" w:rsidRPr="00E30102" w:rsidRDefault="00AB5367" w:rsidP="007A1ED7">
      <w:pPr>
        <w:pStyle w:val="NormalWeb"/>
        <w:shd w:val="clear" w:color="auto" w:fill="FFFFFF"/>
      </w:pPr>
      <w:r w:rsidRPr="00E30102">
        <w:rPr>
          <w:rFonts w:asciiTheme="minorHAnsi" w:eastAsiaTheme="minorHAnsi" w:hAnsiTheme="minorHAnsi" w:cstheme="minorBidi"/>
          <w:szCs w:val="22"/>
          <w:lang w:eastAsia="en-US"/>
        </w:rPr>
        <w:t xml:space="preserve">The </w:t>
      </w:r>
      <w:r w:rsidRPr="00E30102">
        <w:rPr>
          <w:rFonts w:asciiTheme="minorHAnsi" w:eastAsiaTheme="minorHAnsi" w:hAnsiTheme="minorHAnsi" w:cstheme="minorBidi"/>
          <w:i/>
          <w:szCs w:val="22"/>
          <w:lang w:eastAsia="en-US"/>
        </w:rPr>
        <w:t>National Gambling Reform Act 2012</w:t>
      </w:r>
      <w:r w:rsidRPr="00E30102">
        <w:rPr>
          <w:rFonts w:asciiTheme="minorHAnsi" w:eastAsiaTheme="minorHAnsi" w:hAnsiTheme="minorHAnsi" w:cstheme="minorBidi"/>
          <w:szCs w:val="22"/>
          <w:lang w:eastAsia="en-US"/>
        </w:rPr>
        <w:t xml:space="preserve"> (the NGR Act), </w:t>
      </w:r>
      <w:r w:rsidRPr="00E30102">
        <w:rPr>
          <w:rFonts w:asciiTheme="minorHAnsi" w:eastAsiaTheme="minorHAnsi" w:hAnsiTheme="minorHAnsi" w:cstheme="minorBidi"/>
          <w:i/>
          <w:szCs w:val="22"/>
          <w:lang w:eastAsia="en-US"/>
        </w:rPr>
        <w:t>National Gambling Reform (Related Matters) Act (No.1) 2012</w:t>
      </w:r>
      <w:r w:rsidRPr="00E30102">
        <w:rPr>
          <w:rFonts w:asciiTheme="minorHAnsi" w:eastAsiaTheme="minorHAnsi" w:hAnsiTheme="minorHAnsi" w:cstheme="minorBidi"/>
          <w:szCs w:val="22"/>
          <w:lang w:eastAsia="en-US"/>
        </w:rPr>
        <w:t xml:space="preserve">, and </w:t>
      </w:r>
      <w:r w:rsidRPr="00E30102">
        <w:rPr>
          <w:rFonts w:asciiTheme="minorHAnsi" w:eastAsiaTheme="minorHAnsi" w:hAnsiTheme="minorHAnsi" w:cstheme="minorBidi"/>
          <w:i/>
          <w:szCs w:val="22"/>
          <w:lang w:eastAsia="en-US"/>
        </w:rPr>
        <w:t xml:space="preserve">National Gambling Reform (Related Matters) Act (No.2) 2012 </w:t>
      </w:r>
      <w:r w:rsidR="005D75FF" w:rsidRPr="00E30102">
        <w:rPr>
          <w:rFonts w:asciiTheme="minorHAnsi" w:eastAsiaTheme="minorHAnsi" w:hAnsiTheme="minorHAnsi" w:cstheme="minorBidi"/>
          <w:szCs w:val="22"/>
          <w:lang w:eastAsia="en-US"/>
        </w:rPr>
        <w:t xml:space="preserve">(the Acts) </w:t>
      </w:r>
      <w:r w:rsidRPr="00E30102">
        <w:rPr>
          <w:rFonts w:asciiTheme="minorHAnsi" w:eastAsiaTheme="minorHAnsi" w:hAnsiTheme="minorHAnsi" w:cstheme="minorBidi"/>
          <w:szCs w:val="22"/>
          <w:lang w:eastAsia="en-US"/>
        </w:rPr>
        <w:t>were enacted on 12 December 2012.</w:t>
      </w:r>
    </w:p>
    <w:p w:rsidR="00AB5367" w:rsidRPr="00E30102" w:rsidRDefault="00AB5367" w:rsidP="007A1ED7">
      <w:pPr>
        <w:pStyle w:val="NormalWeb"/>
        <w:shd w:val="clear" w:color="auto" w:fill="FFFFFF"/>
      </w:pPr>
      <w:r w:rsidRPr="00E30102">
        <w:rPr>
          <w:rFonts w:asciiTheme="minorHAnsi" w:eastAsiaTheme="minorHAnsi" w:hAnsiTheme="minorHAnsi" w:cstheme="minorBidi"/>
          <w:szCs w:val="22"/>
          <w:lang w:eastAsia="en-US"/>
        </w:rPr>
        <w:t>The NGR Act provides three key measures to reduce the harm caused by gaming machines. These include implementing a $250 Automatic Teller Machine (ATM) withdrawal limit</w:t>
      </w:r>
      <w:r w:rsidR="00CA6A4E" w:rsidRPr="00E30102">
        <w:rPr>
          <w:rFonts w:asciiTheme="minorHAnsi" w:eastAsiaTheme="minorHAnsi" w:hAnsiTheme="minorHAnsi" w:cstheme="minorBidi"/>
          <w:szCs w:val="22"/>
          <w:lang w:eastAsia="en-US"/>
        </w:rPr>
        <w:t xml:space="preserve"> per card per 24 hour period</w:t>
      </w:r>
      <w:r w:rsidR="002C1D6B" w:rsidRPr="00E30102">
        <w:rPr>
          <w:rFonts w:asciiTheme="minorHAnsi" w:eastAsiaTheme="minorHAnsi" w:hAnsiTheme="minorHAnsi" w:cstheme="minorBidi"/>
          <w:szCs w:val="22"/>
          <w:lang w:eastAsia="en-US"/>
        </w:rPr>
        <w:t xml:space="preserve"> (except for casinos)</w:t>
      </w:r>
      <w:r w:rsidRPr="00E30102">
        <w:rPr>
          <w:rFonts w:asciiTheme="minorHAnsi" w:eastAsiaTheme="minorHAnsi" w:hAnsiTheme="minorHAnsi" w:cstheme="minorBidi"/>
          <w:szCs w:val="22"/>
          <w:lang w:eastAsia="en-US"/>
        </w:rPr>
        <w:t>, and introducing pre-commitment systems and dynamic warning messaging requirements in all gaming venues nati</w:t>
      </w:r>
      <w:r w:rsidR="003D2D61">
        <w:rPr>
          <w:rFonts w:asciiTheme="minorHAnsi" w:eastAsiaTheme="minorHAnsi" w:hAnsiTheme="minorHAnsi" w:cstheme="minorBidi"/>
          <w:szCs w:val="22"/>
          <w:lang w:eastAsia="en-US"/>
        </w:rPr>
        <w:t>onally.</w:t>
      </w:r>
    </w:p>
    <w:p w:rsidR="00AB5367" w:rsidRPr="00E30102" w:rsidRDefault="00AB5367" w:rsidP="007A1ED7">
      <w:pPr>
        <w:pStyle w:val="NormalWeb"/>
        <w:shd w:val="clear" w:color="auto" w:fill="FFFFFF"/>
      </w:pPr>
      <w:r w:rsidRPr="00E30102">
        <w:rPr>
          <w:rFonts w:asciiTheme="minorHAnsi" w:eastAsiaTheme="minorHAnsi" w:hAnsiTheme="minorHAnsi" w:cstheme="minorBidi"/>
          <w:szCs w:val="22"/>
          <w:lang w:eastAsia="en-US"/>
        </w:rPr>
        <w:t xml:space="preserve">The NGR Act staggers the introduction of these measures over approximately a </w:t>
      </w:r>
      <w:r w:rsidR="00CA6A4E" w:rsidRPr="00E30102">
        <w:rPr>
          <w:rFonts w:asciiTheme="minorHAnsi" w:eastAsiaTheme="minorHAnsi" w:hAnsiTheme="minorHAnsi" w:cstheme="minorBidi"/>
          <w:szCs w:val="22"/>
          <w:lang w:eastAsia="en-US"/>
        </w:rPr>
        <w:t>ten</w:t>
      </w:r>
      <w:r w:rsidRPr="00E30102">
        <w:rPr>
          <w:rFonts w:asciiTheme="minorHAnsi" w:eastAsiaTheme="minorHAnsi" w:hAnsiTheme="minorHAnsi" w:cstheme="minorBidi"/>
          <w:szCs w:val="22"/>
          <w:lang w:eastAsia="en-US"/>
        </w:rPr>
        <w:t xml:space="preserve"> year period. </w:t>
      </w:r>
      <w:proofErr w:type="gramStart"/>
      <w:r w:rsidRPr="00E30102">
        <w:rPr>
          <w:rFonts w:asciiTheme="minorHAnsi" w:eastAsiaTheme="minorHAnsi" w:hAnsiTheme="minorHAnsi" w:cstheme="minorBidi"/>
          <w:szCs w:val="22"/>
          <w:lang w:eastAsia="en-US"/>
        </w:rPr>
        <w:t>The first of these key measures, the introduction of a $250 ATM withdrawal limit, commence</w:t>
      </w:r>
      <w:r w:rsidR="00CA6A4E" w:rsidRPr="00E30102">
        <w:rPr>
          <w:rFonts w:asciiTheme="minorHAnsi" w:eastAsiaTheme="minorHAnsi" w:hAnsiTheme="minorHAnsi" w:cstheme="minorBidi"/>
          <w:szCs w:val="22"/>
          <w:lang w:eastAsia="en-US"/>
        </w:rPr>
        <w:t>d</w:t>
      </w:r>
      <w:r w:rsidRPr="00E30102">
        <w:rPr>
          <w:rFonts w:asciiTheme="minorHAnsi" w:eastAsiaTheme="minorHAnsi" w:hAnsiTheme="minorHAnsi" w:cstheme="minorBidi"/>
          <w:szCs w:val="22"/>
          <w:lang w:eastAsia="en-US"/>
        </w:rPr>
        <w:t xml:space="preserve"> on 1 February 2014.</w:t>
      </w:r>
      <w:proofErr w:type="gramEnd"/>
    </w:p>
    <w:p w:rsidR="00AB5367" w:rsidRPr="00E30102" w:rsidRDefault="00AB5367" w:rsidP="007A1ED7">
      <w:pPr>
        <w:pStyle w:val="NormalWeb"/>
        <w:shd w:val="clear" w:color="auto" w:fill="FFFFFF"/>
      </w:pPr>
      <w:r w:rsidRPr="00E30102">
        <w:rPr>
          <w:rFonts w:asciiTheme="minorHAnsi" w:eastAsiaTheme="minorHAnsi" w:hAnsiTheme="minorHAnsi" w:cstheme="minorBidi"/>
          <w:szCs w:val="22"/>
          <w:lang w:eastAsia="en-US"/>
        </w:rPr>
        <w:t>The NGR Act also establishes a National Gambling Regulator (the Regulator) to administer the</w:t>
      </w:r>
      <w:r w:rsidR="00116A84" w:rsidRPr="00E30102">
        <w:rPr>
          <w:rFonts w:asciiTheme="minorHAnsi" w:eastAsiaTheme="minorHAnsi" w:hAnsiTheme="minorHAnsi" w:cstheme="minorBidi"/>
          <w:szCs w:val="22"/>
          <w:lang w:eastAsia="en-US"/>
        </w:rPr>
        <w:t xml:space="preserve"> </w:t>
      </w:r>
      <w:r w:rsidRPr="00E30102">
        <w:rPr>
          <w:rFonts w:asciiTheme="minorHAnsi" w:eastAsiaTheme="minorHAnsi" w:hAnsiTheme="minorHAnsi" w:cstheme="minorBidi"/>
          <w:szCs w:val="22"/>
          <w:lang w:eastAsia="en-US"/>
        </w:rPr>
        <w:t>Act</w:t>
      </w:r>
      <w:r w:rsidR="00CA6A4E" w:rsidRPr="00E30102">
        <w:rPr>
          <w:rFonts w:asciiTheme="minorHAnsi" w:eastAsiaTheme="minorHAnsi" w:hAnsiTheme="minorHAnsi" w:cstheme="minorBidi"/>
          <w:szCs w:val="22"/>
          <w:lang w:eastAsia="en-US"/>
        </w:rPr>
        <w:t>s</w:t>
      </w:r>
      <w:r w:rsidR="00DA24FA" w:rsidRPr="00E30102">
        <w:rPr>
          <w:rFonts w:asciiTheme="minorHAnsi" w:eastAsiaTheme="minorHAnsi" w:hAnsiTheme="minorHAnsi" w:cstheme="minorBidi"/>
          <w:szCs w:val="22"/>
          <w:lang w:eastAsia="en-US"/>
        </w:rPr>
        <w:t xml:space="preserve">. The Regulator </w:t>
      </w:r>
      <w:r w:rsidR="00C466A8" w:rsidRPr="00E30102">
        <w:rPr>
          <w:rFonts w:asciiTheme="minorHAnsi" w:eastAsiaTheme="minorHAnsi" w:hAnsiTheme="minorHAnsi" w:cstheme="minorBidi"/>
          <w:szCs w:val="22"/>
          <w:lang w:eastAsia="en-US"/>
        </w:rPr>
        <w:t>is responsible for monitoring</w:t>
      </w:r>
      <w:r w:rsidR="00D204ED" w:rsidRPr="00E30102">
        <w:rPr>
          <w:rFonts w:asciiTheme="minorHAnsi" w:eastAsiaTheme="minorHAnsi" w:hAnsiTheme="minorHAnsi" w:cstheme="minorBidi"/>
          <w:szCs w:val="22"/>
          <w:lang w:eastAsia="en-US"/>
        </w:rPr>
        <w:t>, investigating and enforcing</w:t>
      </w:r>
      <w:r w:rsidR="00C466A8" w:rsidRPr="00E30102">
        <w:rPr>
          <w:rFonts w:asciiTheme="minorHAnsi" w:eastAsiaTheme="minorHAnsi" w:hAnsiTheme="minorHAnsi" w:cstheme="minorBidi"/>
          <w:szCs w:val="22"/>
          <w:lang w:eastAsia="en-US"/>
        </w:rPr>
        <w:t xml:space="preserve"> compliance with the ATM withdrawal limit</w:t>
      </w:r>
      <w:r w:rsidR="005D75FF" w:rsidRPr="00E30102">
        <w:rPr>
          <w:rFonts w:asciiTheme="minorHAnsi" w:eastAsiaTheme="minorHAnsi" w:hAnsiTheme="minorHAnsi" w:cstheme="minorBidi"/>
          <w:szCs w:val="22"/>
          <w:lang w:eastAsia="en-US"/>
        </w:rPr>
        <w:t xml:space="preserve"> and other measures</w:t>
      </w:r>
      <w:r w:rsidR="00C466A8" w:rsidRPr="00E30102">
        <w:rPr>
          <w:rFonts w:asciiTheme="minorHAnsi" w:eastAsiaTheme="minorHAnsi" w:hAnsiTheme="minorHAnsi" w:cstheme="minorBidi"/>
          <w:szCs w:val="22"/>
          <w:lang w:eastAsia="en-US"/>
        </w:rPr>
        <w:t>.</w:t>
      </w:r>
    </w:p>
    <w:p w:rsidR="00C466A8" w:rsidRPr="007A1ED7" w:rsidRDefault="00C466A8" w:rsidP="007A1ED7">
      <w:pPr>
        <w:pStyle w:val="Heading3"/>
      </w:pPr>
      <w:r w:rsidRPr="007A1ED7">
        <w:t xml:space="preserve">Exemptions </w:t>
      </w:r>
      <w:r w:rsidR="00870DC8" w:rsidRPr="007A1ED7">
        <w:t>from</w:t>
      </w:r>
      <w:r w:rsidRPr="007A1ED7">
        <w:t xml:space="preserve"> the ATM withdrawal limit</w:t>
      </w:r>
    </w:p>
    <w:p w:rsidR="00CA6A4E" w:rsidRPr="00E30102" w:rsidRDefault="005D75FF" w:rsidP="007A1ED7">
      <w:pPr>
        <w:pStyle w:val="NormalWeb"/>
        <w:shd w:val="clear" w:color="auto" w:fill="FFFFFF"/>
      </w:pPr>
      <w:r w:rsidRPr="00E30102">
        <w:rPr>
          <w:rFonts w:asciiTheme="minorHAnsi" w:eastAsiaTheme="minorHAnsi" w:hAnsiTheme="minorHAnsi" w:cstheme="minorBidi"/>
          <w:szCs w:val="22"/>
          <w:lang w:eastAsia="en-US"/>
        </w:rPr>
        <w:t>Section 43</w:t>
      </w:r>
      <w:r w:rsidR="000D25E3" w:rsidRPr="00E30102">
        <w:rPr>
          <w:rFonts w:asciiTheme="minorHAnsi" w:eastAsiaTheme="minorHAnsi" w:hAnsiTheme="minorHAnsi" w:cstheme="minorBidi"/>
          <w:szCs w:val="22"/>
          <w:lang w:eastAsia="en-US"/>
        </w:rPr>
        <w:t xml:space="preserve"> of the NGR Act </w:t>
      </w:r>
      <w:r w:rsidR="001E0999" w:rsidRPr="00E30102">
        <w:rPr>
          <w:rFonts w:asciiTheme="minorHAnsi" w:eastAsiaTheme="minorHAnsi" w:hAnsiTheme="minorHAnsi" w:cstheme="minorBidi"/>
          <w:szCs w:val="22"/>
          <w:lang w:eastAsia="en-US"/>
        </w:rPr>
        <w:t>enables</w:t>
      </w:r>
      <w:r w:rsidR="000D25E3" w:rsidRPr="00E30102">
        <w:rPr>
          <w:rFonts w:asciiTheme="minorHAnsi" w:eastAsiaTheme="minorHAnsi" w:hAnsiTheme="minorHAnsi" w:cstheme="minorBidi"/>
          <w:szCs w:val="22"/>
          <w:lang w:eastAsia="en-US"/>
        </w:rPr>
        <w:t xml:space="preserve"> the Regulator to </w:t>
      </w:r>
      <w:r w:rsidR="00870DC8" w:rsidRPr="00E30102">
        <w:rPr>
          <w:rFonts w:asciiTheme="minorHAnsi" w:eastAsiaTheme="minorHAnsi" w:hAnsiTheme="minorHAnsi" w:cstheme="minorBidi"/>
          <w:szCs w:val="22"/>
          <w:lang w:eastAsia="en-US"/>
        </w:rPr>
        <w:t>exempt</w:t>
      </w:r>
      <w:r w:rsidR="001E0999" w:rsidRPr="00E30102">
        <w:rPr>
          <w:rFonts w:asciiTheme="minorHAnsi" w:eastAsiaTheme="minorHAnsi" w:hAnsiTheme="minorHAnsi" w:cstheme="minorBidi"/>
          <w:szCs w:val="22"/>
          <w:lang w:eastAsia="en-US"/>
        </w:rPr>
        <w:t xml:space="preserve"> a gaming venue </w:t>
      </w:r>
      <w:r w:rsidR="00870DC8" w:rsidRPr="00E30102">
        <w:rPr>
          <w:rFonts w:asciiTheme="minorHAnsi" w:eastAsiaTheme="minorHAnsi" w:hAnsiTheme="minorHAnsi" w:cstheme="minorBidi"/>
          <w:szCs w:val="22"/>
          <w:lang w:eastAsia="en-US"/>
        </w:rPr>
        <w:t>from</w:t>
      </w:r>
      <w:r w:rsidR="000D25E3" w:rsidRPr="00E30102">
        <w:rPr>
          <w:rFonts w:asciiTheme="minorHAnsi" w:eastAsiaTheme="minorHAnsi" w:hAnsiTheme="minorHAnsi" w:cstheme="minorBidi"/>
          <w:szCs w:val="22"/>
          <w:lang w:eastAsia="en-US"/>
        </w:rPr>
        <w:t xml:space="preserve"> </w:t>
      </w:r>
      <w:r w:rsidR="001E0999" w:rsidRPr="00E30102">
        <w:rPr>
          <w:rFonts w:asciiTheme="minorHAnsi" w:eastAsiaTheme="minorHAnsi" w:hAnsiTheme="minorHAnsi" w:cstheme="minorBidi"/>
          <w:szCs w:val="22"/>
          <w:lang w:eastAsia="en-US"/>
        </w:rPr>
        <w:t xml:space="preserve">the ATM withdrawal limit requirements where </w:t>
      </w:r>
      <w:r w:rsidR="00CA6A4E" w:rsidRPr="00E30102">
        <w:rPr>
          <w:rFonts w:asciiTheme="minorHAnsi" w:eastAsiaTheme="minorHAnsi" w:hAnsiTheme="minorHAnsi" w:cstheme="minorBidi"/>
          <w:szCs w:val="22"/>
          <w:lang w:eastAsia="en-US"/>
        </w:rPr>
        <w:t>the</w:t>
      </w:r>
      <w:r w:rsidR="001E0999" w:rsidRPr="00E30102">
        <w:rPr>
          <w:rFonts w:asciiTheme="minorHAnsi" w:eastAsiaTheme="minorHAnsi" w:hAnsiTheme="minorHAnsi" w:cstheme="minorBidi"/>
          <w:szCs w:val="22"/>
          <w:lang w:eastAsia="en-US"/>
        </w:rPr>
        <w:t xml:space="preserve"> requirement will cause unreasonable inconvenience to members of the community in which the venue is located. These guidelines set out the procedure for assessing applications for such an exemption. </w:t>
      </w:r>
    </w:p>
    <w:p w:rsidR="00AB5367" w:rsidRPr="0081612D" w:rsidRDefault="00AB5367" w:rsidP="0081612D">
      <w:pPr>
        <w:spacing w:after="180" w:line="360" w:lineRule="auto"/>
      </w:pPr>
      <w:r>
        <w:br w:type="page"/>
      </w:r>
    </w:p>
    <w:p w:rsidR="008329B8" w:rsidRPr="008F0DCE" w:rsidRDefault="008E6256" w:rsidP="007A1ED7">
      <w:pPr>
        <w:pStyle w:val="Heading2"/>
      </w:pPr>
      <w:r w:rsidRPr="008F0DCE">
        <w:lastRenderedPageBreak/>
        <w:t>Overview of the</w:t>
      </w:r>
      <w:r w:rsidR="008329B8" w:rsidRPr="008F0DCE">
        <w:t xml:space="preserve"> decision</w:t>
      </w:r>
      <w:r w:rsidRPr="008F0DCE">
        <w:t>-</w:t>
      </w:r>
      <w:r w:rsidR="008329B8" w:rsidRPr="008F0DCE">
        <w:t>making</w:t>
      </w:r>
      <w:r w:rsidRPr="008F0DCE">
        <w:t xml:space="preserve"> process</w:t>
      </w:r>
    </w:p>
    <w:p w:rsidR="007270E8" w:rsidRPr="005301E4" w:rsidRDefault="007270E8" w:rsidP="007270E8">
      <w:pPr>
        <w:pStyle w:val="Heading3"/>
      </w:pPr>
      <w:r w:rsidRPr="005301E4">
        <w:t>Ministerial Direction</w:t>
      </w:r>
    </w:p>
    <w:p w:rsidR="007270E8" w:rsidRDefault="007270E8" w:rsidP="007270E8">
      <w:pPr>
        <w:pStyle w:val="NormalWeb"/>
        <w:shd w:val="clear" w:color="auto" w:fill="FFFFFF"/>
        <w:rPr>
          <w:rFonts w:asciiTheme="minorHAnsi" w:eastAsiaTheme="minorHAnsi" w:hAnsiTheme="minorHAnsi" w:cstheme="minorBidi"/>
          <w:szCs w:val="22"/>
          <w:lang w:eastAsia="en-US"/>
        </w:rPr>
      </w:pPr>
      <w:r w:rsidRPr="005301E4">
        <w:rPr>
          <w:rFonts w:asciiTheme="minorHAnsi" w:eastAsiaTheme="minorHAnsi" w:hAnsiTheme="minorHAnsi" w:cstheme="minorBidi"/>
          <w:szCs w:val="22"/>
          <w:lang w:eastAsia="en-US"/>
        </w:rPr>
        <w:t>The Minister for Social Services has issued a Ministerial Direction (Direction) on the administration of the ATM measure, by legislative instrument, under</w:t>
      </w:r>
      <w:r>
        <w:rPr>
          <w:rFonts w:asciiTheme="minorHAnsi" w:eastAsiaTheme="minorHAnsi" w:hAnsiTheme="minorHAnsi" w:cstheme="minorBidi"/>
          <w:szCs w:val="22"/>
          <w:lang w:eastAsia="en-US"/>
        </w:rPr>
        <w:t xml:space="preserve"> </w:t>
      </w:r>
      <w:r w:rsidRPr="005301E4">
        <w:rPr>
          <w:rFonts w:asciiTheme="minorHAnsi" w:eastAsiaTheme="minorHAnsi" w:hAnsiTheme="minorHAnsi" w:cstheme="minorBidi"/>
          <w:szCs w:val="22"/>
          <w:lang w:eastAsia="en-US"/>
        </w:rPr>
        <w:t xml:space="preserve">subsection 110(1) of the National Gambling Reform Act 2012 (NGR Act). </w:t>
      </w:r>
    </w:p>
    <w:p w:rsidR="007270E8" w:rsidRPr="005301E4" w:rsidRDefault="007270E8" w:rsidP="007270E8">
      <w:pPr>
        <w:pStyle w:val="NormalWeb"/>
        <w:shd w:val="clear" w:color="auto" w:fill="FFFFFF"/>
        <w:rPr>
          <w:rFonts w:asciiTheme="minorHAnsi" w:eastAsiaTheme="minorHAnsi" w:hAnsiTheme="minorHAnsi" w:cstheme="minorBidi"/>
          <w:szCs w:val="22"/>
          <w:lang w:eastAsia="en-US"/>
        </w:rPr>
      </w:pPr>
      <w:r w:rsidRPr="005301E4">
        <w:rPr>
          <w:rFonts w:asciiTheme="minorHAnsi" w:eastAsiaTheme="minorHAnsi" w:hAnsiTheme="minorHAnsi" w:cstheme="minorBidi"/>
          <w:szCs w:val="22"/>
          <w:lang w:eastAsia="en-US"/>
        </w:rPr>
        <w:t>The Direction aims to give industry further certainty around the regulatory approach and priorities (including determining ATM exemption applications), and sets out processes for responding to potential non</w:t>
      </w:r>
      <w:r w:rsidRPr="005301E4">
        <w:rPr>
          <w:rFonts w:asciiTheme="minorHAnsi" w:eastAsiaTheme="minorHAnsi" w:hAnsiTheme="minorHAnsi" w:cstheme="minorBidi"/>
          <w:szCs w:val="22"/>
          <w:lang w:eastAsia="en-US"/>
        </w:rPr>
        <w:noBreakHyphen/>
        <w:t>comp</w:t>
      </w:r>
      <w:r w:rsidRPr="002F75FE">
        <w:rPr>
          <w:rFonts w:asciiTheme="minorHAnsi" w:eastAsiaTheme="minorHAnsi" w:hAnsiTheme="minorHAnsi" w:cstheme="minorBidi"/>
          <w:szCs w:val="22"/>
          <w:lang w:eastAsia="en-US"/>
        </w:rPr>
        <w:t xml:space="preserve">liance. </w:t>
      </w:r>
      <w:r w:rsidRPr="005301E4">
        <w:rPr>
          <w:rFonts w:asciiTheme="minorHAnsi" w:eastAsiaTheme="minorHAnsi" w:hAnsiTheme="minorHAnsi" w:cstheme="minorBidi"/>
          <w:szCs w:val="22"/>
          <w:lang w:eastAsia="en-US"/>
        </w:rPr>
        <w:t>This includes establishing mandatory requirements for responding to potential non-compliance through ‘cooperative engagement’, and a procedure to ensure genuine applications for exemption are settled before responding to potential non-compliance (whether on the part of the ATM provider or venue).</w:t>
      </w:r>
    </w:p>
    <w:p w:rsidR="007270E8" w:rsidRPr="005301E4" w:rsidRDefault="007270E8" w:rsidP="007270E8">
      <w:pPr>
        <w:pStyle w:val="NormalWeb"/>
        <w:shd w:val="clear" w:color="auto" w:fill="FFFFFF"/>
        <w:rPr>
          <w:rFonts w:asciiTheme="minorHAnsi" w:eastAsiaTheme="minorHAnsi" w:hAnsiTheme="minorHAnsi" w:cstheme="minorBidi"/>
          <w:szCs w:val="22"/>
          <w:lang w:eastAsia="en-US"/>
        </w:rPr>
      </w:pPr>
      <w:r w:rsidRPr="005301E4">
        <w:rPr>
          <w:rFonts w:asciiTheme="minorHAnsi" w:eastAsiaTheme="minorHAnsi" w:hAnsiTheme="minorHAnsi" w:cstheme="minorBidi"/>
          <w:szCs w:val="22"/>
          <w:lang w:eastAsia="en-US"/>
        </w:rPr>
        <w:t xml:space="preserve">The </w:t>
      </w:r>
      <w:hyperlink r:id="rId9" w:history="1">
        <w:r w:rsidRPr="005301E4">
          <w:rPr>
            <w:rFonts w:asciiTheme="minorHAnsi" w:eastAsiaTheme="minorHAnsi" w:hAnsiTheme="minorHAnsi" w:cstheme="minorBidi"/>
            <w:szCs w:val="22"/>
            <w:lang w:eastAsia="en-US"/>
          </w:rPr>
          <w:t>Ministerial Direction</w:t>
        </w:r>
      </w:hyperlink>
      <w:r w:rsidRPr="005301E4">
        <w:rPr>
          <w:rFonts w:asciiTheme="minorHAnsi" w:eastAsiaTheme="minorHAnsi" w:hAnsiTheme="minorHAnsi" w:cstheme="minorBidi"/>
          <w:szCs w:val="22"/>
          <w:lang w:eastAsia="en-US"/>
        </w:rPr>
        <w:t xml:space="preserve"> can be viewed on the </w:t>
      </w:r>
      <w:hyperlink r:id="rId10" w:history="1">
        <w:r w:rsidRPr="005301E4">
          <w:rPr>
            <w:rFonts w:asciiTheme="minorHAnsi" w:eastAsiaTheme="minorHAnsi" w:hAnsiTheme="minorHAnsi" w:cstheme="minorBidi"/>
            <w:szCs w:val="22"/>
            <w:lang w:eastAsia="en-US"/>
          </w:rPr>
          <w:t>ComLaw website</w:t>
        </w:r>
      </w:hyperlink>
      <w:r w:rsidR="003B3A10">
        <w:rPr>
          <w:rFonts w:asciiTheme="minorHAnsi" w:eastAsiaTheme="minorHAnsi" w:hAnsiTheme="minorHAnsi" w:cstheme="minorBidi"/>
          <w:szCs w:val="22"/>
          <w:lang w:eastAsia="en-US"/>
        </w:rPr>
        <w:t xml:space="preserve"> (www.comlaw.gov.au)</w:t>
      </w:r>
      <w:r w:rsidRPr="005301E4">
        <w:rPr>
          <w:rFonts w:asciiTheme="minorHAnsi" w:eastAsiaTheme="minorHAnsi" w:hAnsiTheme="minorHAnsi" w:cstheme="minorBidi"/>
          <w:szCs w:val="22"/>
          <w:lang w:eastAsia="en-US"/>
        </w:rPr>
        <w:t>.</w:t>
      </w:r>
    </w:p>
    <w:p w:rsidR="00A53DB1" w:rsidRPr="004B7B19" w:rsidRDefault="00D463BD" w:rsidP="004B7B19">
      <w:pPr>
        <w:pStyle w:val="Heading3"/>
      </w:pPr>
      <w:r w:rsidRPr="004B7B19">
        <w:t xml:space="preserve">Requirements under the </w:t>
      </w:r>
      <w:r w:rsidR="008E6256" w:rsidRPr="004B7B19">
        <w:t>National Gambling Reform Act 2012</w:t>
      </w:r>
    </w:p>
    <w:p w:rsidR="0000567B" w:rsidRDefault="0000567B" w:rsidP="00627DC4">
      <w:pPr>
        <w:spacing w:after="180"/>
      </w:pPr>
      <w:r>
        <w:t xml:space="preserve">Under </w:t>
      </w:r>
      <w:r w:rsidR="00D463BD">
        <w:t>section 39</w:t>
      </w:r>
      <w:r>
        <w:t xml:space="preserve"> of the </w:t>
      </w:r>
      <w:r w:rsidR="00A74390">
        <w:t>NGR Act</w:t>
      </w:r>
      <w:r>
        <w:rPr>
          <w:i/>
        </w:rPr>
        <w:t>,</w:t>
      </w:r>
      <w:r>
        <w:t xml:space="preserve"> </w:t>
      </w:r>
      <w:r w:rsidR="00D463BD">
        <w:t xml:space="preserve">an ATM that is on a </w:t>
      </w:r>
      <w:r>
        <w:t>gaming machine premises must not allow a person to withdraw more than the cash limit.</w:t>
      </w:r>
    </w:p>
    <w:p w:rsidR="0000567B" w:rsidRDefault="0000567B" w:rsidP="00627DC4">
      <w:pPr>
        <w:spacing w:after="180"/>
      </w:pPr>
      <w:r>
        <w:t>A person withdraws more than the cash limit from an ATM if, after the person withdraws cash from the ATM, the person has withdrawn, using any one card, more than $250 cash in total in a period of 24 hours from that or any other ATM that is on the premises.</w:t>
      </w:r>
    </w:p>
    <w:p w:rsidR="0000567B" w:rsidRDefault="00A74390" w:rsidP="00627DC4">
      <w:pPr>
        <w:spacing w:after="180"/>
      </w:pPr>
      <w:proofErr w:type="gramStart"/>
      <w:r>
        <w:t>S</w:t>
      </w:r>
      <w:r w:rsidR="007162BA">
        <w:t>ection</w:t>
      </w:r>
      <w:r w:rsidR="0000567B">
        <w:t xml:space="preserve"> </w:t>
      </w:r>
      <w:r w:rsidR="00C70889">
        <w:t>43</w:t>
      </w:r>
      <w:r w:rsidR="0000567B">
        <w:t xml:space="preserve"> </w:t>
      </w:r>
      <w:r>
        <w:t xml:space="preserve">of the NGR Act </w:t>
      </w:r>
      <w:r w:rsidR="0000567B">
        <w:t>sets out provisions relating</w:t>
      </w:r>
      <w:r w:rsidR="00F06A12">
        <w:t xml:space="preserve"> to making an application to the Regulator to be exempt from the operation</w:t>
      </w:r>
      <w:r w:rsidR="00870DC8">
        <w:t xml:space="preserve"> of</w:t>
      </w:r>
      <w:r w:rsidR="00F06A12">
        <w:t xml:space="preserve"> </w:t>
      </w:r>
      <w:r>
        <w:t>section 39</w:t>
      </w:r>
      <w:r w:rsidR="00F06A12">
        <w:t xml:space="preserve"> (that is, seeking an exemption from the ATM withdrawal limit).</w:t>
      </w:r>
      <w:proofErr w:type="gramEnd"/>
    </w:p>
    <w:p w:rsidR="00F06A12" w:rsidRDefault="00F06A12" w:rsidP="00627DC4">
      <w:pPr>
        <w:spacing w:after="180"/>
      </w:pPr>
      <w:r>
        <w:t>S</w:t>
      </w:r>
      <w:r w:rsidR="00A74390">
        <w:t>ubs</w:t>
      </w:r>
      <w:r>
        <w:t xml:space="preserve">ection 43(3) states </w:t>
      </w:r>
      <w:r w:rsidR="00A74390">
        <w:t xml:space="preserve">that </w:t>
      </w:r>
      <w:r>
        <w:t>the Regulator may exempt premises, in writing, from compliance if satisfied that ‘compliance with the Part will cause unreasonable inconvenience to members of the community where the premises are loca</w:t>
      </w:r>
      <w:r w:rsidR="00A74390">
        <w:t xml:space="preserve">ted’. Under subsection </w:t>
      </w:r>
      <w:r>
        <w:t>43(4), the Regulator may also specify conditions that must be satisfied in order for the exemption to apply.</w:t>
      </w:r>
    </w:p>
    <w:p w:rsidR="00F06A12" w:rsidRDefault="00F06A12" w:rsidP="003D0A64">
      <w:pPr>
        <w:spacing w:after="60"/>
      </w:pPr>
      <w:r>
        <w:t>The process for deciding exemptions is specified in s</w:t>
      </w:r>
      <w:r w:rsidR="00A74390">
        <w:t>ection</w:t>
      </w:r>
      <w:r>
        <w:t xml:space="preserve"> 44 as follows:</w:t>
      </w:r>
    </w:p>
    <w:p w:rsidR="00F06A12" w:rsidRDefault="00F06A12" w:rsidP="00C23E1D">
      <w:pPr>
        <w:pStyle w:val="ListParagraph"/>
        <w:numPr>
          <w:ilvl w:val="0"/>
          <w:numId w:val="1"/>
        </w:numPr>
        <w:spacing w:after="60"/>
      </w:pPr>
      <w:r>
        <w:t>In deciding</w:t>
      </w:r>
      <w:r w:rsidR="00D749CD">
        <w:t xml:space="preserve"> whether to grant an exemption under s</w:t>
      </w:r>
      <w:r w:rsidR="00A74390">
        <w:t>ection</w:t>
      </w:r>
      <w:r w:rsidR="00D749CD">
        <w:t xml:space="preserve"> 43, the Regulator must have regard to the following matters:</w:t>
      </w:r>
    </w:p>
    <w:p w:rsidR="00D749CD" w:rsidRDefault="00D749CD" w:rsidP="00C23E1D">
      <w:pPr>
        <w:pStyle w:val="ListParagraph"/>
        <w:numPr>
          <w:ilvl w:val="1"/>
          <w:numId w:val="1"/>
        </w:numPr>
        <w:spacing w:after="60"/>
        <w:ind w:left="1134"/>
      </w:pPr>
      <w:r>
        <w:t xml:space="preserve">the object of the </w:t>
      </w:r>
      <w:r w:rsidR="00A74390">
        <w:t xml:space="preserve">NGR </w:t>
      </w:r>
      <w:r>
        <w:t>Act</w:t>
      </w:r>
      <w:r w:rsidR="00C70889">
        <w:t xml:space="preserve"> (see below)</w:t>
      </w:r>
      <w:r w:rsidR="003B3A10">
        <w:t>;</w:t>
      </w:r>
    </w:p>
    <w:p w:rsidR="00D749CD" w:rsidRDefault="00D749CD" w:rsidP="00C23E1D">
      <w:pPr>
        <w:pStyle w:val="ListParagraph"/>
        <w:numPr>
          <w:ilvl w:val="1"/>
          <w:numId w:val="1"/>
        </w:numPr>
        <w:spacing w:after="60"/>
        <w:ind w:left="1134"/>
      </w:pPr>
      <w:r>
        <w:t>any other facilities (whether an ATM or otherwise) members of the community have for withdrawing cash</w:t>
      </w:r>
      <w:r w:rsidR="003B3A10">
        <w:t>; and</w:t>
      </w:r>
    </w:p>
    <w:p w:rsidR="00D749CD" w:rsidRDefault="00D749CD" w:rsidP="00D749CD">
      <w:pPr>
        <w:pStyle w:val="ListParagraph"/>
        <w:numPr>
          <w:ilvl w:val="1"/>
          <w:numId w:val="1"/>
        </w:numPr>
        <w:ind w:left="1134"/>
      </w:pPr>
      <w:proofErr w:type="gramStart"/>
      <w:r>
        <w:t>any</w:t>
      </w:r>
      <w:proofErr w:type="gramEnd"/>
      <w:r>
        <w:t xml:space="preserve"> other matters the Regulator considers appropriate.</w:t>
      </w:r>
    </w:p>
    <w:p w:rsidR="008E7B9D" w:rsidRDefault="00C70889" w:rsidP="00C0078E">
      <w:pPr>
        <w:spacing w:after="80"/>
      </w:pPr>
      <w:r>
        <w:t xml:space="preserve">Section 4 states the object of the </w:t>
      </w:r>
      <w:r w:rsidR="00BE5FB6">
        <w:t xml:space="preserve">NGR </w:t>
      </w:r>
      <w:r>
        <w:t xml:space="preserve">Act is to reduce the harm caused by gaming machines: </w:t>
      </w:r>
    </w:p>
    <w:p w:rsidR="008E7B9D" w:rsidRDefault="00C70889" w:rsidP="00B24B56">
      <w:pPr>
        <w:pStyle w:val="ListParagraph"/>
        <w:numPr>
          <w:ilvl w:val="0"/>
          <w:numId w:val="47"/>
        </w:numPr>
        <w:spacing w:after="80"/>
      </w:pPr>
      <w:r>
        <w:t xml:space="preserve">to problem gamblers, and those at </w:t>
      </w:r>
      <w:r w:rsidR="008E7B9D">
        <w:t>risk of experiencing that harm</w:t>
      </w:r>
      <w:r w:rsidR="00BA1E0F">
        <w:t>, and</w:t>
      </w:r>
    </w:p>
    <w:p w:rsidR="00C70889" w:rsidRPr="00C70889" w:rsidRDefault="00C70889" w:rsidP="00B24B56">
      <w:pPr>
        <w:pStyle w:val="ListParagraph"/>
        <w:numPr>
          <w:ilvl w:val="0"/>
          <w:numId w:val="47"/>
        </w:numPr>
      </w:pPr>
      <w:proofErr w:type="gramStart"/>
      <w:r>
        <w:t>to</w:t>
      </w:r>
      <w:proofErr w:type="gramEnd"/>
      <w:r>
        <w:t xml:space="preserve"> the families and communities of problem gamblers</w:t>
      </w:r>
      <w:r w:rsidR="008E7B9D">
        <w:t>,</w:t>
      </w:r>
      <w:r>
        <w:t xml:space="preserve"> and of those at risk of experiencing that harm.</w:t>
      </w:r>
    </w:p>
    <w:p w:rsidR="00F179E5" w:rsidRDefault="00F179E5" w:rsidP="00A53DB1"/>
    <w:p w:rsidR="00346925" w:rsidRDefault="00B4190B" w:rsidP="00A53DB1">
      <w:r>
        <w:lastRenderedPageBreak/>
        <w:t>In relation to withdrawal limits, s</w:t>
      </w:r>
      <w:r w:rsidR="00346925">
        <w:t xml:space="preserve">ubsection 4(2) </w:t>
      </w:r>
      <w:r>
        <w:t xml:space="preserve">of the NGR Act </w:t>
      </w:r>
      <w:r w:rsidR="00346925">
        <w:t xml:space="preserve">states </w:t>
      </w:r>
      <w:r>
        <w:t>that ‘this object is to be achieved by allowing users of gaming machines to limit that harm by limiting the amount of cash users of gaming machines can access from automatic teller machines on premises containing gaming machines (other than casinos)’.</w:t>
      </w:r>
    </w:p>
    <w:p w:rsidR="00F06A12" w:rsidRDefault="00D749CD" w:rsidP="00A53DB1">
      <w:r>
        <w:t>The Regulator has the option to consult with state or local government agencies, community groups, individuals or any other person or body (s</w:t>
      </w:r>
      <w:r w:rsidR="00FC3671">
        <w:t>ubsection</w:t>
      </w:r>
      <w:r>
        <w:t xml:space="preserve"> 44(2)).</w:t>
      </w:r>
    </w:p>
    <w:p w:rsidR="00C70889" w:rsidRPr="005D75FF" w:rsidRDefault="002C48B3" w:rsidP="005D75FF">
      <w:pPr>
        <w:pStyle w:val="Heading3"/>
      </w:pPr>
      <w:r w:rsidRPr="005D75FF">
        <w:t xml:space="preserve">Working with </w:t>
      </w:r>
      <w:r w:rsidR="00C70889" w:rsidRPr="005D75FF">
        <w:t>applicants</w:t>
      </w:r>
    </w:p>
    <w:p w:rsidR="00A53DB1" w:rsidRDefault="00FC3671" w:rsidP="00627DC4">
      <w:pPr>
        <w:spacing w:after="180"/>
      </w:pPr>
      <w:r>
        <w:t xml:space="preserve">In assessing all applications, the </w:t>
      </w:r>
      <w:r w:rsidR="00870DC8">
        <w:t>decision maker</w:t>
      </w:r>
      <w:r>
        <w:t xml:space="preserve"> </w:t>
      </w:r>
      <w:r w:rsidR="003D2755">
        <w:t xml:space="preserve">(the Regulator or a delegate of the Regulator) </w:t>
      </w:r>
      <w:r>
        <w:t xml:space="preserve">should </w:t>
      </w:r>
      <w:r w:rsidR="00A53DB1">
        <w:t>avoid a technical or legalistic approach</w:t>
      </w:r>
      <w:r w:rsidR="00C70889">
        <w:t xml:space="preserve">. </w:t>
      </w:r>
      <w:r>
        <w:t>Approaches to assessment should b</w:t>
      </w:r>
      <w:r w:rsidR="008E7B9D">
        <w:t xml:space="preserve">e flexible, </w:t>
      </w:r>
      <w:r w:rsidR="00BD5C0D">
        <w:t>and as much as possible should take</w:t>
      </w:r>
      <w:r w:rsidR="008E7B9D">
        <w:t xml:space="preserve"> into consideration the applicant’s circumstances</w:t>
      </w:r>
      <w:r>
        <w:t xml:space="preserve"> and all of the information that has been made available to </w:t>
      </w:r>
      <w:r w:rsidR="003D2755">
        <w:t xml:space="preserve">assist </w:t>
      </w:r>
      <w:r>
        <w:t xml:space="preserve">the </w:t>
      </w:r>
      <w:r w:rsidR="00D7401A">
        <w:t>decision maker</w:t>
      </w:r>
      <w:r w:rsidR="008E7B9D">
        <w:t>.</w:t>
      </w:r>
    </w:p>
    <w:p w:rsidR="00590B32" w:rsidRDefault="00D930B0" w:rsidP="00A53DB1">
      <w:r>
        <w:t xml:space="preserve">If it </w:t>
      </w:r>
      <w:r w:rsidR="00FC3671">
        <w:t>may help</w:t>
      </w:r>
      <w:r w:rsidR="007162BA">
        <w:t xml:space="preserve"> to</w:t>
      </w:r>
      <w:r w:rsidR="003906B0">
        <w:t xml:space="preserve"> make a decision on</w:t>
      </w:r>
      <w:r>
        <w:t xml:space="preserve"> the application, consult </w:t>
      </w:r>
      <w:r w:rsidR="007162BA">
        <w:t xml:space="preserve">the </w:t>
      </w:r>
      <w:r>
        <w:t xml:space="preserve">applicant </w:t>
      </w:r>
      <w:r w:rsidR="007162BA">
        <w:t>to clarify the</w:t>
      </w:r>
      <w:r>
        <w:t xml:space="preserve"> information supplied or seek further evidence in support of their </w:t>
      </w:r>
      <w:r w:rsidR="00FB4BE6">
        <w:t>circumstances or claims</w:t>
      </w:r>
      <w:r>
        <w:t>.</w:t>
      </w:r>
      <w:r w:rsidR="002C074F">
        <w:t xml:space="preserve"> There is an expectation that applicants will respond to such requests within a reasonable timeframe.</w:t>
      </w:r>
    </w:p>
    <w:p w:rsidR="00FC3671" w:rsidRDefault="00FC3671" w:rsidP="00FC3671">
      <w:pPr>
        <w:pStyle w:val="Heading3"/>
      </w:pPr>
      <w:r>
        <w:t>Consultation</w:t>
      </w:r>
    </w:p>
    <w:p w:rsidR="00E86F1B" w:rsidRDefault="00C70889" w:rsidP="00C70889">
      <w:r>
        <w:t xml:space="preserve">Consider whether </w:t>
      </w:r>
      <w:r w:rsidR="00CC7F75">
        <w:t xml:space="preserve">there is a need for </w:t>
      </w:r>
      <w:r>
        <w:t>consult</w:t>
      </w:r>
      <w:r w:rsidR="00CC7F75">
        <w:t>ation</w:t>
      </w:r>
      <w:r>
        <w:t xml:space="preserve"> with anyone in the community</w:t>
      </w:r>
      <w:r w:rsidR="00E86F1B">
        <w:t>, or from a local or State government agency,</w:t>
      </w:r>
      <w:r>
        <w:t xml:space="preserve"> regarding the requested exemption. </w:t>
      </w:r>
      <w:r w:rsidR="00E86F1B">
        <w:t>For example, i</w:t>
      </w:r>
      <w:r>
        <w:t>s the applicant claiming certain groups will be a</w:t>
      </w:r>
      <w:r w:rsidR="003906B0">
        <w:t xml:space="preserve">ffected? Should </w:t>
      </w:r>
      <w:r w:rsidR="00CC7F75">
        <w:t xml:space="preserve">the stated impact be </w:t>
      </w:r>
      <w:r w:rsidR="003906B0">
        <w:t>confirm</w:t>
      </w:r>
      <w:r w:rsidR="00CC7F75">
        <w:t>ed</w:t>
      </w:r>
      <w:r w:rsidR="003906B0">
        <w:t xml:space="preserve"> </w:t>
      </w:r>
      <w:r>
        <w:t>with th</w:t>
      </w:r>
      <w:r w:rsidR="00CC7F75">
        <w:t>e relevant</w:t>
      </w:r>
      <w:r>
        <w:t xml:space="preserve"> groups? Has any evidence in support of</w:t>
      </w:r>
      <w:r w:rsidR="007162BA">
        <w:t xml:space="preserve"> that </w:t>
      </w:r>
      <w:r w:rsidR="00CC7F75">
        <w:t>claim</w:t>
      </w:r>
      <w:r w:rsidR="007162BA">
        <w:t xml:space="preserve"> been provided?</w:t>
      </w:r>
      <w:r w:rsidR="00627DC4">
        <w:t xml:space="preserve"> </w:t>
      </w:r>
    </w:p>
    <w:p w:rsidR="00C70889" w:rsidRDefault="00E86F1B" w:rsidP="00C70889">
      <w:r>
        <w:t>In line with subsection 44(2) of the NGR Act, a decision to consult rests with the Regulator, or a delegate of the Regulator for the purposes of deciding exemptions</w:t>
      </w:r>
      <w:r w:rsidR="007270E8">
        <w:t xml:space="preserve"> (this agreement to consult must be provided before consultation commences)</w:t>
      </w:r>
      <w:r>
        <w:t>.</w:t>
      </w:r>
    </w:p>
    <w:p w:rsidR="00F27FD4" w:rsidRDefault="00F27FD4" w:rsidP="00C70889">
      <w:r>
        <w:t xml:space="preserve">Where </w:t>
      </w:r>
      <w:r w:rsidRPr="00F27FD4">
        <w:t xml:space="preserve">adverse information is going to be taken into account, the applicant should be given the opportunity to make a submission </w:t>
      </w:r>
      <w:r w:rsidR="004D5F58">
        <w:t xml:space="preserve">addressing that information </w:t>
      </w:r>
      <w:r w:rsidRPr="00F27FD4">
        <w:t>before the decision is made.</w:t>
      </w:r>
    </w:p>
    <w:p w:rsidR="00FC3671" w:rsidRDefault="00FC3671" w:rsidP="00FC3671">
      <w:pPr>
        <w:pStyle w:val="Heading3"/>
      </w:pPr>
      <w:r>
        <w:t>Decision making</w:t>
      </w:r>
    </w:p>
    <w:p w:rsidR="007735F8" w:rsidRDefault="007735F8" w:rsidP="007735F8">
      <w:r>
        <w:t xml:space="preserve">The final decision and </w:t>
      </w:r>
      <w:r w:rsidR="00C77DCD">
        <w:t>reasons for</w:t>
      </w:r>
      <w:r>
        <w:t xml:space="preserve"> the decision must be clearly communicated to the applicant</w:t>
      </w:r>
      <w:r w:rsidR="00CC7F75">
        <w:t xml:space="preserve">. </w:t>
      </w:r>
      <w:r>
        <w:t xml:space="preserve">Decisions must be </w:t>
      </w:r>
      <w:r w:rsidRPr="00627DC4">
        <w:rPr>
          <w:b/>
          <w:color w:val="595959" w:themeColor="text1" w:themeTint="A6"/>
        </w:rPr>
        <w:t>reasonable</w:t>
      </w:r>
      <w:r w:rsidR="00CC7F75">
        <w:t>.</w:t>
      </w:r>
      <w:r>
        <w:t xml:space="preserve"> </w:t>
      </w:r>
      <w:r w:rsidR="004D5F58">
        <w:t>A</w:t>
      </w:r>
      <w:r>
        <w:t xml:space="preserve">ny conditions </w:t>
      </w:r>
      <w:r w:rsidR="00CC7F75">
        <w:t xml:space="preserve">to </w:t>
      </w:r>
      <w:r>
        <w:t xml:space="preserve">be imposed </w:t>
      </w:r>
      <w:r w:rsidR="004D5F58">
        <w:t>must be</w:t>
      </w:r>
      <w:r>
        <w:t xml:space="preserve"> reasonable and practical.</w:t>
      </w:r>
    </w:p>
    <w:p w:rsidR="007735F8" w:rsidRDefault="007735F8" w:rsidP="007735F8">
      <w:r>
        <w:t>List the factors that were considered in reaching a decision, the evidence provided and details of any consultation undertak</w:t>
      </w:r>
      <w:r w:rsidR="00CC7F75">
        <w:t>en</w:t>
      </w:r>
      <w:r>
        <w:t>. Also note any information or evidence not considered</w:t>
      </w:r>
      <w:r w:rsidR="009D3F0C">
        <w:t xml:space="preserve"> relevant</w:t>
      </w:r>
      <w:r>
        <w:t xml:space="preserve">, and the reasons why. </w:t>
      </w:r>
    </w:p>
    <w:p w:rsidR="00A53DB1" w:rsidRPr="008E63D6" w:rsidRDefault="002C48B3" w:rsidP="00961AF3">
      <w:pPr>
        <w:pStyle w:val="Heading3"/>
      </w:pPr>
      <w:r w:rsidRPr="008E63D6">
        <w:t>T</w:t>
      </w:r>
      <w:r w:rsidR="00A53DB1" w:rsidRPr="008E63D6">
        <w:t>imeframes</w:t>
      </w:r>
    </w:p>
    <w:p w:rsidR="00C70889" w:rsidRPr="008E63D6" w:rsidRDefault="00C70889" w:rsidP="00627DC4">
      <w:pPr>
        <w:spacing w:after="60"/>
      </w:pPr>
      <w:r w:rsidRPr="008E63D6">
        <w:t xml:space="preserve">All applications </w:t>
      </w:r>
      <w:r w:rsidR="009D3F0C" w:rsidRPr="008E63D6">
        <w:t>should</w:t>
      </w:r>
      <w:r w:rsidRPr="008E63D6">
        <w:t xml:space="preserve"> </w:t>
      </w:r>
      <w:r w:rsidR="00DE27FC" w:rsidRPr="008E63D6">
        <w:t xml:space="preserve">be dealt with in </w:t>
      </w:r>
      <w:r w:rsidR="007162BA" w:rsidRPr="008E63D6">
        <w:t>a</w:t>
      </w:r>
      <w:r w:rsidR="003D2755" w:rsidRPr="0081612D">
        <w:t xml:space="preserve"> reasonable timeframe. This will include</w:t>
      </w:r>
      <w:r w:rsidR="00DE27FC" w:rsidRPr="008E63D6">
        <w:t>:</w:t>
      </w:r>
    </w:p>
    <w:p w:rsidR="00C70889" w:rsidRPr="008E63D6" w:rsidRDefault="00C70889" w:rsidP="0081612D">
      <w:pPr>
        <w:pStyle w:val="ListParagraph"/>
        <w:numPr>
          <w:ilvl w:val="0"/>
          <w:numId w:val="25"/>
        </w:numPr>
        <w:spacing w:before="120" w:after="60"/>
        <w:ind w:left="714" w:hanging="357"/>
      </w:pPr>
      <w:r w:rsidRPr="008E63D6">
        <w:rPr>
          <w:b/>
          <w:color w:val="595959" w:themeColor="text1" w:themeTint="A6"/>
        </w:rPr>
        <w:t>acknowledg</w:t>
      </w:r>
      <w:r w:rsidR="00B96D32" w:rsidRPr="008E63D6">
        <w:rPr>
          <w:b/>
          <w:color w:val="595959" w:themeColor="text1" w:themeTint="A6"/>
        </w:rPr>
        <w:t>ement of</w:t>
      </w:r>
      <w:r w:rsidRPr="008E63D6">
        <w:rPr>
          <w:b/>
          <w:color w:val="595959" w:themeColor="text1" w:themeTint="A6"/>
        </w:rPr>
        <w:t xml:space="preserve"> receipt</w:t>
      </w:r>
      <w:r w:rsidRPr="008E63D6">
        <w:rPr>
          <w:color w:val="595959" w:themeColor="text1" w:themeTint="A6"/>
        </w:rPr>
        <w:t xml:space="preserve"> </w:t>
      </w:r>
      <w:r w:rsidRPr="008E63D6">
        <w:t>of a</w:t>
      </w:r>
      <w:r w:rsidR="00B96D32" w:rsidRPr="008E63D6">
        <w:t>n</w:t>
      </w:r>
      <w:r w:rsidR="000343BA" w:rsidRPr="008E63D6">
        <w:t xml:space="preserve"> </w:t>
      </w:r>
      <w:r w:rsidRPr="008E63D6">
        <w:t>application</w:t>
      </w:r>
      <w:r w:rsidR="00476806" w:rsidRPr="0081612D">
        <w:t>; and</w:t>
      </w:r>
    </w:p>
    <w:p w:rsidR="003D2755" w:rsidRPr="008E63D6" w:rsidRDefault="003D2755" w:rsidP="0081612D">
      <w:pPr>
        <w:pStyle w:val="ListParagraph"/>
        <w:numPr>
          <w:ilvl w:val="0"/>
          <w:numId w:val="25"/>
        </w:numPr>
      </w:pPr>
      <w:proofErr w:type="gramStart"/>
      <w:r w:rsidRPr="0081612D">
        <w:rPr>
          <w:b/>
          <w:color w:val="595959" w:themeColor="text1" w:themeTint="A6"/>
        </w:rPr>
        <w:t>notification</w:t>
      </w:r>
      <w:proofErr w:type="gramEnd"/>
      <w:r w:rsidRPr="0081612D">
        <w:rPr>
          <w:b/>
          <w:color w:val="595959" w:themeColor="text1" w:themeTint="A6"/>
        </w:rPr>
        <w:t xml:space="preserve"> of the decision</w:t>
      </w:r>
      <w:r w:rsidRPr="0081612D">
        <w:t xml:space="preserve"> on the application </w:t>
      </w:r>
      <w:r w:rsidR="00031FE9" w:rsidRPr="008E63D6">
        <w:t xml:space="preserve">(noting that particularly complex applications or applications for which further information is sought may </w:t>
      </w:r>
      <w:r w:rsidR="001B48D6" w:rsidRPr="008E63D6">
        <w:t>require additional time</w:t>
      </w:r>
      <w:r w:rsidR="00031FE9" w:rsidRPr="008E63D6">
        <w:t>)</w:t>
      </w:r>
      <w:r w:rsidR="00C70889" w:rsidRPr="008E63D6">
        <w:t>.</w:t>
      </w:r>
    </w:p>
    <w:p w:rsidR="00DE27FC" w:rsidRPr="008E63D6" w:rsidRDefault="007735F8">
      <w:r w:rsidRPr="008E63D6">
        <w:lastRenderedPageBreak/>
        <w:t xml:space="preserve">Applicants seeking </w:t>
      </w:r>
      <w:r w:rsidR="00893370" w:rsidRPr="008E63D6">
        <w:t>internal</w:t>
      </w:r>
      <w:r w:rsidRPr="008E63D6">
        <w:t xml:space="preserve"> review of </w:t>
      </w:r>
      <w:r w:rsidR="00893370" w:rsidRPr="008E63D6">
        <w:t>a</w:t>
      </w:r>
      <w:r w:rsidRPr="008E63D6">
        <w:t xml:space="preserve"> decision must apply for that review</w:t>
      </w:r>
      <w:r w:rsidR="00DE27FC" w:rsidRPr="008E63D6">
        <w:t xml:space="preserve"> within </w:t>
      </w:r>
      <w:r w:rsidR="00DE27FC" w:rsidRPr="0081612D">
        <w:rPr>
          <w:b/>
        </w:rPr>
        <w:t>30</w:t>
      </w:r>
      <w:r w:rsidR="003D2755" w:rsidRPr="0081612D">
        <w:rPr>
          <w:b/>
        </w:rPr>
        <w:t> </w:t>
      </w:r>
      <w:r w:rsidR="00DE27FC" w:rsidRPr="0081612D">
        <w:rPr>
          <w:b/>
        </w:rPr>
        <w:t>(calendar) days</w:t>
      </w:r>
      <w:r w:rsidR="00DE27FC" w:rsidRPr="008E63D6">
        <w:t xml:space="preserve"> after the day on which the decision first came to the applicant’s notice</w:t>
      </w:r>
      <w:r w:rsidR="0093461F" w:rsidRPr="008E63D6">
        <w:t>, in line with subsection 198(4)</w:t>
      </w:r>
      <w:r w:rsidR="00DE27FC" w:rsidRPr="008E63D6">
        <w:t>.</w:t>
      </w:r>
    </w:p>
    <w:p w:rsidR="00DE27FC" w:rsidRPr="008E63D6" w:rsidRDefault="00DE27FC" w:rsidP="0081612D">
      <w:r w:rsidRPr="008E63D6">
        <w:t xml:space="preserve">The review applicant then has </w:t>
      </w:r>
      <w:r w:rsidRPr="0081612D">
        <w:rPr>
          <w:b/>
        </w:rPr>
        <w:t>28 (calendar) days</w:t>
      </w:r>
      <w:r w:rsidRPr="008E63D6">
        <w:t xml:space="preserve"> in which to </w:t>
      </w:r>
      <w:r w:rsidR="00893370" w:rsidRPr="008E63D6">
        <w:t>apply</w:t>
      </w:r>
      <w:r w:rsidRPr="008E63D6">
        <w:t xml:space="preserve"> to the Administrative Appeals Tribunal</w:t>
      </w:r>
      <w:r w:rsidR="00893370" w:rsidRPr="008E63D6">
        <w:t xml:space="preserve"> </w:t>
      </w:r>
      <w:r w:rsidR="001609A0" w:rsidRPr="008E63D6">
        <w:t xml:space="preserve">(AAT) </w:t>
      </w:r>
      <w:r w:rsidR="00893370" w:rsidRPr="008E63D6">
        <w:t>for review of an internal review decision made by the Regulator</w:t>
      </w:r>
      <w:r w:rsidRPr="008E63D6">
        <w:t>.</w:t>
      </w:r>
    </w:p>
    <w:p w:rsidR="00F60890" w:rsidRPr="008A6B82" w:rsidRDefault="001609A0" w:rsidP="004B7B19">
      <w:pPr>
        <w:pStyle w:val="Heading3"/>
      </w:pPr>
      <w:bookmarkStart w:id="0" w:name="_Ref372290762"/>
      <w:r>
        <w:t>Internal and AAT r</w:t>
      </w:r>
      <w:r w:rsidR="00F60890" w:rsidRPr="008A6B82">
        <w:t>eview</w:t>
      </w:r>
      <w:r w:rsidR="00780A45" w:rsidRPr="008A6B82">
        <w:t>s of decisions</w:t>
      </w:r>
      <w:r w:rsidR="00F60890" w:rsidRPr="008A6B82">
        <w:t xml:space="preserve"> </w:t>
      </w:r>
      <w:bookmarkEnd w:id="0"/>
    </w:p>
    <w:p w:rsidR="00961AF3" w:rsidRDefault="00961AF3" w:rsidP="00961AF3">
      <w:pPr>
        <w:spacing w:after="120"/>
      </w:pPr>
      <w:r>
        <w:t>Broadly, a decision on granting or refusing an exemption (including a</w:t>
      </w:r>
      <w:r w:rsidR="00A15539">
        <w:t>n</w:t>
      </w:r>
      <w:r>
        <w:t xml:space="preserve">y conditions specified) is a reviewable decision. A definition of reviewable decisions is in section 5 of the NGR Act. </w:t>
      </w:r>
    </w:p>
    <w:p w:rsidR="00A15539" w:rsidRDefault="00961AF3" w:rsidP="007F6960">
      <w:pPr>
        <w:spacing w:after="120"/>
      </w:pPr>
      <w:r>
        <w:t xml:space="preserve">Under subsection 198(1), when notifying an applicant of a decision, the applicant must be made aware of their right to have the decision reviewed internally or by the AAT. </w:t>
      </w:r>
    </w:p>
    <w:p w:rsidR="00C03BF2" w:rsidRDefault="00C03BF2" w:rsidP="007F6960">
      <w:pPr>
        <w:spacing w:after="120"/>
      </w:pPr>
      <w:r>
        <w:t xml:space="preserve">The </w:t>
      </w:r>
      <w:r w:rsidR="005D71B3">
        <w:t>following information should be reflected</w:t>
      </w:r>
      <w:r>
        <w:t xml:space="preserve"> </w:t>
      </w:r>
      <w:r w:rsidR="005D71B3">
        <w:t>in</w:t>
      </w:r>
      <w:r>
        <w:t xml:space="preserve"> </w:t>
      </w:r>
      <w:r w:rsidRPr="00627DC4">
        <w:rPr>
          <w:b/>
          <w:color w:val="404040" w:themeColor="text1" w:themeTint="BF"/>
        </w:rPr>
        <w:t>every</w:t>
      </w:r>
      <w:r w:rsidRPr="00627DC4">
        <w:rPr>
          <w:color w:val="404040" w:themeColor="text1" w:themeTint="BF"/>
        </w:rPr>
        <w:t xml:space="preserve"> </w:t>
      </w:r>
      <w:r w:rsidR="00E14B1A" w:rsidRPr="00E14B1A">
        <w:rPr>
          <w:b/>
          <w:color w:val="404040" w:themeColor="text1" w:themeTint="BF"/>
        </w:rPr>
        <w:t>reviewable</w:t>
      </w:r>
      <w:r w:rsidR="00E14B1A">
        <w:rPr>
          <w:color w:val="404040" w:themeColor="text1" w:themeTint="BF"/>
        </w:rPr>
        <w:t xml:space="preserve"> </w:t>
      </w:r>
      <w:r w:rsidRPr="00627DC4">
        <w:rPr>
          <w:b/>
          <w:color w:val="404040" w:themeColor="text1" w:themeTint="BF"/>
        </w:rPr>
        <w:t>decision</w:t>
      </w:r>
      <w:r w:rsidR="000475E7">
        <w:rPr>
          <w:b/>
          <w:color w:val="404040" w:themeColor="text1" w:themeTint="BF"/>
        </w:rPr>
        <w:t xml:space="preserve"> and internal review decision</w:t>
      </w:r>
      <w:r w:rsidR="005D71B3">
        <w:rPr>
          <w:color w:val="404040" w:themeColor="text1" w:themeTint="BF"/>
        </w:rPr>
        <w:t xml:space="preserve">, </w:t>
      </w:r>
      <w:r w:rsidR="005D71B3" w:rsidRPr="007A1ED7">
        <w:t>as applicable</w:t>
      </w:r>
      <w:r>
        <w:t>.</w:t>
      </w:r>
    </w:p>
    <w:p w:rsidR="00023846" w:rsidRPr="008A6B82" w:rsidRDefault="005D71B3" w:rsidP="008A6B82">
      <w:pPr>
        <w:ind w:firstLine="567"/>
        <w:rPr>
          <w:b/>
          <w:i/>
          <w:sz w:val="26"/>
          <w:szCs w:val="26"/>
        </w:rPr>
      </w:pPr>
      <w:r>
        <w:rPr>
          <w:b/>
          <w:i/>
          <w:sz w:val="26"/>
          <w:szCs w:val="26"/>
        </w:rPr>
        <w:t>Internal review</w:t>
      </w:r>
    </w:p>
    <w:p w:rsidR="00023846" w:rsidRDefault="00023846" w:rsidP="00023846">
      <w:pPr>
        <w:pStyle w:val="Reviewtext"/>
        <w:ind w:left="567"/>
      </w:pPr>
      <w:r>
        <w:t xml:space="preserve">Under subsection 198(3) of the </w:t>
      </w:r>
      <w:r w:rsidRPr="007F38EB">
        <w:rPr>
          <w:i/>
        </w:rPr>
        <w:t>National Gambling Reform Act 2012</w:t>
      </w:r>
      <w:r>
        <w:t xml:space="preserve">, a person whose interests are affected by a reviewable decision </w:t>
      </w:r>
      <w:r w:rsidR="009152F7">
        <w:t xml:space="preserve">made by a person (other than the Regulator personally) </w:t>
      </w:r>
      <w:r>
        <w:t xml:space="preserve">may apply in writing to the Regulator for </w:t>
      </w:r>
      <w:r w:rsidR="009152F7">
        <w:t>internal</w:t>
      </w:r>
      <w:r>
        <w:t xml:space="preserve"> review of the decision.</w:t>
      </w:r>
    </w:p>
    <w:p w:rsidR="00023846" w:rsidRPr="007F6960" w:rsidRDefault="00023846" w:rsidP="00023846">
      <w:pPr>
        <w:pStyle w:val="Reviewtext"/>
        <w:ind w:left="567"/>
      </w:pPr>
      <w:r>
        <w:t xml:space="preserve">An application for </w:t>
      </w:r>
      <w:r w:rsidR="009152F7">
        <w:t xml:space="preserve">internal </w:t>
      </w:r>
      <w:r>
        <w:t>review must be made within 30 days after the day on which the decision first came to the notice of the applicant.</w:t>
      </w:r>
    </w:p>
    <w:p w:rsidR="00023846" w:rsidRPr="008A6B82" w:rsidRDefault="00023846" w:rsidP="008A6B82">
      <w:pPr>
        <w:ind w:firstLine="567"/>
        <w:rPr>
          <w:b/>
          <w:i/>
          <w:sz w:val="26"/>
          <w:szCs w:val="26"/>
        </w:rPr>
      </w:pPr>
      <w:r w:rsidRPr="008A6B82">
        <w:rPr>
          <w:b/>
          <w:i/>
          <w:sz w:val="26"/>
          <w:szCs w:val="26"/>
        </w:rPr>
        <w:t>Administrative Appeals Tribunal</w:t>
      </w:r>
      <w:r w:rsidR="005D71B3">
        <w:rPr>
          <w:b/>
          <w:i/>
          <w:sz w:val="26"/>
          <w:szCs w:val="26"/>
        </w:rPr>
        <w:t xml:space="preserve"> review</w:t>
      </w:r>
    </w:p>
    <w:p w:rsidR="00023846" w:rsidRDefault="00023846" w:rsidP="00023846">
      <w:pPr>
        <w:pStyle w:val="Reviewtext"/>
        <w:ind w:left="567"/>
      </w:pPr>
      <w:r>
        <w:t>If an applicant is not satisfied with a</w:t>
      </w:r>
      <w:r w:rsidR="000475E7">
        <w:t>n internal review decision or a</w:t>
      </w:r>
      <w:r>
        <w:t xml:space="preserve"> decision made by the National Gambling Regulator</w:t>
      </w:r>
      <w:r w:rsidR="000475E7">
        <w:t xml:space="preserve"> personally</w:t>
      </w:r>
      <w:r>
        <w:t xml:space="preserve">, they may apply under subsection 199(3) of the </w:t>
      </w:r>
      <w:r w:rsidRPr="007F38EB">
        <w:rPr>
          <w:i/>
        </w:rPr>
        <w:t>National Gambling Reform Act 2012</w:t>
      </w:r>
      <w:r>
        <w:t xml:space="preserve"> to have the decision reviewed by the Administrative Appeals Tribunal (AAT). The AAT provides independent merits review of administrative decisions and has the power to set aside, vary, or affirm a</w:t>
      </w:r>
      <w:r w:rsidR="009152F7">
        <w:t>n internal</w:t>
      </w:r>
      <w:r>
        <w:t xml:space="preserve"> review decision made by the Regulator under subsection 198(6) or by the Regulator personally. </w:t>
      </w:r>
    </w:p>
    <w:p w:rsidR="00023846" w:rsidRDefault="00023846" w:rsidP="00023846">
      <w:pPr>
        <w:pStyle w:val="Reviewtext"/>
        <w:ind w:left="567"/>
      </w:pPr>
      <w:r>
        <w:t>An application to the AAT must be made within 28 days of the day on which the applicant is given the review decision (</w:t>
      </w:r>
      <w:proofErr w:type="spellStart"/>
      <w:r>
        <w:t>ss</w:t>
      </w:r>
      <w:proofErr w:type="spellEnd"/>
      <w:r>
        <w:t xml:space="preserve"> 29(2) of the </w:t>
      </w:r>
      <w:r>
        <w:rPr>
          <w:i/>
          <w:iCs/>
        </w:rPr>
        <w:t>Administrative Appeals Tribunal Act 1975</w:t>
      </w:r>
      <w:r>
        <w:t>). An application fee may be payable when lodging an application for review to the AAT. The fee may be reduced or may not apply in certain circumstances. Further information is available on the AAT’s website (</w:t>
      </w:r>
      <w:hyperlink r:id="rId11" w:tooltip="Link to A.A.T website. " w:history="1">
        <w:r w:rsidRPr="007F38EB">
          <w:rPr>
            <w:rStyle w:val="Hyperlink"/>
          </w:rPr>
          <w:t>www.aat.gov.au</w:t>
        </w:r>
      </w:hyperlink>
      <w:r>
        <w:t>) or by telephoning 1300 366 700.</w:t>
      </w:r>
    </w:p>
    <w:p w:rsidR="00023846" w:rsidRPr="004B7B19" w:rsidRDefault="00780A45" w:rsidP="004B7B19">
      <w:pPr>
        <w:pStyle w:val="Heading3"/>
      </w:pPr>
      <w:r w:rsidRPr="004B7B19">
        <w:t>Complaints</w:t>
      </w:r>
    </w:p>
    <w:p w:rsidR="008A6B82" w:rsidRPr="00947574" w:rsidRDefault="0031624D" w:rsidP="007A1ED7">
      <w:r w:rsidRPr="00947574">
        <w:t xml:space="preserve">The </w:t>
      </w:r>
      <w:r w:rsidR="008A6B82" w:rsidRPr="00947574">
        <w:t>D</w:t>
      </w:r>
      <w:r w:rsidRPr="00947574">
        <w:t xml:space="preserve">epartment </w:t>
      </w:r>
      <w:r w:rsidR="008A6B82" w:rsidRPr="00947574">
        <w:t xml:space="preserve">welcomes </w:t>
      </w:r>
      <w:r w:rsidR="00A34B66">
        <w:t>feedback</w:t>
      </w:r>
      <w:r w:rsidR="00947574" w:rsidRPr="00947574">
        <w:t xml:space="preserve"> relating to handling of </w:t>
      </w:r>
      <w:r w:rsidR="00A34B66">
        <w:t>e</w:t>
      </w:r>
      <w:r w:rsidR="00947574" w:rsidRPr="00947574">
        <w:t>nquiries</w:t>
      </w:r>
      <w:r w:rsidR="00A34B66">
        <w:t xml:space="preserve"> made</w:t>
      </w:r>
      <w:r w:rsidR="00947574" w:rsidRPr="00947574">
        <w:t xml:space="preserve"> to the Regulator, as well as </w:t>
      </w:r>
      <w:r w:rsidR="00A34B66">
        <w:t>in relation to</w:t>
      </w:r>
      <w:r w:rsidR="00947574" w:rsidRPr="00947574">
        <w:t xml:space="preserve"> non-compliance of any regulated entities.</w:t>
      </w:r>
    </w:p>
    <w:p w:rsidR="00E17341" w:rsidRDefault="004E7D4C" w:rsidP="007A1ED7">
      <w:r w:rsidRPr="00947574">
        <w:t xml:space="preserve">Complaints </w:t>
      </w:r>
      <w:r w:rsidR="00947574" w:rsidRPr="00947574">
        <w:t>may be lodged through the National Gambling Regulator Hotline</w:t>
      </w:r>
      <w:r w:rsidRPr="00947574">
        <w:t xml:space="preserve"> </w:t>
      </w:r>
      <w:r w:rsidR="00947574" w:rsidRPr="00947574">
        <w:t>(1800 105 563), to the mailbox (</w:t>
      </w:r>
      <w:hyperlink r:id="rId12" w:history="1">
        <w:r w:rsidR="00947574" w:rsidRPr="00947574">
          <w:rPr>
            <w:rStyle w:val="Hyperlink"/>
          </w:rPr>
          <w:t>info@nationalgamblingregulator.gov.au</w:t>
        </w:r>
      </w:hyperlink>
      <w:r w:rsidR="00947574">
        <w:t>) or by post to GPO </w:t>
      </w:r>
      <w:r w:rsidR="00947574" w:rsidRPr="00947574">
        <w:t xml:space="preserve">Box 7576, Canberra Mail Centre ACT 2610. </w:t>
      </w:r>
    </w:p>
    <w:p w:rsidR="00E17341" w:rsidRDefault="005737BC" w:rsidP="007A1ED7">
      <w:r>
        <w:t xml:space="preserve">It is preferred that complaints are submitted openly, that is, along </w:t>
      </w:r>
      <w:r w:rsidR="00E17341">
        <w:t>with a name and contact details</w:t>
      </w:r>
      <w:r w:rsidR="004D5F58">
        <w:t xml:space="preserve"> of the complainant</w:t>
      </w:r>
      <w:r w:rsidR="00E17341">
        <w:t>;</w:t>
      </w:r>
      <w:r>
        <w:t xml:space="preserve"> </w:t>
      </w:r>
      <w:r w:rsidR="00E17341">
        <w:t xml:space="preserve">however </w:t>
      </w:r>
      <w:r>
        <w:t xml:space="preserve">complaints can be taken anonymously or confidentially. </w:t>
      </w:r>
      <w:r w:rsidR="00E17341">
        <w:t>Complain</w:t>
      </w:r>
      <w:r w:rsidR="00920744">
        <w:t>ant</w:t>
      </w:r>
      <w:r w:rsidR="00E17341">
        <w:t>s</w:t>
      </w:r>
      <w:r w:rsidR="00920744">
        <w:t xml:space="preserve"> that </w:t>
      </w:r>
      <w:r w:rsidR="00A34B66">
        <w:t>do not provide contact details</w:t>
      </w:r>
      <w:r w:rsidR="00E17341">
        <w:t xml:space="preserve"> will not be provided feedback.</w:t>
      </w:r>
      <w:r w:rsidR="00A34B66">
        <w:t xml:space="preserve"> </w:t>
      </w:r>
    </w:p>
    <w:p w:rsidR="008E6256" w:rsidRPr="008B52A1" w:rsidRDefault="008E6256" w:rsidP="008B52A1">
      <w:pPr>
        <w:spacing w:after="0"/>
      </w:pPr>
      <w:r w:rsidRPr="00780A45">
        <w:rPr>
          <w:u w:val="single"/>
          <w:lang w:val="en-GB" w:eastAsia="en-AU"/>
        </w:rPr>
        <w:br w:type="page"/>
      </w:r>
    </w:p>
    <w:p w:rsidR="008E6256" w:rsidRDefault="008E6256" w:rsidP="007A1ED7">
      <w:pPr>
        <w:pStyle w:val="Heading2"/>
      </w:pPr>
      <w:r>
        <w:lastRenderedPageBreak/>
        <w:t xml:space="preserve">Step by step guide to assessing applications </w:t>
      </w:r>
    </w:p>
    <w:p w:rsidR="008E6256" w:rsidRDefault="008E6256" w:rsidP="007A1ED7">
      <w:pPr>
        <w:pStyle w:val="Heading3"/>
      </w:pPr>
      <w:r w:rsidRPr="00EA766C">
        <w:rPr>
          <w:color w:val="E36C0A" w:themeColor="accent6" w:themeShade="BF"/>
        </w:rPr>
        <w:t>Step 1</w:t>
      </w:r>
      <w:r>
        <w:t xml:space="preserve">: </w:t>
      </w:r>
      <w:r w:rsidRPr="0046038B">
        <w:t xml:space="preserve">Determine </w:t>
      </w:r>
      <w:r>
        <w:t xml:space="preserve">the validity of application. </w:t>
      </w:r>
    </w:p>
    <w:p w:rsidR="008E6256" w:rsidRDefault="008E6256" w:rsidP="008E6256">
      <w:r>
        <w:t xml:space="preserve">An </w:t>
      </w:r>
      <w:r w:rsidRPr="007F1ED7">
        <w:t xml:space="preserve">Application </w:t>
      </w:r>
      <w:r>
        <w:t>is</w:t>
      </w:r>
      <w:r w:rsidRPr="007F1ED7">
        <w:t xml:space="preserve"> valid where</w:t>
      </w:r>
      <w:r>
        <w:t>:</w:t>
      </w:r>
      <w:r w:rsidRPr="007F1ED7">
        <w:t xml:space="preserve"> </w:t>
      </w:r>
    </w:p>
    <w:p w:rsidR="008E6256" w:rsidRDefault="008E6256" w:rsidP="007A1ED7">
      <w:pPr>
        <w:pStyle w:val="ListParagraph"/>
        <w:numPr>
          <w:ilvl w:val="0"/>
          <w:numId w:val="43"/>
        </w:numPr>
      </w:pPr>
      <w:r>
        <w:t xml:space="preserve">It is made by a </w:t>
      </w:r>
      <w:r w:rsidRPr="005E7151">
        <w:t>person</w:t>
      </w:r>
      <w:r w:rsidR="00023846">
        <w:rPr>
          <w:rStyle w:val="FootnoteReference"/>
        </w:rPr>
        <w:footnoteReference w:id="1"/>
      </w:r>
      <w:r>
        <w:t xml:space="preserve"> who occup</w:t>
      </w:r>
      <w:r w:rsidR="000A6BCA">
        <w:t>ies gaming machine premises; and</w:t>
      </w:r>
    </w:p>
    <w:p w:rsidR="008E6256" w:rsidRDefault="008E6256" w:rsidP="007A1ED7">
      <w:pPr>
        <w:pStyle w:val="ListParagraph"/>
        <w:numPr>
          <w:ilvl w:val="0"/>
          <w:numId w:val="43"/>
        </w:numPr>
      </w:pPr>
      <w:r>
        <w:t>It is made</w:t>
      </w:r>
      <w:r w:rsidRPr="007F1ED7">
        <w:t xml:space="preserve"> </w:t>
      </w:r>
      <w:r w:rsidR="008615D2">
        <w:t>in</w:t>
      </w:r>
      <w:r w:rsidRPr="007F1ED7">
        <w:t xml:space="preserve"> the approved </w:t>
      </w:r>
      <w:r>
        <w:t>form</w:t>
      </w:r>
      <w:r w:rsidRPr="007F1ED7">
        <w:t xml:space="preserve">, or in substantially the same form as the approved form.  </w:t>
      </w:r>
      <w:r>
        <w:t>(</w:t>
      </w:r>
      <w:r w:rsidRPr="007F1ED7">
        <w:t xml:space="preserve">Minor departures from the </w:t>
      </w:r>
      <w:r>
        <w:t xml:space="preserve">approved </w:t>
      </w:r>
      <w:r w:rsidRPr="007F1ED7">
        <w:t xml:space="preserve">form </w:t>
      </w:r>
      <w:r w:rsidR="00D63CB2">
        <w:t>may be acceptable</w:t>
      </w:r>
      <w:r>
        <w:t>).</w:t>
      </w:r>
      <w:r w:rsidRPr="007F1ED7">
        <w:t xml:space="preserve"> </w:t>
      </w:r>
    </w:p>
    <w:p w:rsidR="008E6256" w:rsidRDefault="008E6256" w:rsidP="008E6256">
      <w:r>
        <w:t>Contact the applicant if either of these criteria have not been met, explain why their application is not valid and, if possible, assist them to submit a valid application.</w:t>
      </w:r>
    </w:p>
    <w:p w:rsidR="008E6256" w:rsidRPr="0081612D" w:rsidRDefault="008E6256" w:rsidP="007A1ED7">
      <w:pPr>
        <w:pStyle w:val="Heading3"/>
        <w:rPr>
          <w:color w:val="E36C0A" w:themeColor="accent6" w:themeShade="BF"/>
        </w:rPr>
      </w:pPr>
      <w:r w:rsidRPr="00EA766C">
        <w:rPr>
          <w:color w:val="E36C0A" w:themeColor="accent6" w:themeShade="BF"/>
        </w:rPr>
        <w:t>Step 2</w:t>
      </w:r>
      <w:r w:rsidRPr="0081612D">
        <w:rPr>
          <w:color w:val="E36C0A" w:themeColor="accent6" w:themeShade="BF"/>
        </w:rPr>
        <w:t xml:space="preserve">: </w:t>
      </w:r>
      <w:r w:rsidR="00EA0EAA">
        <w:t>M</w:t>
      </w:r>
      <w:r w:rsidR="00336443">
        <w:t>atters</w:t>
      </w:r>
      <w:r w:rsidR="00EA0EAA">
        <w:t xml:space="preserve"> to consider in assisting the Regulator to decide whether to grant an exemption.</w:t>
      </w:r>
      <w:r w:rsidRPr="0081612D">
        <w:t xml:space="preserve"> </w:t>
      </w:r>
    </w:p>
    <w:p w:rsidR="008E6256" w:rsidRDefault="00336443" w:rsidP="0081612D">
      <w:r>
        <w:t>Consistent with subsection 44(1) of the NGR Act, the Regulator must have regard to the following considerations:</w:t>
      </w:r>
    </w:p>
    <w:p w:rsidR="00336443" w:rsidRDefault="004D5F58" w:rsidP="007A1ED7">
      <w:pPr>
        <w:pStyle w:val="ListParagraph"/>
        <w:numPr>
          <w:ilvl w:val="0"/>
          <w:numId w:val="45"/>
        </w:numPr>
        <w:spacing w:before="240"/>
      </w:pPr>
      <w:r>
        <w:t>The circumstances of the venue as it relates to</w:t>
      </w:r>
      <w:r w:rsidR="00336443">
        <w:t xml:space="preserve"> the object of the Act (in line with section 4 of the NGR Act)?</w:t>
      </w:r>
    </w:p>
    <w:p w:rsidR="008E6256" w:rsidRDefault="008E6256" w:rsidP="007A1ED7">
      <w:pPr>
        <w:pStyle w:val="ListParagraph"/>
        <w:numPr>
          <w:ilvl w:val="0"/>
          <w:numId w:val="45"/>
        </w:numPr>
        <w:spacing w:before="240"/>
      </w:pPr>
      <w:r>
        <w:t>Has the applicant provided evidence about the accessibility of alternative cash withdrawal facilities in the community either within or ou</w:t>
      </w:r>
      <w:r w:rsidR="000A6BCA">
        <w:t>tside the applicant venue (cash</w:t>
      </w:r>
      <w:r w:rsidR="000A6BCA">
        <w:noBreakHyphen/>
      </w:r>
      <w:r>
        <w:t xml:space="preserve">withdrawal EFTPOS facilities, </w:t>
      </w:r>
      <w:proofErr w:type="gramStart"/>
      <w:r>
        <w:t>ATMs )</w:t>
      </w:r>
      <w:proofErr w:type="gramEnd"/>
      <w:r>
        <w:t>?</w:t>
      </w:r>
    </w:p>
    <w:p w:rsidR="008E6256" w:rsidRPr="007C4428" w:rsidRDefault="008E6256" w:rsidP="007A1ED7">
      <w:pPr>
        <w:pStyle w:val="ListParagraph"/>
        <w:numPr>
          <w:ilvl w:val="2"/>
          <w:numId w:val="46"/>
        </w:numPr>
        <w:spacing w:before="60" w:after="0"/>
        <w:rPr>
          <w:b/>
        </w:rPr>
      </w:pPr>
      <w:r w:rsidRPr="007C4428">
        <w:rPr>
          <w:b/>
        </w:rPr>
        <w:t>Within venue</w:t>
      </w:r>
    </w:p>
    <w:p w:rsidR="008E6256" w:rsidRDefault="00DA0140" w:rsidP="007A1ED7">
      <w:pPr>
        <w:pStyle w:val="ListParagraph"/>
        <w:numPr>
          <w:ilvl w:val="1"/>
          <w:numId w:val="26"/>
        </w:numPr>
        <w:spacing w:before="40" w:after="40"/>
        <w:ind w:left="1418"/>
      </w:pPr>
      <w:r w:rsidRPr="0081612D">
        <w:rPr>
          <w:i/>
        </w:rPr>
        <w:t>For example</w:t>
      </w:r>
      <w:r>
        <w:t>, d</w:t>
      </w:r>
      <w:r w:rsidR="008E6256">
        <w:t xml:space="preserve">oes the venue provide cash-withdrawal EFTPOS facilities and if so, are there restrictions on those facilities (amount of cash and/or a requirement to make a purchase etc.)? </w:t>
      </w:r>
    </w:p>
    <w:p w:rsidR="008E6256" w:rsidRPr="007C4428" w:rsidRDefault="008E6256" w:rsidP="007A1ED7">
      <w:pPr>
        <w:pStyle w:val="ListParagraph"/>
        <w:numPr>
          <w:ilvl w:val="2"/>
          <w:numId w:val="46"/>
        </w:numPr>
        <w:spacing w:before="60" w:after="0"/>
        <w:rPr>
          <w:b/>
        </w:rPr>
      </w:pPr>
      <w:r w:rsidRPr="007C4428">
        <w:rPr>
          <w:b/>
        </w:rPr>
        <w:t>Outside venue</w:t>
      </w:r>
      <w:r w:rsidR="00DA0140" w:rsidRPr="007C4428">
        <w:rPr>
          <w:b/>
        </w:rPr>
        <w:t xml:space="preserve"> (</w:t>
      </w:r>
      <w:r w:rsidR="00DA0140" w:rsidRPr="007C4428">
        <w:rPr>
          <w:b/>
          <w:i/>
        </w:rPr>
        <w:t>examples listed below as a guide only</w:t>
      </w:r>
      <w:r w:rsidR="00DA0140" w:rsidRPr="007C4428">
        <w:rPr>
          <w:b/>
        </w:rPr>
        <w:t>)</w:t>
      </w:r>
    </w:p>
    <w:p w:rsidR="008E6256" w:rsidRPr="0085573E" w:rsidRDefault="008E6256" w:rsidP="007A1ED7">
      <w:pPr>
        <w:pStyle w:val="ListParagraph"/>
        <w:numPr>
          <w:ilvl w:val="1"/>
          <w:numId w:val="26"/>
        </w:numPr>
        <w:spacing w:before="40" w:after="40"/>
        <w:ind w:left="1418"/>
      </w:pPr>
      <w:r w:rsidRPr="0085573E">
        <w:t xml:space="preserve">How many and what type of cash withdrawal facilities are available outside the venue but in the community? </w:t>
      </w:r>
    </w:p>
    <w:p w:rsidR="008E6256" w:rsidRPr="0085573E" w:rsidRDefault="008E6256" w:rsidP="007A1ED7">
      <w:pPr>
        <w:pStyle w:val="ListParagraph"/>
        <w:numPr>
          <w:ilvl w:val="1"/>
          <w:numId w:val="26"/>
        </w:numPr>
        <w:spacing w:before="40" w:after="40"/>
        <w:ind w:left="1418"/>
      </w:pPr>
      <w:r w:rsidRPr="0085573E">
        <w:t>How far from the venue are these facilities (consider people with disabilities, the elderly, people without a car or drivers licence</w:t>
      </w:r>
      <w:r w:rsidR="004D5F58" w:rsidRPr="0085573E">
        <w:t>, availability of public transport</w:t>
      </w:r>
      <w:r w:rsidRPr="0085573E">
        <w:t xml:space="preserve"> etc.)?</w:t>
      </w:r>
    </w:p>
    <w:p w:rsidR="008E6256" w:rsidRPr="0085573E" w:rsidRDefault="008E6256" w:rsidP="007A1ED7">
      <w:pPr>
        <w:pStyle w:val="ListParagraph"/>
        <w:numPr>
          <w:ilvl w:val="1"/>
          <w:numId w:val="26"/>
        </w:numPr>
        <w:spacing w:before="40" w:after="40"/>
        <w:ind w:left="1418"/>
      </w:pPr>
      <w:bookmarkStart w:id="1" w:name="_GoBack"/>
      <w:r w:rsidRPr="0085573E">
        <w:t xml:space="preserve">Are there restrictions on these facilities (hours of operation, limits on size of </w:t>
      </w:r>
      <w:bookmarkEnd w:id="1"/>
      <w:r w:rsidRPr="0085573E">
        <w:t>cash withdrawals, a requirement to make a purchase</w:t>
      </w:r>
      <w:r w:rsidR="000A6BCA" w:rsidRPr="0085573E">
        <w:t xml:space="preserve"> before withdrawing cash</w:t>
      </w:r>
      <w:r w:rsidRPr="0085573E">
        <w:t xml:space="preserve"> etc.)? </w:t>
      </w:r>
    </w:p>
    <w:p w:rsidR="008E6256" w:rsidRPr="0085573E" w:rsidRDefault="008E6256" w:rsidP="007A1ED7">
      <w:pPr>
        <w:pStyle w:val="ListParagraph"/>
        <w:numPr>
          <w:ilvl w:val="1"/>
          <w:numId w:val="26"/>
        </w:numPr>
        <w:spacing w:before="40" w:after="40"/>
        <w:ind w:left="1418"/>
      </w:pPr>
      <w:r w:rsidRPr="0085573E">
        <w:t>Are those facilities easily accessible by those with a disability (</w:t>
      </w:r>
      <w:proofErr w:type="spellStart"/>
      <w:r w:rsidRPr="0085573E">
        <w:t>eg</w:t>
      </w:r>
      <w:proofErr w:type="spellEnd"/>
      <w:r w:rsidRPr="0085573E">
        <w:t xml:space="preserve"> up a flight of stairs with no lift or ramp available)?</w:t>
      </w:r>
    </w:p>
    <w:p w:rsidR="008E6256" w:rsidRPr="0085573E" w:rsidRDefault="008E6256" w:rsidP="007A1ED7">
      <w:pPr>
        <w:pStyle w:val="ListParagraph"/>
        <w:numPr>
          <w:ilvl w:val="1"/>
          <w:numId w:val="26"/>
        </w:numPr>
        <w:spacing w:before="40" w:after="40"/>
        <w:ind w:left="1418"/>
      </w:pPr>
      <w:r w:rsidRPr="0085573E">
        <w:t>Are there safety and/or security concerns related to the use of those facilities (high crime rate in the area etc.)?</w:t>
      </w:r>
    </w:p>
    <w:p w:rsidR="00336443" w:rsidRDefault="00336443" w:rsidP="0081612D">
      <w:pPr>
        <w:spacing w:before="240"/>
      </w:pPr>
    </w:p>
    <w:p w:rsidR="00336443" w:rsidRDefault="00336443" w:rsidP="0081612D">
      <w:pPr>
        <w:spacing w:before="240"/>
      </w:pPr>
    </w:p>
    <w:p w:rsidR="00DA0140" w:rsidRDefault="00DA0140" w:rsidP="007A1ED7">
      <w:pPr>
        <w:pStyle w:val="ListParagraph"/>
        <w:numPr>
          <w:ilvl w:val="0"/>
          <w:numId w:val="26"/>
        </w:numPr>
        <w:spacing w:before="240"/>
      </w:pPr>
      <w:r>
        <w:lastRenderedPageBreak/>
        <w:t>Has the applicant provided evidence that there would be</w:t>
      </w:r>
      <w:r w:rsidR="000A5557">
        <w:t xml:space="preserve"> unreasonable</w:t>
      </w:r>
      <w:r>
        <w:t xml:space="preserve"> inconvenience to the community if compliance with the ATM withdrawal limit is required? Evidence must show or support that compliance with the ATM withdrawal limit would cause unreasonable inconvenience to the community and could include, </w:t>
      </w:r>
      <w:r w:rsidRPr="0085573E">
        <w:rPr>
          <w:i/>
        </w:rPr>
        <w:t>for example</w:t>
      </w:r>
      <w:r>
        <w:t>:</w:t>
      </w:r>
    </w:p>
    <w:p w:rsidR="00DA0140" w:rsidRDefault="00DA0140" w:rsidP="007A1ED7">
      <w:pPr>
        <w:pStyle w:val="ListParagraph"/>
        <w:numPr>
          <w:ilvl w:val="1"/>
          <w:numId w:val="26"/>
        </w:numPr>
        <w:spacing w:before="40" w:after="40"/>
        <w:ind w:left="1418"/>
      </w:pPr>
      <w:r>
        <w:t>submissions from members of the community</w:t>
      </w:r>
    </w:p>
    <w:p w:rsidR="00DA0140" w:rsidRDefault="00DA0140" w:rsidP="007A1ED7">
      <w:pPr>
        <w:pStyle w:val="ListParagraph"/>
        <w:numPr>
          <w:ilvl w:val="1"/>
          <w:numId w:val="26"/>
        </w:numPr>
        <w:spacing w:before="40" w:after="40"/>
        <w:ind w:left="1418"/>
      </w:pPr>
      <w:r>
        <w:t>letters from government (local/State/Federal)</w:t>
      </w:r>
    </w:p>
    <w:p w:rsidR="00DA0140" w:rsidRDefault="00DA0140" w:rsidP="007A1ED7">
      <w:pPr>
        <w:pStyle w:val="ListParagraph"/>
        <w:numPr>
          <w:ilvl w:val="1"/>
          <w:numId w:val="26"/>
        </w:numPr>
        <w:spacing w:before="40" w:after="40"/>
        <w:ind w:left="1418"/>
      </w:pPr>
      <w:r>
        <w:t>submissions from local businesses</w:t>
      </w:r>
    </w:p>
    <w:p w:rsidR="008E6256" w:rsidRDefault="008E6256" w:rsidP="007A1ED7">
      <w:pPr>
        <w:pStyle w:val="ListParagraph"/>
        <w:numPr>
          <w:ilvl w:val="0"/>
          <w:numId w:val="26"/>
        </w:numPr>
        <w:spacing w:before="240"/>
      </w:pPr>
      <w:r>
        <w:t xml:space="preserve">Has the applicant provided any other evidence to support their argument that the application of a cash withdrawal limit to the venue’s ATMs would cause “unreasonable inconvenience to the community”?  </w:t>
      </w:r>
    </w:p>
    <w:p w:rsidR="008E6256" w:rsidRDefault="00DA0140" w:rsidP="007A1ED7">
      <w:pPr>
        <w:pStyle w:val="ListParagraph"/>
        <w:numPr>
          <w:ilvl w:val="1"/>
          <w:numId w:val="26"/>
        </w:numPr>
        <w:spacing w:before="40" w:after="40"/>
        <w:ind w:left="1418"/>
      </w:pPr>
      <w:r w:rsidRPr="0081612D">
        <w:rPr>
          <w:i/>
        </w:rPr>
        <w:t>For example</w:t>
      </w:r>
      <w:r>
        <w:t>, d</w:t>
      </w:r>
      <w:r w:rsidR="008E6256">
        <w:t>oes the venue provide high cost non-gaming activities (sport, recreation, entertainment, dining etc.) that might exceed $250 for an individual or family?</w:t>
      </w:r>
    </w:p>
    <w:p w:rsidR="008E6256" w:rsidRDefault="00DA0140" w:rsidP="007A1ED7">
      <w:pPr>
        <w:pStyle w:val="ListParagraph"/>
        <w:numPr>
          <w:ilvl w:val="1"/>
          <w:numId w:val="26"/>
        </w:numPr>
        <w:spacing w:before="40"/>
        <w:ind w:left="1417" w:hanging="357"/>
      </w:pPr>
      <w:r w:rsidRPr="0081612D">
        <w:rPr>
          <w:i/>
        </w:rPr>
        <w:t>For example</w:t>
      </w:r>
      <w:r>
        <w:t>, a</w:t>
      </w:r>
      <w:r w:rsidR="008E6256">
        <w:t xml:space="preserve">re non-venue cash-withdrawal facilities known to be unreliable (regularly run out of cash, subject to malfunction </w:t>
      </w:r>
      <w:proofErr w:type="gramStart"/>
      <w:r w:rsidR="008E6256">
        <w:t>etc.</w:t>
      </w:r>
      <w:proofErr w:type="gramEnd"/>
      <w:r w:rsidR="008E6256">
        <w:t xml:space="preserve">)  </w:t>
      </w:r>
    </w:p>
    <w:p w:rsidR="0085573E" w:rsidRDefault="0085573E" w:rsidP="007A1ED7">
      <w:pPr>
        <w:spacing w:before="40" w:after="40"/>
      </w:pPr>
      <w:r>
        <w:t xml:space="preserve">Where there is not enough information provided in the exemption application, the applicant may be contacted to </w:t>
      </w:r>
      <w:r w:rsidR="0090432F">
        <w:t>supply</w:t>
      </w:r>
      <w:r>
        <w:t xml:space="preserve"> this. We expect responses to these requests for additional information within a reasonable timeframe.</w:t>
      </w:r>
    </w:p>
    <w:p w:rsidR="008E6256" w:rsidRPr="008329B8" w:rsidRDefault="008E6256" w:rsidP="007A1ED7">
      <w:pPr>
        <w:pStyle w:val="Heading3"/>
      </w:pPr>
      <w:r w:rsidRPr="00EA766C">
        <w:rPr>
          <w:color w:val="E36C0A" w:themeColor="accent6" w:themeShade="BF"/>
        </w:rPr>
        <w:t>Step 3</w:t>
      </w:r>
      <w:r w:rsidRPr="008329B8">
        <w:t>: Consultation</w:t>
      </w:r>
    </w:p>
    <w:p w:rsidR="008E6256" w:rsidRDefault="008E6256" w:rsidP="008E6256">
      <w:pPr>
        <w:pStyle w:val="ListParagraph"/>
        <w:numPr>
          <w:ilvl w:val="0"/>
          <w:numId w:val="27"/>
        </w:numPr>
        <w:spacing w:before="60" w:after="0"/>
      </w:pPr>
      <w:r>
        <w:t xml:space="preserve">Do you need more information to </w:t>
      </w:r>
      <w:r w:rsidR="00336443">
        <w:t xml:space="preserve">assist the </w:t>
      </w:r>
      <w:r w:rsidR="000A5557">
        <w:t>decision maker</w:t>
      </w:r>
      <w:r w:rsidR="00336443">
        <w:t xml:space="preserve"> in making a </w:t>
      </w:r>
      <w:r>
        <w:t>de</w:t>
      </w:r>
      <w:r w:rsidR="003655C3">
        <w:t>cision</w:t>
      </w:r>
      <w:r>
        <w:t>?</w:t>
      </w:r>
    </w:p>
    <w:p w:rsidR="008E6256" w:rsidRPr="003A5FFB" w:rsidRDefault="008E6256" w:rsidP="007A1ED7">
      <w:pPr>
        <w:pStyle w:val="ListParagraph"/>
        <w:numPr>
          <w:ilvl w:val="1"/>
          <w:numId w:val="26"/>
        </w:numPr>
        <w:spacing w:before="40" w:after="40"/>
        <w:ind w:left="1134"/>
      </w:pPr>
      <w:r w:rsidRPr="003A5FFB">
        <w:t xml:space="preserve">Identify exactly what information is required and the best means for obtaining that information (in some cases </w:t>
      </w:r>
      <w:r w:rsidR="00DD12F2" w:rsidRPr="003A5FFB">
        <w:t>information may be publicly available</w:t>
      </w:r>
      <w:r w:rsidR="009A53EB" w:rsidRPr="003A5FFB">
        <w:t>).</w:t>
      </w:r>
    </w:p>
    <w:p w:rsidR="009A53EB" w:rsidRDefault="009A53EB" w:rsidP="007A1ED7">
      <w:pPr>
        <w:pStyle w:val="ListParagraph"/>
        <w:numPr>
          <w:ilvl w:val="1"/>
          <w:numId w:val="26"/>
        </w:numPr>
        <w:spacing w:before="40" w:after="40"/>
        <w:ind w:left="1134"/>
      </w:pPr>
      <w:r>
        <w:t xml:space="preserve">Consider who you need to consult with to gather this </w:t>
      </w:r>
      <w:proofErr w:type="gramStart"/>
      <w:r>
        <w:t>information,</w:t>
      </w:r>
      <w:proofErr w:type="gramEnd"/>
      <w:r>
        <w:t xml:space="preserve"> is it the applicant, or a third party?</w:t>
      </w:r>
    </w:p>
    <w:p w:rsidR="008E6256" w:rsidRDefault="008E6256" w:rsidP="008E6256">
      <w:pPr>
        <w:pStyle w:val="ListParagraph"/>
        <w:numPr>
          <w:ilvl w:val="0"/>
          <w:numId w:val="27"/>
        </w:numPr>
        <w:spacing w:before="60" w:after="0"/>
      </w:pPr>
      <w:r>
        <w:t>Do you need to consult with a community group, local or state government agency or an individual within the community to ascertain their views or confirm evidence supplied by the applicant?</w:t>
      </w:r>
    </w:p>
    <w:p w:rsidR="008E6256" w:rsidRPr="008329B8" w:rsidRDefault="008E6256" w:rsidP="007A1ED7">
      <w:pPr>
        <w:pStyle w:val="Heading3"/>
      </w:pPr>
      <w:r w:rsidRPr="00EA766C">
        <w:rPr>
          <w:color w:val="E36C0A" w:themeColor="accent6" w:themeShade="BF"/>
        </w:rPr>
        <w:t>Step 4</w:t>
      </w:r>
      <w:r w:rsidRPr="008329B8">
        <w:t>: Decision</w:t>
      </w:r>
    </w:p>
    <w:p w:rsidR="00EA0EAA" w:rsidRDefault="00EA0EAA" w:rsidP="008E6256">
      <w:pPr>
        <w:pStyle w:val="ListParagraph"/>
        <w:numPr>
          <w:ilvl w:val="0"/>
          <w:numId w:val="28"/>
        </w:numPr>
        <w:spacing w:before="60" w:after="120"/>
      </w:pPr>
      <w:r>
        <w:t>Provide all the evidence to the decision maker to assist in reaching a decision.</w:t>
      </w:r>
    </w:p>
    <w:p w:rsidR="008E6256" w:rsidRDefault="008E6256" w:rsidP="008E6256">
      <w:pPr>
        <w:pStyle w:val="ListParagraph"/>
        <w:numPr>
          <w:ilvl w:val="0"/>
          <w:numId w:val="28"/>
        </w:numPr>
        <w:spacing w:before="60" w:after="120"/>
      </w:pPr>
      <w:r>
        <w:t xml:space="preserve">Based on all the evidence </w:t>
      </w:r>
      <w:r w:rsidR="00EA0EAA">
        <w:t>provided</w:t>
      </w:r>
      <w:r>
        <w:t xml:space="preserve">, </w:t>
      </w:r>
      <w:r w:rsidR="00EA0EAA">
        <w:t xml:space="preserve">the decision maker must </w:t>
      </w:r>
      <w:r>
        <w:t xml:space="preserve">decide whether or not granting an exemption is warranted, and if yes, whether conditions should be applied. Conditions might include a requirement to immediately inform the </w:t>
      </w:r>
      <w:r w:rsidR="004D5F58">
        <w:t>R</w:t>
      </w:r>
      <w:r>
        <w:t>egulator of changes of circumstances (number/type of ATMs in venue, new ATMs in community etc.).</w:t>
      </w:r>
    </w:p>
    <w:p w:rsidR="005A3458" w:rsidRPr="0081612D" w:rsidRDefault="005A3458" w:rsidP="008E6256">
      <w:pPr>
        <w:pStyle w:val="ListParagraph"/>
        <w:numPr>
          <w:ilvl w:val="0"/>
          <w:numId w:val="28"/>
        </w:numPr>
        <w:spacing w:before="60" w:after="120"/>
      </w:pPr>
      <w:r>
        <w:t>Notify applicant of the decision</w:t>
      </w:r>
      <w:r w:rsidR="00EA0EAA">
        <w:t xml:space="preserve"> and the internal and AAT review processes available to them.</w:t>
      </w:r>
    </w:p>
    <w:p w:rsidR="00BB538D" w:rsidRPr="00A53DB1" w:rsidRDefault="00BB538D" w:rsidP="0081612D">
      <w:pPr>
        <w:spacing w:after="0"/>
        <w:ind w:firstLine="720"/>
      </w:pPr>
    </w:p>
    <w:sectPr w:rsidR="00BB538D" w:rsidRPr="00A53DB1" w:rsidSect="0081612D">
      <w:headerReference w:type="default" r:id="rId13"/>
      <w:footerReference w:type="default" r:id="rId14"/>
      <w:pgSz w:w="11906" w:h="16838"/>
      <w:pgMar w:top="993" w:right="1440" w:bottom="1135" w:left="1440" w:header="709" w:footer="2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755" w:rsidRDefault="003D2755" w:rsidP="001D19D7">
      <w:pPr>
        <w:spacing w:after="0"/>
      </w:pPr>
      <w:r>
        <w:separator/>
      </w:r>
    </w:p>
  </w:endnote>
  <w:endnote w:type="continuationSeparator" w:id="0">
    <w:p w:rsidR="003D2755" w:rsidRDefault="003D2755" w:rsidP="001D19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898929"/>
      <w:docPartObj>
        <w:docPartGallery w:val="Page Numbers (Bottom of Page)"/>
        <w:docPartUnique/>
      </w:docPartObj>
    </w:sdtPr>
    <w:sdtEndPr>
      <w:rPr>
        <w:noProof/>
      </w:rPr>
    </w:sdtEndPr>
    <w:sdtContent>
      <w:p w:rsidR="003D2755" w:rsidRDefault="003D2755" w:rsidP="00C94CAC">
        <w:pPr>
          <w:pStyle w:val="Footer"/>
          <w:jc w:val="center"/>
        </w:pPr>
        <w:r>
          <w:fldChar w:fldCharType="begin"/>
        </w:r>
        <w:r>
          <w:instrText xml:space="preserve"> PAGE   \* MERGEFORMAT </w:instrText>
        </w:r>
        <w:r>
          <w:fldChar w:fldCharType="separate"/>
        </w:r>
        <w:r w:rsidR="007C4428">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755" w:rsidRDefault="003D2755" w:rsidP="001D19D7">
      <w:pPr>
        <w:spacing w:after="0"/>
      </w:pPr>
      <w:r>
        <w:separator/>
      </w:r>
    </w:p>
  </w:footnote>
  <w:footnote w:type="continuationSeparator" w:id="0">
    <w:p w:rsidR="003D2755" w:rsidRDefault="003D2755" w:rsidP="001D19D7">
      <w:pPr>
        <w:spacing w:after="0"/>
      </w:pPr>
      <w:r>
        <w:continuationSeparator/>
      </w:r>
    </w:p>
  </w:footnote>
  <w:footnote w:id="1">
    <w:p w:rsidR="003D2755" w:rsidRDefault="003D2755">
      <w:pPr>
        <w:pStyle w:val="FootnoteText"/>
      </w:pPr>
      <w:r>
        <w:rPr>
          <w:rStyle w:val="FootnoteReference"/>
        </w:rPr>
        <w:footnoteRef/>
      </w:r>
      <w:r>
        <w:t xml:space="preserve"> A person may be an individual or a business.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755" w:rsidRDefault="003D2755" w:rsidP="001D19D7">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4B3"/>
    <w:multiLevelType w:val="hybridMultilevel"/>
    <w:tmpl w:val="8C9843DE"/>
    <w:lvl w:ilvl="0" w:tplc="5A480AD4">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0BB40A0"/>
    <w:multiLevelType w:val="hybridMultilevel"/>
    <w:tmpl w:val="14DC877C"/>
    <w:lvl w:ilvl="0" w:tplc="B6E270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1152316"/>
    <w:multiLevelType w:val="hybridMultilevel"/>
    <w:tmpl w:val="078ABBDE"/>
    <w:lvl w:ilvl="0" w:tplc="F3188C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5012FE1"/>
    <w:multiLevelType w:val="hybridMultilevel"/>
    <w:tmpl w:val="AE08DE28"/>
    <w:lvl w:ilvl="0" w:tplc="B6E27024">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nsid w:val="051220DF"/>
    <w:multiLevelType w:val="hybridMultilevel"/>
    <w:tmpl w:val="A6D836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0D56E1"/>
    <w:multiLevelType w:val="hybridMultilevel"/>
    <w:tmpl w:val="503203CC"/>
    <w:lvl w:ilvl="0" w:tplc="4FF4B9BE">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7BA1589"/>
    <w:multiLevelType w:val="hybridMultilevel"/>
    <w:tmpl w:val="BAF62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C943ECB"/>
    <w:multiLevelType w:val="hybridMultilevel"/>
    <w:tmpl w:val="579A096A"/>
    <w:lvl w:ilvl="0" w:tplc="CB4CCEE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CF953D6"/>
    <w:multiLevelType w:val="hybridMultilevel"/>
    <w:tmpl w:val="455E9840"/>
    <w:lvl w:ilvl="0" w:tplc="6AEAFC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E6622EB"/>
    <w:multiLevelType w:val="hybridMultilevel"/>
    <w:tmpl w:val="8EC2444C"/>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0">
    <w:nsid w:val="0E6A33EF"/>
    <w:multiLevelType w:val="hybridMultilevel"/>
    <w:tmpl w:val="BAC237E8"/>
    <w:lvl w:ilvl="0" w:tplc="ECFE7FBC">
      <w:start w:val="1"/>
      <w:numFmt w:val="lowerLetter"/>
      <w:lvlText w:val="(%1)"/>
      <w:lvlJc w:val="left"/>
      <w:pPr>
        <w:ind w:left="990" w:hanging="57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nsid w:val="0FEB6FD6"/>
    <w:multiLevelType w:val="hybridMultilevel"/>
    <w:tmpl w:val="1AAEC57C"/>
    <w:lvl w:ilvl="0" w:tplc="B6E27024">
      <w:start w:val="1"/>
      <w:numFmt w:val="lowerLetter"/>
      <w:lvlText w:val="(%1)"/>
      <w:lvlJc w:val="left"/>
      <w:pPr>
        <w:ind w:left="720" w:hanging="360"/>
      </w:pPr>
      <w:rPr>
        <w:rFonts w:hint="default"/>
      </w:rPr>
    </w:lvl>
    <w:lvl w:ilvl="1" w:tplc="A702A556">
      <w:start w:val="1"/>
      <w:numFmt w:val="decimal"/>
      <w:lvlText w:val="(%2)"/>
      <w:lvlJc w:val="left"/>
      <w:pPr>
        <w:ind w:left="1500" w:hanging="4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01C27A4"/>
    <w:multiLevelType w:val="multilevel"/>
    <w:tmpl w:val="0DB4F0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12E3518"/>
    <w:multiLevelType w:val="hybridMultilevel"/>
    <w:tmpl w:val="53A45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25D3ADE"/>
    <w:multiLevelType w:val="hybridMultilevel"/>
    <w:tmpl w:val="FAD8FE7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2BD1EA3"/>
    <w:multiLevelType w:val="hybridMultilevel"/>
    <w:tmpl w:val="09AC58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63D6314"/>
    <w:multiLevelType w:val="hybridMultilevel"/>
    <w:tmpl w:val="8BDCD8E8"/>
    <w:lvl w:ilvl="0" w:tplc="B6E270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9D405FD"/>
    <w:multiLevelType w:val="hybridMultilevel"/>
    <w:tmpl w:val="40B01E60"/>
    <w:lvl w:ilvl="0" w:tplc="F5B4A5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9D05234"/>
    <w:multiLevelType w:val="hybridMultilevel"/>
    <w:tmpl w:val="B210C59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BF05136"/>
    <w:multiLevelType w:val="hybridMultilevel"/>
    <w:tmpl w:val="8F4CDC98"/>
    <w:lvl w:ilvl="0" w:tplc="DE3E92FE">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F4235B2"/>
    <w:multiLevelType w:val="hybridMultilevel"/>
    <w:tmpl w:val="73364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317A3F4A"/>
    <w:multiLevelType w:val="hybridMultilevel"/>
    <w:tmpl w:val="5EA8C0B0"/>
    <w:lvl w:ilvl="0" w:tplc="B6E270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32C5803"/>
    <w:multiLevelType w:val="hybridMultilevel"/>
    <w:tmpl w:val="8C842BC2"/>
    <w:lvl w:ilvl="0" w:tplc="B6E270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4A60BB0"/>
    <w:multiLevelType w:val="hybridMultilevel"/>
    <w:tmpl w:val="34621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5F6699D"/>
    <w:multiLevelType w:val="hybridMultilevel"/>
    <w:tmpl w:val="7A80201C"/>
    <w:lvl w:ilvl="0" w:tplc="5A480AD4">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3A4E0F1E">
      <w:start w:val="2"/>
      <w:numFmt w:val="bullet"/>
      <w:lvlText w:val="-"/>
      <w:lvlJc w:val="left"/>
      <w:pPr>
        <w:ind w:left="2340" w:hanging="360"/>
      </w:pPr>
      <w:rPr>
        <w:rFonts w:ascii="Calibri" w:eastAsiaTheme="minorHAnsi" w:hAnsi="Calibri" w:cstheme="minorBid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BE03FE5"/>
    <w:multiLevelType w:val="hybridMultilevel"/>
    <w:tmpl w:val="888E50BE"/>
    <w:lvl w:ilvl="0" w:tplc="CB4CCEE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4FD51D3"/>
    <w:multiLevelType w:val="hybridMultilevel"/>
    <w:tmpl w:val="A00C8F4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A7A645B"/>
    <w:multiLevelType w:val="hybridMultilevel"/>
    <w:tmpl w:val="622A5E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CFD44E2"/>
    <w:multiLevelType w:val="hybridMultilevel"/>
    <w:tmpl w:val="7BE22656"/>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9">
    <w:nsid w:val="4D1B5474"/>
    <w:multiLevelType w:val="hybridMultilevel"/>
    <w:tmpl w:val="654C8AF6"/>
    <w:lvl w:ilvl="0" w:tplc="628633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D322A42"/>
    <w:multiLevelType w:val="hybridMultilevel"/>
    <w:tmpl w:val="232460A4"/>
    <w:lvl w:ilvl="0" w:tplc="03760E5C">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1">
    <w:nsid w:val="57F80ACF"/>
    <w:multiLevelType w:val="multilevel"/>
    <w:tmpl w:val="DA6260F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96003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B755170"/>
    <w:multiLevelType w:val="hybridMultilevel"/>
    <w:tmpl w:val="AC12C4E4"/>
    <w:lvl w:ilvl="0" w:tplc="0DEEDCF4">
      <w:start w:val="1"/>
      <w:numFmt w:val="decimal"/>
      <w:lvlText w:val="%1."/>
      <w:lvlJc w:val="left"/>
      <w:pPr>
        <w:ind w:left="1080" w:hanging="360"/>
      </w:pPr>
      <w:rPr>
        <w:i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5E344780"/>
    <w:multiLevelType w:val="hybridMultilevel"/>
    <w:tmpl w:val="96D86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EE53DE7"/>
    <w:multiLevelType w:val="multilevel"/>
    <w:tmpl w:val="4BE29D5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63130A71"/>
    <w:multiLevelType w:val="hybridMultilevel"/>
    <w:tmpl w:val="90FEFCF0"/>
    <w:lvl w:ilvl="0" w:tplc="41DC1722">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77251A7"/>
    <w:multiLevelType w:val="hybridMultilevel"/>
    <w:tmpl w:val="F5380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7904133"/>
    <w:multiLevelType w:val="hybridMultilevel"/>
    <w:tmpl w:val="0D6EB7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6E051047"/>
    <w:multiLevelType w:val="hybridMultilevel"/>
    <w:tmpl w:val="525875A4"/>
    <w:lvl w:ilvl="0" w:tplc="AF2CAE0E">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37C1F02"/>
    <w:multiLevelType w:val="hybridMultilevel"/>
    <w:tmpl w:val="8CA2BDCA"/>
    <w:lvl w:ilvl="0" w:tplc="9FAE7C7E">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826173D"/>
    <w:multiLevelType w:val="hybridMultilevel"/>
    <w:tmpl w:val="0CDA75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8DA170D"/>
    <w:multiLevelType w:val="hybridMultilevel"/>
    <w:tmpl w:val="FE6ACC4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nsid w:val="78DD0587"/>
    <w:multiLevelType w:val="hybridMultilevel"/>
    <w:tmpl w:val="86EA5044"/>
    <w:lvl w:ilvl="0" w:tplc="B6E27024">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44">
    <w:nsid w:val="79731235"/>
    <w:multiLevelType w:val="hybridMultilevel"/>
    <w:tmpl w:val="59242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B511C7A"/>
    <w:multiLevelType w:val="hybridMultilevel"/>
    <w:tmpl w:val="1D9646A8"/>
    <w:lvl w:ilvl="0" w:tplc="D02CD11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C767D7C"/>
    <w:multiLevelType w:val="hybridMultilevel"/>
    <w:tmpl w:val="C8C26E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3"/>
  </w:num>
  <w:num w:numId="3">
    <w:abstractNumId w:val="30"/>
  </w:num>
  <w:num w:numId="4">
    <w:abstractNumId w:val="2"/>
  </w:num>
  <w:num w:numId="5">
    <w:abstractNumId w:val="8"/>
  </w:num>
  <w:num w:numId="6">
    <w:abstractNumId w:val="16"/>
  </w:num>
  <w:num w:numId="7">
    <w:abstractNumId w:val="10"/>
  </w:num>
  <w:num w:numId="8">
    <w:abstractNumId w:val="1"/>
  </w:num>
  <w:num w:numId="9">
    <w:abstractNumId w:val="19"/>
  </w:num>
  <w:num w:numId="10">
    <w:abstractNumId w:val="11"/>
  </w:num>
  <w:num w:numId="11">
    <w:abstractNumId w:val="45"/>
  </w:num>
  <w:num w:numId="12">
    <w:abstractNumId w:val="21"/>
  </w:num>
  <w:num w:numId="13">
    <w:abstractNumId w:val="5"/>
  </w:num>
  <w:num w:numId="14">
    <w:abstractNumId w:val="0"/>
  </w:num>
  <w:num w:numId="15">
    <w:abstractNumId w:val="17"/>
  </w:num>
  <w:num w:numId="16">
    <w:abstractNumId w:val="25"/>
  </w:num>
  <w:num w:numId="17">
    <w:abstractNumId w:val="43"/>
  </w:num>
  <w:num w:numId="18">
    <w:abstractNumId w:val="39"/>
  </w:num>
  <w:num w:numId="19">
    <w:abstractNumId w:val="40"/>
  </w:num>
  <w:num w:numId="20">
    <w:abstractNumId w:val="26"/>
  </w:num>
  <w:num w:numId="21">
    <w:abstractNumId w:val="29"/>
  </w:num>
  <w:num w:numId="22">
    <w:abstractNumId w:val="7"/>
  </w:num>
  <w:num w:numId="23">
    <w:abstractNumId w:val="22"/>
  </w:num>
  <w:num w:numId="24">
    <w:abstractNumId w:val="36"/>
  </w:num>
  <w:num w:numId="25">
    <w:abstractNumId w:val="34"/>
  </w:num>
  <w:num w:numId="26">
    <w:abstractNumId w:val="14"/>
  </w:num>
  <w:num w:numId="27">
    <w:abstractNumId w:val="13"/>
  </w:num>
  <w:num w:numId="28">
    <w:abstractNumId w:val="41"/>
  </w:num>
  <w:num w:numId="29">
    <w:abstractNumId w:val="44"/>
  </w:num>
  <w:num w:numId="30">
    <w:abstractNumId w:val="27"/>
  </w:num>
  <w:num w:numId="31">
    <w:abstractNumId w:val="42"/>
  </w:num>
  <w:num w:numId="32">
    <w:abstractNumId w:val="38"/>
  </w:num>
  <w:num w:numId="33">
    <w:abstractNumId w:val="28"/>
  </w:num>
  <w:num w:numId="34">
    <w:abstractNumId w:val="9"/>
  </w:num>
  <w:num w:numId="35">
    <w:abstractNumId w:val="46"/>
  </w:num>
  <w:num w:numId="36">
    <w:abstractNumId w:val="33"/>
  </w:num>
  <w:num w:numId="37">
    <w:abstractNumId w:val="4"/>
  </w:num>
  <w:num w:numId="38">
    <w:abstractNumId w:val="20"/>
  </w:num>
  <w:num w:numId="39">
    <w:abstractNumId w:val="35"/>
  </w:num>
  <w:num w:numId="40">
    <w:abstractNumId w:val="31"/>
  </w:num>
  <w:num w:numId="41">
    <w:abstractNumId w:val="37"/>
  </w:num>
  <w:num w:numId="42">
    <w:abstractNumId w:val="6"/>
  </w:num>
  <w:num w:numId="43">
    <w:abstractNumId w:val="23"/>
  </w:num>
  <w:num w:numId="44">
    <w:abstractNumId w:val="12"/>
  </w:num>
  <w:num w:numId="45">
    <w:abstractNumId w:val="18"/>
  </w:num>
  <w:num w:numId="46">
    <w:abstractNumId w:val="32"/>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B1"/>
    <w:rsid w:val="000038A2"/>
    <w:rsid w:val="00004391"/>
    <w:rsid w:val="0000567B"/>
    <w:rsid w:val="00014C22"/>
    <w:rsid w:val="0001504B"/>
    <w:rsid w:val="00017695"/>
    <w:rsid w:val="00020840"/>
    <w:rsid w:val="000225FD"/>
    <w:rsid w:val="00023846"/>
    <w:rsid w:val="00031FE9"/>
    <w:rsid w:val="0003205F"/>
    <w:rsid w:val="000343BA"/>
    <w:rsid w:val="00037B0F"/>
    <w:rsid w:val="0004392A"/>
    <w:rsid w:val="000475E7"/>
    <w:rsid w:val="00051E03"/>
    <w:rsid w:val="00061208"/>
    <w:rsid w:val="000626FD"/>
    <w:rsid w:val="000718E3"/>
    <w:rsid w:val="0008145C"/>
    <w:rsid w:val="00083E69"/>
    <w:rsid w:val="000920A7"/>
    <w:rsid w:val="000A5557"/>
    <w:rsid w:val="000A6BCA"/>
    <w:rsid w:val="000C7782"/>
    <w:rsid w:val="000D1FDB"/>
    <w:rsid w:val="000D25E3"/>
    <w:rsid w:val="000F2E2B"/>
    <w:rsid w:val="00103EDF"/>
    <w:rsid w:val="00116A84"/>
    <w:rsid w:val="001245A1"/>
    <w:rsid w:val="00134C78"/>
    <w:rsid w:val="00144DFB"/>
    <w:rsid w:val="001479AF"/>
    <w:rsid w:val="001609A0"/>
    <w:rsid w:val="0016385F"/>
    <w:rsid w:val="00173807"/>
    <w:rsid w:val="001827B9"/>
    <w:rsid w:val="00184607"/>
    <w:rsid w:val="001855C8"/>
    <w:rsid w:val="001B48D6"/>
    <w:rsid w:val="001C2604"/>
    <w:rsid w:val="001C2AAF"/>
    <w:rsid w:val="001C4FF6"/>
    <w:rsid w:val="001D19D7"/>
    <w:rsid w:val="001E0999"/>
    <w:rsid w:val="001E630D"/>
    <w:rsid w:val="001F1EAF"/>
    <w:rsid w:val="00205300"/>
    <w:rsid w:val="00206C59"/>
    <w:rsid w:val="0021356D"/>
    <w:rsid w:val="0022280C"/>
    <w:rsid w:val="00222891"/>
    <w:rsid w:val="00224DFD"/>
    <w:rsid w:val="00227321"/>
    <w:rsid w:val="00230DFA"/>
    <w:rsid w:val="0024066A"/>
    <w:rsid w:val="00240780"/>
    <w:rsid w:val="00245DE2"/>
    <w:rsid w:val="002537DA"/>
    <w:rsid w:val="0025700F"/>
    <w:rsid w:val="00277423"/>
    <w:rsid w:val="00294110"/>
    <w:rsid w:val="002A0EBB"/>
    <w:rsid w:val="002A1335"/>
    <w:rsid w:val="002A464B"/>
    <w:rsid w:val="002A4B78"/>
    <w:rsid w:val="002B06FC"/>
    <w:rsid w:val="002C074F"/>
    <w:rsid w:val="002C1D6B"/>
    <w:rsid w:val="002C48B3"/>
    <w:rsid w:val="002E3BF8"/>
    <w:rsid w:val="002E403D"/>
    <w:rsid w:val="002F75FE"/>
    <w:rsid w:val="00313E86"/>
    <w:rsid w:val="0031624D"/>
    <w:rsid w:val="00325529"/>
    <w:rsid w:val="0032717D"/>
    <w:rsid w:val="00336443"/>
    <w:rsid w:val="003422FD"/>
    <w:rsid w:val="00343EA8"/>
    <w:rsid w:val="00346925"/>
    <w:rsid w:val="00350B7E"/>
    <w:rsid w:val="003526D2"/>
    <w:rsid w:val="00363691"/>
    <w:rsid w:val="003655C3"/>
    <w:rsid w:val="003662C6"/>
    <w:rsid w:val="003814AC"/>
    <w:rsid w:val="00386245"/>
    <w:rsid w:val="003906B0"/>
    <w:rsid w:val="00391E6E"/>
    <w:rsid w:val="003A5FFB"/>
    <w:rsid w:val="003B10FD"/>
    <w:rsid w:val="003B2711"/>
    <w:rsid w:val="003B2BB8"/>
    <w:rsid w:val="003B3A10"/>
    <w:rsid w:val="003C5743"/>
    <w:rsid w:val="003D0A64"/>
    <w:rsid w:val="003D2755"/>
    <w:rsid w:val="003D2D61"/>
    <w:rsid w:val="003D34FF"/>
    <w:rsid w:val="003E0119"/>
    <w:rsid w:val="003E20BF"/>
    <w:rsid w:val="003E68A0"/>
    <w:rsid w:val="00402CB1"/>
    <w:rsid w:val="00405CC8"/>
    <w:rsid w:val="00413AE9"/>
    <w:rsid w:val="0041499F"/>
    <w:rsid w:val="004353AD"/>
    <w:rsid w:val="0046038B"/>
    <w:rsid w:val="004616EC"/>
    <w:rsid w:val="00464680"/>
    <w:rsid w:val="004653DA"/>
    <w:rsid w:val="00472096"/>
    <w:rsid w:val="004728CB"/>
    <w:rsid w:val="00475A6C"/>
    <w:rsid w:val="00476806"/>
    <w:rsid w:val="00480396"/>
    <w:rsid w:val="004852E2"/>
    <w:rsid w:val="00494397"/>
    <w:rsid w:val="004977B1"/>
    <w:rsid w:val="004A2A7D"/>
    <w:rsid w:val="004A5BF8"/>
    <w:rsid w:val="004B54CA"/>
    <w:rsid w:val="004B7B19"/>
    <w:rsid w:val="004D4513"/>
    <w:rsid w:val="004D5F58"/>
    <w:rsid w:val="004E5CBF"/>
    <w:rsid w:val="004E6A05"/>
    <w:rsid w:val="004E7D4C"/>
    <w:rsid w:val="00505A7E"/>
    <w:rsid w:val="00506700"/>
    <w:rsid w:val="00515024"/>
    <w:rsid w:val="00524011"/>
    <w:rsid w:val="00530FD4"/>
    <w:rsid w:val="005355CA"/>
    <w:rsid w:val="00547AB5"/>
    <w:rsid w:val="005737BC"/>
    <w:rsid w:val="00576B9F"/>
    <w:rsid w:val="00582F01"/>
    <w:rsid w:val="005846ED"/>
    <w:rsid w:val="00586820"/>
    <w:rsid w:val="00590B32"/>
    <w:rsid w:val="00592FF7"/>
    <w:rsid w:val="0059355C"/>
    <w:rsid w:val="005A3458"/>
    <w:rsid w:val="005B0913"/>
    <w:rsid w:val="005B438B"/>
    <w:rsid w:val="005C38AB"/>
    <w:rsid w:val="005C3AA9"/>
    <w:rsid w:val="005C4F74"/>
    <w:rsid w:val="005D71B3"/>
    <w:rsid w:val="005D7578"/>
    <w:rsid w:val="005D75FF"/>
    <w:rsid w:val="005E6FE7"/>
    <w:rsid w:val="005E7151"/>
    <w:rsid w:val="00600E5F"/>
    <w:rsid w:val="00606C37"/>
    <w:rsid w:val="00610ECD"/>
    <w:rsid w:val="00621ABB"/>
    <w:rsid w:val="00626CEC"/>
    <w:rsid w:val="00627DC4"/>
    <w:rsid w:val="006311DE"/>
    <w:rsid w:val="00646739"/>
    <w:rsid w:val="0065066D"/>
    <w:rsid w:val="00662F79"/>
    <w:rsid w:val="00665683"/>
    <w:rsid w:val="00674420"/>
    <w:rsid w:val="00696D8A"/>
    <w:rsid w:val="00697AF2"/>
    <w:rsid w:val="006A4CE7"/>
    <w:rsid w:val="006D04C1"/>
    <w:rsid w:val="006D1194"/>
    <w:rsid w:val="006E122F"/>
    <w:rsid w:val="006E4FAB"/>
    <w:rsid w:val="007162BA"/>
    <w:rsid w:val="007170D5"/>
    <w:rsid w:val="007270E8"/>
    <w:rsid w:val="00743CEB"/>
    <w:rsid w:val="00746131"/>
    <w:rsid w:val="00747397"/>
    <w:rsid w:val="00751C5F"/>
    <w:rsid w:val="007547E0"/>
    <w:rsid w:val="00765FC5"/>
    <w:rsid w:val="00766B4E"/>
    <w:rsid w:val="007735F8"/>
    <w:rsid w:val="00780A45"/>
    <w:rsid w:val="00785261"/>
    <w:rsid w:val="007A1ED7"/>
    <w:rsid w:val="007A606A"/>
    <w:rsid w:val="007B0256"/>
    <w:rsid w:val="007B3CFA"/>
    <w:rsid w:val="007C28E7"/>
    <w:rsid w:val="007C4428"/>
    <w:rsid w:val="007E4155"/>
    <w:rsid w:val="007E582D"/>
    <w:rsid w:val="007F1ED7"/>
    <w:rsid w:val="007F6960"/>
    <w:rsid w:val="00802A4A"/>
    <w:rsid w:val="008041E9"/>
    <w:rsid w:val="00806440"/>
    <w:rsid w:val="00814A2C"/>
    <w:rsid w:val="0081612D"/>
    <w:rsid w:val="008329B8"/>
    <w:rsid w:val="0084099D"/>
    <w:rsid w:val="00851C8E"/>
    <w:rsid w:val="0085573E"/>
    <w:rsid w:val="0086115E"/>
    <w:rsid w:val="008615D2"/>
    <w:rsid w:val="00870DC8"/>
    <w:rsid w:val="00873ACC"/>
    <w:rsid w:val="0087472A"/>
    <w:rsid w:val="00891050"/>
    <w:rsid w:val="00893370"/>
    <w:rsid w:val="008A5F8B"/>
    <w:rsid w:val="008A6B82"/>
    <w:rsid w:val="008B52A1"/>
    <w:rsid w:val="008C74C9"/>
    <w:rsid w:val="008D1299"/>
    <w:rsid w:val="008E6256"/>
    <w:rsid w:val="008E63D6"/>
    <w:rsid w:val="008E7B9D"/>
    <w:rsid w:val="008F0DCE"/>
    <w:rsid w:val="008F58AB"/>
    <w:rsid w:val="0090432F"/>
    <w:rsid w:val="00906CD6"/>
    <w:rsid w:val="00911ED2"/>
    <w:rsid w:val="00914278"/>
    <w:rsid w:val="009152F7"/>
    <w:rsid w:val="00920744"/>
    <w:rsid w:val="009225F0"/>
    <w:rsid w:val="00927CAB"/>
    <w:rsid w:val="0093461F"/>
    <w:rsid w:val="00947574"/>
    <w:rsid w:val="00961AF3"/>
    <w:rsid w:val="009710C1"/>
    <w:rsid w:val="009717C8"/>
    <w:rsid w:val="0097408B"/>
    <w:rsid w:val="00975F51"/>
    <w:rsid w:val="009A172E"/>
    <w:rsid w:val="009A36F5"/>
    <w:rsid w:val="009A53EB"/>
    <w:rsid w:val="009D021F"/>
    <w:rsid w:val="009D3F0C"/>
    <w:rsid w:val="00A05805"/>
    <w:rsid w:val="00A15539"/>
    <w:rsid w:val="00A27DBA"/>
    <w:rsid w:val="00A33375"/>
    <w:rsid w:val="00A34B66"/>
    <w:rsid w:val="00A53DB1"/>
    <w:rsid w:val="00A74390"/>
    <w:rsid w:val="00A83AFE"/>
    <w:rsid w:val="00AA1DE4"/>
    <w:rsid w:val="00AA2016"/>
    <w:rsid w:val="00AB5367"/>
    <w:rsid w:val="00AB5C9F"/>
    <w:rsid w:val="00AD3A26"/>
    <w:rsid w:val="00AD789F"/>
    <w:rsid w:val="00AF5D08"/>
    <w:rsid w:val="00B24B56"/>
    <w:rsid w:val="00B35FDE"/>
    <w:rsid w:val="00B365E6"/>
    <w:rsid w:val="00B37F98"/>
    <w:rsid w:val="00B4190B"/>
    <w:rsid w:val="00B624A0"/>
    <w:rsid w:val="00B6367B"/>
    <w:rsid w:val="00B64313"/>
    <w:rsid w:val="00B65C55"/>
    <w:rsid w:val="00B77FF9"/>
    <w:rsid w:val="00B85B4E"/>
    <w:rsid w:val="00B91FB3"/>
    <w:rsid w:val="00B96D32"/>
    <w:rsid w:val="00BA1E0F"/>
    <w:rsid w:val="00BA27C4"/>
    <w:rsid w:val="00BA2DB9"/>
    <w:rsid w:val="00BA420B"/>
    <w:rsid w:val="00BA57F3"/>
    <w:rsid w:val="00BB538D"/>
    <w:rsid w:val="00BD5C0D"/>
    <w:rsid w:val="00BE5FB6"/>
    <w:rsid w:val="00BE6B23"/>
    <w:rsid w:val="00BE7148"/>
    <w:rsid w:val="00BF1562"/>
    <w:rsid w:val="00BF4F4C"/>
    <w:rsid w:val="00C0078E"/>
    <w:rsid w:val="00C03BF2"/>
    <w:rsid w:val="00C12858"/>
    <w:rsid w:val="00C20B99"/>
    <w:rsid w:val="00C23E1D"/>
    <w:rsid w:val="00C30D61"/>
    <w:rsid w:val="00C31CAE"/>
    <w:rsid w:val="00C44630"/>
    <w:rsid w:val="00C466A8"/>
    <w:rsid w:val="00C620F4"/>
    <w:rsid w:val="00C70889"/>
    <w:rsid w:val="00C7489B"/>
    <w:rsid w:val="00C77DCD"/>
    <w:rsid w:val="00C87A3B"/>
    <w:rsid w:val="00C94CAC"/>
    <w:rsid w:val="00CA2090"/>
    <w:rsid w:val="00CA6A4E"/>
    <w:rsid w:val="00CB689A"/>
    <w:rsid w:val="00CC0524"/>
    <w:rsid w:val="00CC15F9"/>
    <w:rsid w:val="00CC6CEC"/>
    <w:rsid w:val="00CC7F75"/>
    <w:rsid w:val="00CF454F"/>
    <w:rsid w:val="00CF4792"/>
    <w:rsid w:val="00D05019"/>
    <w:rsid w:val="00D05E42"/>
    <w:rsid w:val="00D16AD5"/>
    <w:rsid w:val="00D204ED"/>
    <w:rsid w:val="00D232F0"/>
    <w:rsid w:val="00D31AE0"/>
    <w:rsid w:val="00D322AE"/>
    <w:rsid w:val="00D32B6E"/>
    <w:rsid w:val="00D33E44"/>
    <w:rsid w:val="00D34E2D"/>
    <w:rsid w:val="00D463BD"/>
    <w:rsid w:val="00D53DE2"/>
    <w:rsid w:val="00D6062C"/>
    <w:rsid w:val="00D63CB2"/>
    <w:rsid w:val="00D6436F"/>
    <w:rsid w:val="00D66DA6"/>
    <w:rsid w:val="00D7401A"/>
    <w:rsid w:val="00D749CD"/>
    <w:rsid w:val="00D766CE"/>
    <w:rsid w:val="00D766FD"/>
    <w:rsid w:val="00D910CD"/>
    <w:rsid w:val="00D930B0"/>
    <w:rsid w:val="00DA0140"/>
    <w:rsid w:val="00DA24FA"/>
    <w:rsid w:val="00DD12F2"/>
    <w:rsid w:val="00DE27FC"/>
    <w:rsid w:val="00DE6F1F"/>
    <w:rsid w:val="00DF1EAD"/>
    <w:rsid w:val="00E14B1A"/>
    <w:rsid w:val="00E17341"/>
    <w:rsid w:val="00E211CA"/>
    <w:rsid w:val="00E30102"/>
    <w:rsid w:val="00E425E3"/>
    <w:rsid w:val="00E46229"/>
    <w:rsid w:val="00E514FD"/>
    <w:rsid w:val="00E5687F"/>
    <w:rsid w:val="00E669D8"/>
    <w:rsid w:val="00E75F2F"/>
    <w:rsid w:val="00E8607B"/>
    <w:rsid w:val="00E86F1B"/>
    <w:rsid w:val="00E919BB"/>
    <w:rsid w:val="00E93312"/>
    <w:rsid w:val="00EA0EAA"/>
    <w:rsid w:val="00EA766C"/>
    <w:rsid w:val="00EB3037"/>
    <w:rsid w:val="00EB6ACC"/>
    <w:rsid w:val="00EB6FE4"/>
    <w:rsid w:val="00EC0542"/>
    <w:rsid w:val="00ED0A72"/>
    <w:rsid w:val="00ED3733"/>
    <w:rsid w:val="00EE5508"/>
    <w:rsid w:val="00F06A12"/>
    <w:rsid w:val="00F179E5"/>
    <w:rsid w:val="00F27307"/>
    <w:rsid w:val="00F27FD4"/>
    <w:rsid w:val="00F46B56"/>
    <w:rsid w:val="00F513F4"/>
    <w:rsid w:val="00F52ABD"/>
    <w:rsid w:val="00F60890"/>
    <w:rsid w:val="00F61E0B"/>
    <w:rsid w:val="00F652C9"/>
    <w:rsid w:val="00F866C7"/>
    <w:rsid w:val="00F90E30"/>
    <w:rsid w:val="00FB18E4"/>
    <w:rsid w:val="00FB4BE6"/>
    <w:rsid w:val="00FC3671"/>
    <w:rsid w:val="00FD467E"/>
    <w:rsid w:val="00FF42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AU"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3" w:unhideWhenUsed="1"/>
    <w:lsdException w:name="index 2" w:semiHidden="1" w:uiPriority="3" w:unhideWhenUsed="1"/>
    <w:lsdException w:name="index 3" w:semiHidden="1" w:uiPriority="3" w:unhideWhenUsed="1"/>
    <w:lsdException w:name="index 4" w:semiHidden="1" w:uiPriority="3" w:unhideWhenUsed="1"/>
    <w:lsdException w:name="index 5" w:semiHidden="1" w:uiPriority="3" w:unhideWhenUsed="1"/>
    <w:lsdException w:name="index 6" w:semiHidden="1" w:uiPriority="3" w:unhideWhenUsed="1"/>
    <w:lsdException w:name="index 7" w:semiHidden="1" w:uiPriority="3" w:unhideWhenUsed="1"/>
    <w:lsdException w:name="index 8" w:semiHidden="1" w:uiPriority="3" w:unhideWhenUsed="1"/>
    <w:lsdException w:name="index 9" w:semiHidden="1" w:uiPriority="3" w:unhideWhenUsed="1"/>
    <w:lsdException w:name="toc 1" w:semiHidden="1" w:uiPriority="39" w:unhideWhenUsed="1"/>
    <w:lsdException w:name="toc 2" w:semiHidden="1" w:uiPriority="39" w:unhideWhenUsed="1"/>
    <w:lsdException w:name="toc 3" w:semiHidden="1" w:uiPriority="39" w:unhideWhenUsed="1"/>
    <w:lsdException w:name="toc 4" w:semiHidden="1" w:uiPriority="3" w:unhideWhenUsed="1"/>
    <w:lsdException w:name="toc 5" w:semiHidden="1" w:uiPriority="3" w:unhideWhenUsed="1"/>
    <w:lsdException w:name="toc 6" w:semiHidden="1" w:uiPriority="3" w:unhideWhenUsed="1"/>
    <w:lsdException w:name="toc 7" w:semiHidden="1" w:uiPriority="3" w:unhideWhenUsed="1"/>
    <w:lsdException w:name="toc 8" w:semiHidden="1" w:uiPriority="3" w:unhideWhenUsed="1"/>
    <w:lsdException w:name="toc 9" w:semiHidden="1" w:uiPriority="3" w:unhideWhenUsed="1"/>
    <w:lsdException w:name="Normal Indent" w:semiHidden="1" w:uiPriority="2" w:unhideWhenUsed="1"/>
    <w:lsdException w:name="footnote text" w:semiHidden="1" w:uiPriority="2" w:unhideWhenUsed="1"/>
    <w:lsdException w:name="annotation text" w:semiHidden="1" w:unhideWhenUsed="1"/>
    <w:lsdException w:name="header" w:semiHidden="1" w:uiPriority="2" w:unhideWhenUsed="1"/>
    <w:lsdException w:name="footer" w:semiHidden="1" w:uiPriority="99" w:unhideWhenUsed="1"/>
    <w:lsdException w:name="index heading" w:semiHidden="1" w:uiPriority="3" w:unhideWhenUsed="1"/>
    <w:lsdException w:name="caption" w:semiHidden="1" w:unhideWhenUsed="1" w:qFormat="1"/>
    <w:lsdException w:name="table of figures" w:semiHidden="1"/>
    <w:lsdException w:name="envelope address" w:semiHidden="1" w:uiPriority="2" w:unhideWhenUsed="1"/>
    <w:lsdException w:name="envelope return" w:semiHidden="1" w:uiPriority="2" w:unhideWhenUsed="1"/>
    <w:lsdException w:name="footnote reference" w:semiHidden="1" w:uiPriority="2" w:unhideWhenUsed="1"/>
    <w:lsdException w:name="annotation reference" w:semiHidden="1" w:unhideWhenUsed="1"/>
    <w:lsdException w:name="line number" w:semiHidden="1" w:uiPriority="3" w:unhideWhenUsed="1"/>
    <w:lsdException w:name="page number" w:semiHidden="1" w:unhideWhenUsed="1"/>
    <w:lsdException w:name="endnote reference" w:semiHidden="1" w:uiPriority="2" w:unhideWhenUsed="1"/>
    <w:lsdException w:name="endnote text" w:semiHidden="1" w:uiPriority="2" w:unhideWhenUsed="1"/>
    <w:lsdException w:name="table of authorities" w:semiHidden="1"/>
    <w:lsdException w:name="macro" w:semiHidden="1" w:uiPriority="3" w:unhideWhenUsed="1"/>
    <w:lsdException w:name="toa heading" w:semiHidden="1" w:unhideWhenUsed="1"/>
    <w:lsdException w:name="List" w:semiHidden="1" w:uiPriority="3" w:unhideWhenUsed="1"/>
    <w:lsdException w:name="List Bullet" w:semiHidden="1" w:uiPriority="3" w:unhideWhenUsed="1"/>
    <w:lsdException w:name="List Number" w:semiHidden="1" w:uiPriority="3" w:unhideWhenUsed="1"/>
    <w:lsdException w:name="List 2" w:semiHidden="1" w:uiPriority="3" w:unhideWhenUsed="1"/>
    <w:lsdException w:name="List 3" w:semiHidden="1" w:uiPriority="3" w:unhideWhenUsed="1"/>
    <w:lsdException w:name="List 4" w:semiHidden="1" w:uiPriority="3" w:unhideWhenUsed="1"/>
    <w:lsdException w:name="List 5" w:semiHidden="1" w:uiPriority="3" w:unhideWhenUsed="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3" w:unhideWhenUsed="1"/>
    <w:lsdException w:name="List Continue 2" w:semiHidden="1" w:uiPriority="3" w:unhideWhenUsed="1"/>
    <w:lsdException w:name="List Continue 3" w:semiHidden="1" w:uiPriority="3" w:unhideWhenUsed="1"/>
    <w:lsdException w:name="List Continue 4" w:semiHidden="1" w:uiPriority="3" w:unhideWhenUsed="1"/>
    <w:lsdException w:name="List Continue 5" w:semiHidden="1" w:uiPriority="3" w:unhideWhenUsed="1"/>
    <w:lsdException w:name="Message Header" w:semiHidden="1" w:uiPriority="3"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2"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3" w:unhideWhenUsed="1"/>
    <w:lsdException w:name="HTML Cite" w:semiHidden="1" w:uiPriority="99" w:unhideWhenUsed="1"/>
    <w:lsdException w:name="HTML Code" w:semiHidden="1" w:uiPriority="3" w:unhideWhenUsed="1"/>
    <w:lsdException w:name="HTML Definition" w:semiHidden="1" w:uiPriority="3" w:unhideWhenUsed="1"/>
    <w:lsdException w:name="HTML Keyboard" w:semiHidden="1" w:uiPriority="3" w:unhideWhenUsed="1"/>
    <w:lsdException w:name="HTML Preformatted" w:semiHidden="1" w:uiPriority="3" w:unhideWhenUsed="1"/>
    <w:lsdException w:name="HTML Sample" w:semiHidden="1" w:uiPriority="3" w:unhideWhenUsed="1"/>
    <w:lsdException w:name="HTML Typewriter" w:semiHidden="1" w:uiPriority="3" w:unhideWhenUsed="1"/>
    <w:lsdException w:name="HTML Variable" w:semiHidden="1" w:uiPriority="3" w:unhideWhenUsed="1"/>
    <w:lsdException w:name="Normal Table" w:semiHidden="1" w:uiPriority="99" w:unhideWhenUsed="1"/>
    <w:lsdException w:name="annotation subject" w:semiHidden="1" w:unhideWhenUsed="1"/>
    <w:lsdException w:name="No List" w:semiHidden="1" w:uiPriority="99" w:unhideWhenUsed="1"/>
    <w:lsdException w:name="Balloon Text" w:semiHidden="1" w:unhideWhenUsed="1"/>
    <w:lsdException w:name="Placeholder Text" w:semiHidden="1" w:unhideWhenUsed="1"/>
    <w:lsdException w:name="No Spacing" w:qFormat="1"/>
    <w:lsdException w:name="Revision" w:semiHidden="1" w:uiPriority="99"/>
    <w:lsdException w:name="List Paragraph" w:uiPriority="3" w:qFormat="1"/>
    <w:lsdException w:name="Quote" w:uiPriority="2" w:qFormat="1"/>
    <w:lsdException w:name="Intense Quote" w:uiPriority="10" w:qFormat="1"/>
    <w:lsdException w:name="Subtle Emphasis" w:uiPriority="3" w:qFormat="1"/>
    <w:lsdException w:name="Intense Emphasis" w:uiPriority="10" w:qFormat="1"/>
    <w:lsdException w:name="Subtle Reference" w:uiPriority="4" w:qFormat="1"/>
    <w:lsdException w:name="Intense Reference" w:uiPriority="10" w:qFormat="1"/>
    <w:lsdException w:name="Book Title" w:uiPriority="3" w:qFormat="1"/>
    <w:lsdException w:name="Bibliography" w:semiHidden="1" w:unhideWhenUsed="1"/>
    <w:lsdException w:name="TOC Heading" w:semiHidden="1" w:uiPriority="39" w:unhideWhenUsed="1" w:qFormat="1"/>
  </w:latentStyles>
  <w:style w:type="paragraph" w:default="1" w:styleId="Normal">
    <w:name w:val="Normal"/>
    <w:qFormat/>
    <w:rsid w:val="003906B0"/>
    <w:pPr>
      <w:spacing w:after="240"/>
    </w:pPr>
    <w:rPr>
      <w:rFonts w:asciiTheme="minorHAnsi" w:hAnsiTheme="minorHAnsi" w:cstheme="minorBidi"/>
      <w:sz w:val="24"/>
      <w:szCs w:val="22"/>
    </w:rPr>
  </w:style>
  <w:style w:type="paragraph" w:styleId="Heading1">
    <w:name w:val="heading 1"/>
    <w:basedOn w:val="Normal"/>
    <w:next w:val="Normal"/>
    <w:link w:val="Heading1Char"/>
    <w:uiPriority w:val="1"/>
    <w:qFormat/>
    <w:rsid w:val="00EB6ACC"/>
    <w:pPr>
      <w:keepNext/>
      <w:spacing w:before="4000" w:after="120"/>
      <w:jc w:val="center"/>
      <w:outlineLvl w:val="0"/>
    </w:pPr>
    <w:rPr>
      <w:rFonts w:eastAsiaTheme="majorEastAsia" w:cstheme="majorBidi"/>
      <w:b/>
      <w:bCs/>
      <w:kern w:val="32"/>
      <w:sz w:val="56"/>
      <w:szCs w:val="52"/>
    </w:rPr>
  </w:style>
  <w:style w:type="paragraph" w:styleId="Heading2">
    <w:name w:val="heading 2"/>
    <w:basedOn w:val="Normal"/>
    <w:next w:val="Normal"/>
    <w:link w:val="Heading2Char"/>
    <w:uiPriority w:val="1"/>
    <w:qFormat/>
    <w:rsid w:val="002A1335"/>
    <w:pPr>
      <w:keepNext/>
      <w:keepLines/>
      <w:spacing w:before="240" w:after="18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1"/>
    <w:qFormat/>
    <w:rsid w:val="008329B8"/>
    <w:pPr>
      <w:keepNext/>
      <w:keepLines/>
      <w:spacing w:before="240" w:after="120"/>
      <w:outlineLvl w:val="2"/>
    </w:pPr>
    <w:rPr>
      <w:rFonts w:ascii="Calibri" w:eastAsiaTheme="majorEastAsia" w:hAnsi="Calibri" w:cstheme="majorBidi"/>
      <w:b/>
      <w:bCs/>
      <w:i/>
      <w:sz w:val="26"/>
      <w:szCs w:val="20"/>
    </w:rPr>
  </w:style>
  <w:style w:type="paragraph" w:styleId="Heading4">
    <w:name w:val="heading 4"/>
    <w:basedOn w:val="Normal"/>
    <w:next w:val="Normal"/>
    <w:link w:val="Heading4Char"/>
    <w:uiPriority w:val="1"/>
    <w:unhideWhenUsed/>
    <w:qFormat/>
    <w:rsid w:val="003D0A64"/>
    <w:pPr>
      <w:keepNext/>
      <w:keepLines/>
      <w:spacing w:before="240" w:after="120"/>
      <w:outlineLvl w:val="3"/>
    </w:pPr>
    <w:rPr>
      <w:rFonts w:ascii="Calibri" w:eastAsiaTheme="majorEastAsia" w:hAnsi="Calibri" w:cstheme="majorBidi"/>
      <w:b/>
      <w:bCs/>
      <w:iCs/>
      <w:color w:val="404040" w:themeColor="text1" w:themeTint="BF"/>
      <w:szCs w:val="20"/>
    </w:rPr>
  </w:style>
  <w:style w:type="paragraph" w:styleId="Heading5">
    <w:name w:val="heading 5"/>
    <w:basedOn w:val="Normal"/>
    <w:next w:val="Normal"/>
    <w:link w:val="Heading5Char"/>
    <w:uiPriority w:val="1"/>
    <w:semiHidden/>
    <w:unhideWhenUsed/>
    <w:qFormat/>
    <w:rsid w:val="002A1335"/>
    <w:pPr>
      <w:spacing w:before="240" w:after="60"/>
      <w:outlineLvl w:val="4"/>
    </w:pPr>
    <w:rPr>
      <w:rFonts w:eastAsiaTheme="minorEastAsia"/>
      <w:b/>
      <w:bCs/>
      <w:i/>
      <w:iCs/>
      <w:sz w:val="26"/>
      <w:szCs w:val="26"/>
    </w:rPr>
  </w:style>
  <w:style w:type="paragraph" w:styleId="Heading6">
    <w:name w:val="heading 6"/>
    <w:basedOn w:val="Normal"/>
    <w:next w:val="Normal"/>
    <w:link w:val="Heading6Char"/>
    <w:uiPriority w:val="1"/>
    <w:semiHidden/>
    <w:unhideWhenUsed/>
    <w:qFormat/>
    <w:rsid w:val="002A1335"/>
    <w:pPr>
      <w:spacing w:before="240" w:after="60"/>
      <w:outlineLvl w:val="5"/>
    </w:pPr>
    <w:rPr>
      <w:rFonts w:eastAsiaTheme="minorEastAsia"/>
      <w:b/>
      <w:bCs/>
      <w:sz w:val="22"/>
    </w:rPr>
  </w:style>
  <w:style w:type="paragraph" w:styleId="Heading7">
    <w:name w:val="heading 7"/>
    <w:basedOn w:val="Normal"/>
    <w:next w:val="Normal"/>
    <w:link w:val="Heading7Char"/>
    <w:semiHidden/>
    <w:unhideWhenUsed/>
    <w:qFormat/>
    <w:rsid w:val="002A1335"/>
    <w:pPr>
      <w:spacing w:before="240" w:after="60"/>
      <w:outlineLvl w:val="6"/>
    </w:pPr>
    <w:rPr>
      <w:rFonts w:eastAsiaTheme="minorEastAsia"/>
    </w:rPr>
  </w:style>
  <w:style w:type="paragraph" w:styleId="Heading8">
    <w:name w:val="heading 8"/>
    <w:basedOn w:val="Normal"/>
    <w:next w:val="Normal"/>
    <w:link w:val="Heading8Char"/>
    <w:semiHidden/>
    <w:unhideWhenUsed/>
    <w:qFormat/>
    <w:rsid w:val="002A1335"/>
    <w:pPr>
      <w:spacing w:before="240" w:after="60"/>
      <w:outlineLvl w:val="7"/>
    </w:pPr>
    <w:rPr>
      <w:rFonts w:eastAsiaTheme="minorEastAsia"/>
      <w:i/>
      <w:iCs/>
    </w:rPr>
  </w:style>
  <w:style w:type="paragraph" w:styleId="Heading9">
    <w:name w:val="heading 9"/>
    <w:basedOn w:val="Normal"/>
    <w:next w:val="Normal"/>
    <w:link w:val="Heading9Char"/>
    <w:semiHidden/>
    <w:unhideWhenUsed/>
    <w:qFormat/>
    <w:rsid w:val="002A1335"/>
    <w:pPr>
      <w:spacing w:before="240" w:after="60"/>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B6ACC"/>
    <w:rPr>
      <w:rFonts w:asciiTheme="minorHAnsi" w:eastAsiaTheme="majorEastAsia" w:hAnsiTheme="minorHAnsi" w:cstheme="majorBidi"/>
      <w:b/>
      <w:bCs/>
      <w:kern w:val="32"/>
      <w:sz w:val="56"/>
      <w:szCs w:val="52"/>
    </w:rPr>
  </w:style>
  <w:style w:type="character" w:customStyle="1" w:styleId="Heading2Char">
    <w:name w:val="Heading 2 Char"/>
    <w:basedOn w:val="DefaultParagraphFont"/>
    <w:link w:val="Heading2"/>
    <w:uiPriority w:val="1"/>
    <w:rsid w:val="002A1335"/>
    <w:rPr>
      <w:rFonts w:ascii="Calibri" w:eastAsiaTheme="majorEastAsia" w:hAnsi="Calibri" w:cstheme="majorBidi"/>
      <w:b/>
      <w:bCs/>
      <w:sz w:val="28"/>
      <w:szCs w:val="26"/>
    </w:rPr>
  </w:style>
  <w:style w:type="paragraph" w:styleId="NoSpacing">
    <w:name w:val="No Spacing"/>
    <w:basedOn w:val="Normal"/>
    <w:link w:val="NoSpacingChar"/>
    <w:qFormat/>
    <w:rsid w:val="002A1335"/>
    <w:pPr>
      <w:spacing w:after="0"/>
    </w:pPr>
  </w:style>
  <w:style w:type="character" w:customStyle="1" w:styleId="Heading3Char">
    <w:name w:val="Heading 3 Char"/>
    <w:basedOn w:val="DefaultParagraphFont"/>
    <w:link w:val="Heading3"/>
    <w:uiPriority w:val="1"/>
    <w:rsid w:val="008329B8"/>
    <w:rPr>
      <w:rFonts w:ascii="Calibri" w:eastAsiaTheme="majorEastAsia" w:hAnsi="Calibri" w:cstheme="majorBidi"/>
      <w:b/>
      <w:bCs/>
      <w:i/>
      <w:sz w:val="26"/>
    </w:rPr>
  </w:style>
  <w:style w:type="character" w:customStyle="1" w:styleId="Heading4Char">
    <w:name w:val="Heading 4 Char"/>
    <w:basedOn w:val="DefaultParagraphFont"/>
    <w:link w:val="Heading4"/>
    <w:uiPriority w:val="1"/>
    <w:rsid w:val="003D0A64"/>
    <w:rPr>
      <w:rFonts w:ascii="Calibri" w:eastAsiaTheme="majorEastAsia" w:hAnsi="Calibri" w:cstheme="majorBidi"/>
      <w:b/>
      <w:bCs/>
      <w:iCs/>
      <w:color w:val="404040" w:themeColor="text1" w:themeTint="BF"/>
      <w:sz w:val="24"/>
    </w:rPr>
  </w:style>
  <w:style w:type="character" w:customStyle="1" w:styleId="Heading5Char">
    <w:name w:val="Heading 5 Char"/>
    <w:basedOn w:val="DefaultParagraphFont"/>
    <w:link w:val="Heading5"/>
    <w:uiPriority w:val="1"/>
    <w:semiHidden/>
    <w:rsid w:val="002A133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1"/>
    <w:semiHidden/>
    <w:rsid w:val="002A1335"/>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2A1335"/>
    <w:rPr>
      <w:rFonts w:asciiTheme="minorHAnsi" w:eastAsiaTheme="minorEastAsia" w:hAnsiTheme="minorHAnsi" w:cstheme="minorBidi"/>
      <w:sz w:val="24"/>
      <w:szCs w:val="22"/>
    </w:rPr>
  </w:style>
  <w:style w:type="character" w:customStyle="1" w:styleId="Heading8Char">
    <w:name w:val="Heading 8 Char"/>
    <w:basedOn w:val="DefaultParagraphFont"/>
    <w:link w:val="Heading8"/>
    <w:semiHidden/>
    <w:rsid w:val="002A1335"/>
    <w:rPr>
      <w:rFonts w:asciiTheme="minorHAnsi" w:eastAsiaTheme="minorEastAsia" w:hAnsiTheme="minorHAnsi" w:cstheme="minorBidi"/>
      <w:i/>
      <w:iCs/>
      <w:sz w:val="24"/>
      <w:szCs w:val="22"/>
    </w:rPr>
  </w:style>
  <w:style w:type="character" w:customStyle="1" w:styleId="Heading9Char">
    <w:name w:val="Heading 9 Char"/>
    <w:basedOn w:val="DefaultParagraphFont"/>
    <w:link w:val="Heading9"/>
    <w:semiHidden/>
    <w:rsid w:val="002A1335"/>
    <w:rPr>
      <w:rFonts w:asciiTheme="majorHAnsi" w:eastAsiaTheme="majorEastAsia" w:hAnsiTheme="majorHAnsi" w:cstheme="majorBidi"/>
      <w:sz w:val="22"/>
      <w:szCs w:val="22"/>
    </w:rPr>
  </w:style>
  <w:style w:type="paragraph" w:styleId="Title">
    <w:name w:val="Title"/>
    <w:basedOn w:val="Normal"/>
    <w:next w:val="Normal"/>
    <w:link w:val="TitleChar"/>
    <w:uiPriority w:val="3"/>
    <w:unhideWhenUsed/>
    <w:qFormat/>
    <w:rsid w:val="002A133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3"/>
    <w:rsid w:val="002A1335"/>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4"/>
    <w:qFormat/>
    <w:rsid w:val="002A1335"/>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4"/>
    <w:rsid w:val="002A1335"/>
    <w:rPr>
      <w:rFonts w:asciiTheme="majorHAnsi" w:eastAsiaTheme="majorEastAsia" w:hAnsiTheme="majorHAnsi" w:cstheme="majorBidi"/>
      <w:sz w:val="24"/>
      <w:szCs w:val="22"/>
    </w:rPr>
  </w:style>
  <w:style w:type="character" w:styleId="SubtleEmphasis">
    <w:name w:val="Subtle Emphasis"/>
    <w:uiPriority w:val="3"/>
    <w:unhideWhenUsed/>
    <w:qFormat/>
    <w:rsid w:val="002A1335"/>
    <w:rPr>
      <w:i/>
      <w:iCs/>
      <w:color w:val="808080" w:themeColor="text1" w:themeTint="7F"/>
    </w:rPr>
  </w:style>
  <w:style w:type="character" w:styleId="Strong">
    <w:name w:val="Strong"/>
    <w:uiPriority w:val="3"/>
    <w:unhideWhenUsed/>
    <w:qFormat/>
    <w:rsid w:val="002A1335"/>
    <w:rPr>
      <w:b/>
      <w:bCs/>
    </w:rPr>
  </w:style>
  <w:style w:type="paragraph" w:styleId="ListParagraph">
    <w:name w:val="List Paragraph"/>
    <w:basedOn w:val="Normal"/>
    <w:uiPriority w:val="3"/>
    <w:unhideWhenUsed/>
    <w:qFormat/>
    <w:rsid w:val="002A1335"/>
    <w:pPr>
      <w:ind w:left="720"/>
    </w:pPr>
  </w:style>
  <w:style w:type="character" w:styleId="Emphasis">
    <w:name w:val="Emphasis"/>
    <w:uiPriority w:val="20"/>
    <w:unhideWhenUsed/>
    <w:qFormat/>
    <w:rsid w:val="002A1335"/>
    <w:rPr>
      <w:i/>
      <w:iCs/>
    </w:rPr>
  </w:style>
  <w:style w:type="character" w:styleId="IntenseEmphasis">
    <w:name w:val="Intense Emphasis"/>
    <w:uiPriority w:val="10"/>
    <w:unhideWhenUsed/>
    <w:qFormat/>
    <w:rsid w:val="002A1335"/>
    <w:rPr>
      <w:b/>
      <w:bCs/>
      <w:i/>
      <w:iCs/>
      <w:color w:val="4F81BD" w:themeColor="accent1"/>
    </w:rPr>
  </w:style>
  <w:style w:type="paragraph" w:styleId="Quote">
    <w:name w:val="Quote"/>
    <w:basedOn w:val="Normal"/>
    <w:next w:val="Normal"/>
    <w:link w:val="QuoteChar"/>
    <w:uiPriority w:val="2"/>
    <w:unhideWhenUsed/>
    <w:qFormat/>
    <w:rsid w:val="002A1335"/>
    <w:pPr>
      <w:ind w:left="720" w:hanging="720"/>
    </w:pPr>
    <w:rPr>
      <w:iCs/>
    </w:rPr>
  </w:style>
  <w:style w:type="character" w:customStyle="1" w:styleId="QuoteChar">
    <w:name w:val="Quote Char"/>
    <w:basedOn w:val="DefaultParagraphFont"/>
    <w:link w:val="Quote"/>
    <w:uiPriority w:val="2"/>
    <w:rsid w:val="002A1335"/>
    <w:rPr>
      <w:rFonts w:asciiTheme="minorHAnsi" w:hAnsiTheme="minorHAnsi" w:cstheme="minorBidi"/>
      <w:iCs/>
      <w:sz w:val="24"/>
      <w:szCs w:val="22"/>
    </w:rPr>
  </w:style>
  <w:style w:type="paragraph" w:styleId="IntenseQuote">
    <w:name w:val="Intense Quote"/>
    <w:basedOn w:val="Normal"/>
    <w:next w:val="Normal"/>
    <w:link w:val="IntenseQuoteChar"/>
    <w:uiPriority w:val="10"/>
    <w:unhideWhenUsed/>
    <w:qFormat/>
    <w:rsid w:val="002A133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10"/>
    <w:rsid w:val="002A1335"/>
    <w:rPr>
      <w:rFonts w:asciiTheme="minorHAnsi" w:hAnsiTheme="minorHAnsi" w:cstheme="minorBidi"/>
      <w:b/>
      <w:bCs/>
      <w:i/>
      <w:iCs/>
      <w:color w:val="4F81BD" w:themeColor="accent1"/>
      <w:sz w:val="24"/>
      <w:szCs w:val="22"/>
    </w:rPr>
  </w:style>
  <w:style w:type="character" w:styleId="SubtleReference">
    <w:name w:val="Subtle Reference"/>
    <w:uiPriority w:val="4"/>
    <w:unhideWhenUsed/>
    <w:qFormat/>
    <w:rsid w:val="002A1335"/>
    <w:rPr>
      <w:smallCaps/>
      <w:color w:val="C0504D" w:themeColor="accent2"/>
      <w:u w:val="single"/>
    </w:rPr>
  </w:style>
  <w:style w:type="character" w:styleId="IntenseReference">
    <w:name w:val="Intense Reference"/>
    <w:uiPriority w:val="10"/>
    <w:unhideWhenUsed/>
    <w:qFormat/>
    <w:rsid w:val="002A1335"/>
    <w:rPr>
      <w:b/>
      <w:bCs/>
      <w:smallCaps/>
      <w:color w:val="C0504D" w:themeColor="accent2"/>
      <w:spacing w:val="5"/>
      <w:u w:val="single"/>
    </w:rPr>
  </w:style>
  <w:style w:type="character" w:styleId="BookTitle">
    <w:name w:val="Book Title"/>
    <w:uiPriority w:val="3"/>
    <w:unhideWhenUsed/>
    <w:qFormat/>
    <w:rsid w:val="002A1335"/>
    <w:rPr>
      <w:b/>
      <w:bCs/>
      <w:smallCaps/>
      <w:spacing w:val="5"/>
    </w:rPr>
  </w:style>
  <w:style w:type="paragraph" w:styleId="Caption">
    <w:name w:val="caption"/>
    <w:basedOn w:val="Normal"/>
    <w:next w:val="Normal"/>
    <w:semiHidden/>
    <w:unhideWhenUsed/>
    <w:qFormat/>
    <w:rsid w:val="002A1335"/>
    <w:rPr>
      <w:b/>
      <w:bCs/>
      <w:sz w:val="20"/>
      <w:szCs w:val="20"/>
    </w:rPr>
  </w:style>
  <w:style w:type="paragraph" w:styleId="TOCHeading">
    <w:name w:val="TOC Heading"/>
    <w:basedOn w:val="Heading1"/>
    <w:next w:val="Normal"/>
    <w:uiPriority w:val="39"/>
    <w:semiHidden/>
    <w:unhideWhenUsed/>
    <w:qFormat/>
    <w:rsid w:val="002A1335"/>
    <w:pPr>
      <w:spacing w:after="60"/>
      <w:outlineLvl w:val="9"/>
    </w:pPr>
    <w:rPr>
      <w:rFonts w:asciiTheme="majorHAnsi" w:hAnsiTheme="majorHAnsi"/>
    </w:rPr>
  </w:style>
  <w:style w:type="character" w:customStyle="1" w:styleId="NoSpacingChar">
    <w:name w:val="No Spacing Char"/>
    <w:basedOn w:val="DefaultParagraphFont"/>
    <w:link w:val="NoSpacing"/>
    <w:rsid w:val="002A1335"/>
    <w:rPr>
      <w:rFonts w:asciiTheme="minorHAnsi" w:hAnsiTheme="minorHAnsi" w:cstheme="minorBidi"/>
      <w:sz w:val="24"/>
      <w:szCs w:val="22"/>
    </w:rPr>
  </w:style>
  <w:style w:type="paragraph" w:customStyle="1" w:styleId="BasicParagraph">
    <w:name w:val="[Basic Paragraph]"/>
    <w:basedOn w:val="Normal"/>
    <w:uiPriority w:val="99"/>
    <w:semiHidden/>
    <w:rsid w:val="002A1335"/>
    <w:pPr>
      <w:autoSpaceDE w:val="0"/>
      <w:autoSpaceDN w:val="0"/>
      <w:adjustRightInd w:val="0"/>
      <w:textAlignment w:val="center"/>
    </w:pPr>
    <w:rPr>
      <w:rFonts w:cs="MinionPro-Regular"/>
      <w:color w:val="000000"/>
    </w:rPr>
  </w:style>
  <w:style w:type="paragraph" w:styleId="Header">
    <w:name w:val="header"/>
    <w:basedOn w:val="Normal"/>
    <w:link w:val="HeaderChar"/>
    <w:uiPriority w:val="2"/>
    <w:unhideWhenUsed/>
    <w:rsid w:val="002A1335"/>
    <w:pPr>
      <w:tabs>
        <w:tab w:val="center" w:pos="4320"/>
        <w:tab w:val="right" w:pos="8640"/>
      </w:tabs>
    </w:pPr>
  </w:style>
  <w:style w:type="character" w:customStyle="1" w:styleId="HeaderChar">
    <w:name w:val="Header Char"/>
    <w:basedOn w:val="DefaultParagraphFont"/>
    <w:link w:val="Header"/>
    <w:uiPriority w:val="2"/>
    <w:rsid w:val="002A1335"/>
    <w:rPr>
      <w:rFonts w:asciiTheme="minorHAnsi" w:hAnsiTheme="minorHAnsi" w:cstheme="minorBidi"/>
      <w:sz w:val="24"/>
      <w:szCs w:val="22"/>
    </w:rPr>
  </w:style>
  <w:style w:type="paragraph" w:styleId="Footer">
    <w:name w:val="footer"/>
    <w:basedOn w:val="Normal"/>
    <w:link w:val="FooterChar"/>
    <w:uiPriority w:val="99"/>
    <w:rsid w:val="002A1335"/>
    <w:pPr>
      <w:tabs>
        <w:tab w:val="center" w:pos="4320"/>
        <w:tab w:val="right" w:pos="8640"/>
      </w:tabs>
    </w:pPr>
  </w:style>
  <w:style w:type="character" w:customStyle="1" w:styleId="FooterChar">
    <w:name w:val="Footer Char"/>
    <w:basedOn w:val="DefaultParagraphFont"/>
    <w:link w:val="Footer"/>
    <w:uiPriority w:val="99"/>
    <w:rsid w:val="002A1335"/>
    <w:rPr>
      <w:rFonts w:asciiTheme="minorHAnsi" w:hAnsiTheme="minorHAnsi" w:cstheme="minorBidi"/>
      <w:sz w:val="24"/>
      <w:szCs w:val="22"/>
    </w:rPr>
  </w:style>
  <w:style w:type="table" w:customStyle="1" w:styleId="NGRtable">
    <w:name w:val="NGR table"/>
    <w:basedOn w:val="TableNormal"/>
    <w:uiPriority w:val="99"/>
    <w:rsid w:val="002A1335"/>
    <w:rPr>
      <w:rFonts w:asciiTheme="minorHAnsi" w:hAnsiTheme="minorHAnsi" w:cstheme="minorBidi"/>
      <w:sz w:val="22"/>
      <w:szCs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Theme="minorHAnsi" w:hAnsiTheme="minorHAnsi"/>
        <w:b/>
        <w:color w:val="FFFFFF" w:themeColor="background1"/>
        <w:sz w:val="24"/>
      </w:rPr>
      <w:tblPr/>
      <w:tcPr>
        <w:shd w:val="clear" w:color="auto" w:fill="7F7F7F" w:themeFill="text1" w:themeFillTint="80"/>
      </w:tcPr>
    </w:tblStylePr>
    <w:tblStylePr w:type="band1Horz">
      <w:tblPr/>
      <w:tcPr>
        <w:shd w:val="clear" w:color="auto" w:fill="FDE9D9" w:themeFill="accent6" w:themeFillTint="33"/>
      </w:tcPr>
    </w:tblStylePr>
  </w:style>
  <w:style w:type="paragraph" w:customStyle="1" w:styleId="Default">
    <w:name w:val="Default"/>
    <w:rsid w:val="002A1335"/>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2A1335"/>
    <w:pPr>
      <w:spacing w:after="120"/>
    </w:pPr>
    <w:rPr>
      <w:rFonts w:ascii="Times New Roman" w:eastAsia="Times New Roman" w:hAnsi="Times New Roman" w:cs="Times New Roman"/>
      <w:szCs w:val="24"/>
      <w:lang w:eastAsia="en-AU"/>
    </w:rPr>
  </w:style>
  <w:style w:type="character" w:styleId="HTMLAcronym">
    <w:name w:val="HTML Acronym"/>
    <w:basedOn w:val="DefaultParagraphFont"/>
    <w:uiPriority w:val="99"/>
    <w:semiHidden/>
    <w:unhideWhenUsed/>
    <w:rsid w:val="002A1335"/>
  </w:style>
  <w:style w:type="character" w:styleId="HTMLCite">
    <w:name w:val="HTML Cite"/>
    <w:basedOn w:val="DefaultParagraphFont"/>
    <w:uiPriority w:val="99"/>
    <w:semiHidden/>
    <w:unhideWhenUsed/>
    <w:rsid w:val="002A1335"/>
    <w:rPr>
      <w:i/>
      <w:iCs/>
    </w:rPr>
  </w:style>
  <w:style w:type="paragraph" w:customStyle="1" w:styleId="subsection">
    <w:name w:val="subsection"/>
    <w:basedOn w:val="Normal"/>
    <w:rsid w:val="00BB538D"/>
    <w:pPr>
      <w:spacing w:before="100" w:beforeAutospacing="1" w:after="100" w:afterAutospacing="1"/>
    </w:pPr>
    <w:rPr>
      <w:rFonts w:ascii="Times New Roman" w:eastAsia="Times New Roman" w:hAnsi="Times New Roman" w:cs="Times New Roman"/>
      <w:szCs w:val="24"/>
      <w:lang w:eastAsia="en-AU"/>
    </w:rPr>
  </w:style>
  <w:style w:type="paragraph" w:customStyle="1" w:styleId="definition">
    <w:name w:val="definition"/>
    <w:basedOn w:val="Normal"/>
    <w:rsid w:val="00BB538D"/>
    <w:pPr>
      <w:spacing w:before="100" w:beforeAutospacing="1" w:after="100" w:afterAutospacing="1"/>
    </w:pPr>
    <w:rPr>
      <w:rFonts w:ascii="Times New Roman" w:eastAsia="Times New Roman" w:hAnsi="Times New Roman" w:cs="Times New Roman"/>
      <w:szCs w:val="24"/>
      <w:lang w:eastAsia="en-AU"/>
    </w:rPr>
  </w:style>
  <w:style w:type="paragraph" w:customStyle="1" w:styleId="paragraph">
    <w:name w:val="paragraph"/>
    <w:basedOn w:val="Normal"/>
    <w:rsid w:val="00BB538D"/>
    <w:pPr>
      <w:spacing w:before="100" w:beforeAutospacing="1" w:after="100" w:afterAutospacing="1"/>
    </w:pPr>
    <w:rPr>
      <w:rFonts w:ascii="Times New Roman" w:eastAsia="Times New Roman" w:hAnsi="Times New Roman" w:cs="Times New Roman"/>
      <w:szCs w:val="24"/>
      <w:lang w:eastAsia="en-AU"/>
    </w:rPr>
  </w:style>
  <w:style w:type="paragraph" w:customStyle="1" w:styleId="subsection2">
    <w:name w:val="subsection2"/>
    <w:basedOn w:val="Normal"/>
    <w:rsid w:val="00BB538D"/>
    <w:pPr>
      <w:spacing w:before="100" w:beforeAutospacing="1" w:after="100" w:afterAutospacing="1"/>
    </w:pPr>
    <w:rPr>
      <w:rFonts w:ascii="Times New Roman" w:eastAsia="Times New Roman" w:hAnsi="Times New Roman" w:cs="Times New Roman"/>
      <w:szCs w:val="24"/>
      <w:lang w:eastAsia="en-AU"/>
    </w:rPr>
  </w:style>
  <w:style w:type="paragraph" w:customStyle="1" w:styleId="paragraphsub">
    <w:name w:val="paragraphsub"/>
    <w:basedOn w:val="Normal"/>
    <w:rsid w:val="00BB538D"/>
    <w:pPr>
      <w:spacing w:before="100" w:beforeAutospacing="1" w:after="100" w:afterAutospacing="1"/>
    </w:pPr>
    <w:rPr>
      <w:rFonts w:ascii="Times New Roman" w:eastAsia="Times New Roman" w:hAnsi="Times New Roman" w:cs="Times New Roman"/>
      <w:szCs w:val="24"/>
      <w:lang w:eastAsia="en-AU"/>
    </w:rPr>
  </w:style>
  <w:style w:type="paragraph" w:customStyle="1" w:styleId="notetext">
    <w:name w:val="notetext"/>
    <w:basedOn w:val="Normal"/>
    <w:rsid w:val="00BB538D"/>
    <w:pPr>
      <w:spacing w:before="100" w:beforeAutospacing="1" w:after="100" w:afterAutospacing="1"/>
    </w:pPr>
    <w:rPr>
      <w:rFonts w:ascii="Times New Roman" w:eastAsia="Times New Roman" w:hAnsi="Times New Roman" w:cs="Times New Roman"/>
      <w:szCs w:val="24"/>
      <w:lang w:eastAsia="en-AU"/>
    </w:rPr>
  </w:style>
  <w:style w:type="paragraph" w:customStyle="1" w:styleId="acthead5">
    <w:name w:val="acthead5"/>
    <w:basedOn w:val="Normal"/>
    <w:rsid w:val="00BB538D"/>
    <w:pPr>
      <w:spacing w:before="100" w:beforeAutospacing="1" w:after="100" w:afterAutospacing="1"/>
    </w:pPr>
    <w:rPr>
      <w:rFonts w:ascii="Times New Roman" w:eastAsia="Times New Roman" w:hAnsi="Times New Roman" w:cs="Times New Roman"/>
      <w:szCs w:val="24"/>
      <w:lang w:eastAsia="en-AU"/>
    </w:rPr>
  </w:style>
  <w:style w:type="character" w:customStyle="1" w:styleId="charsectno">
    <w:name w:val="charsectno"/>
    <w:basedOn w:val="DefaultParagraphFont"/>
    <w:rsid w:val="00BB538D"/>
  </w:style>
  <w:style w:type="paragraph" w:customStyle="1" w:styleId="definitions">
    <w:name w:val="definitions"/>
    <w:basedOn w:val="Normal"/>
    <w:qFormat/>
    <w:rsid w:val="00BB538D"/>
    <w:pPr>
      <w:tabs>
        <w:tab w:val="left" w:pos="426"/>
        <w:tab w:val="left" w:pos="993"/>
      </w:tabs>
      <w:spacing w:after="120"/>
    </w:pPr>
  </w:style>
  <w:style w:type="character" w:styleId="Hyperlink">
    <w:name w:val="Hyperlink"/>
    <w:basedOn w:val="DefaultParagraphFont"/>
    <w:uiPriority w:val="99"/>
    <w:unhideWhenUsed/>
    <w:rsid w:val="00F60890"/>
    <w:rPr>
      <w:color w:val="0000FF" w:themeColor="hyperlink"/>
      <w:u w:val="single"/>
    </w:rPr>
  </w:style>
  <w:style w:type="character" w:styleId="CommentReference">
    <w:name w:val="annotation reference"/>
    <w:basedOn w:val="DefaultParagraphFont"/>
    <w:semiHidden/>
    <w:unhideWhenUsed/>
    <w:rsid w:val="003906B0"/>
    <w:rPr>
      <w:sz w:val="16"/>
      <w:szCs w:val="16"/>
    </w:rPr>
  </w:style>
  <w:style w:type="paragraph" w:styleId="CommentText">
    <w:name w:val="annotation text"/>
    <w:basedOn w:val="Normal"/>
    <w:link w:val="CommentTextChar"/>
    <w:unhideWhenUsed/>
    <w:rsid w:val="003906B0"/>
    <w:rPr>
      <w:sz w:val="20"/>
      <w:szCs w:val="20"/>
    </w:rPr>
  </w:style>
  <w:style w:type="character" w:customStyle="1" w:styleId="CommentTextChar">
    <w:name w:val="Comment Text Char"/>
    <w:basedOn w:val="DefaultParagraphFont"/>
    <w:link w:val="CommentText"/>
    <w:rsid w:val="003906B0"/>
    <w:rPr>
      <w:rFonts w:asciiTheme="minorHAnsi" w:hAnsiTheme="minorHAnsi" w:cstheme="minorBidi"/>
    </w:rPr>
  </w:style>
  <w:style w:type="paragraph" w:styleId="CommentSubject">
    <w:name w:val="annotation subject"/>
    <w:basedOn w:val="CommentText"/>
    <w:next w:val="CommentText"/>
    <w:link w:val="CommentSubjectChar"/>
    <w:semiHidden/>
    <w:unhideWhenUsed/>
    <w:rsid w:val="003906B0"/>
    <w:rPr>
      <w:b/>
      <w:bCs/>
    </w:rPr>
  </w:style>
  <w:style w:type="character" w:customStyle="1" w:styleId="CommentSubjectChar">
    <w:name w:val="Comment Subject Char"/>
    <w:basedOn w:val="CommentTextChar"/>
    <w:link w:val="CommentSubject"/>
    <w:semiHidden/>
    <w:rsid w:val="003906B0"/>
    <w:rPr>
      <w:rFonts w:asciiTheme="minorHAnsi" w:hAnsiTheme="minorHAnsi" w:cstheme="minorBidi"/>
      <w:b/>
      <w:bCs/>
    </w:rPr>
  </w:style>
  <w:style w:type="paragraph" w:styleId="BalloonText">
    <w:name w:val="Balloon Text"/>
    <w:basedOn w:val="Normal"/>
    <w:link w:val="BalloonTextChar"/>
    <w:semiHidden/>
    <w:unhideWhenUsed/>
    <w:rsid w:val="003906B0"/>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3906B0"/>
    <w:rPr>
      <w:rFonts w:ascii="Tahoma" w:hAnsi="Tahoma" w:cs="Tahoma"/>
      <w:sz w:val="16"/>
      <w:szCs w:val="16"/>
    </w:rPr>
  </w:style>
  <w:style w:type="paragraph" w:styleId="Revision">
    <w:name w:val="Revision"/>
    <w:hidden/>
    <w:uiPriority w:val="99"/>
    <w:semiHidden/>
    <w:rsid w:val="003C5743"/>
    <w:rPr>
      <w:rFonts w:asciiTheme="minorHAnsi" w:hAnsiTheme="minorHAnsi" w:cstheme="minorBidi"/>
      <w:sz w:val="24"/>
      <w:szCs w:val="22"/>
    </w:rPr>
  </w:style>
  <w:style w:type="paragraph" w:styleId="TOC1">
    <w:name w:val="toc 1"/>
    <w:basedOn w:val="Normal"/>
    <w:next w:val="Normal"/>
    <w:autoRedefine/>
    <w:uiPriority w:val="39"/>
    <w:unhideWhenUsed/>
    <w:rsid w:val="005D75FF"/>
    <w:pPr>
      <w:spacing w:after="100"/>
    </w:pPr>
  </w:style>
  <w:style w:type="paragraph" w:styleId="TOC2">
    <w:name w:val="toc 2"/>
    <w:basedOn w:val="Normal"/>
    <w:next w:val="Normal"/>
    <w:autoRedefine/>
    <w:uiPriority w:val="39"/>
    <w:unhideWhenUsed/>
    <w:rsid w:val="005D75FF"/>
    <w:pPr>
      <w:spacing w:after="100"/>
      <w:ind w:left="240"/>
    </w:pPr>
  </w:style>
  <w:style w:type="paragraph" w:styleId="TOC3">
    <w:name w:val="toc 3"/>
    <w:basedOn w:val="Normal"/>
    <w:next w:val="Normal"/>
    <w:autoRedefine/>
    <w:uiPriority w:val="39"/>
    <w:unhideWhenUsed/>
    <w:rsid w:val="005D75FF"/>
    <w:pPr>
      <w:spacing w:after="100"/>
      <w:ind w:left="480"/>
    </w:pPr>
  </w:style>
  <w:style w:type="paragraph" w:customStyle="1" w:styleId="Reviewtext">
    <w:name w:val="Review text"/>
    <w:basedOn w:val="Normal"/>
    <w:qFormat/>
    <w:rsid w:val="00023846"/>
    <w:pPr>
      <w:spacing w:after="180"/>
    </w:pPr>
    <w:rPr>
      <w:rFonts w:eastAsia="Cambria" w:cs="Times New Roman"/>
      <w:sz w:val="22"/>
      <w:szCs w:val="24"/>
    </w:rPr>
  </w:style>
  <w:style w:type="paragraph" w:styleId="FootnoteText">
    <w:name w:val="footnote text"/>
    <w:basedOn w:val="Normal"/>
    <w:link w:val="FootnoteTextChar"/>
    <w:uiPriority w:val="2"/>
    <w:semiHidden/>
    <w:unhideWhenUsed/>
    <w:rsid w:val="00023846"/>
    <w:pPr>
      <w:spacing w:after="0"/>
    </w:pPr>
    <w:rPr>
      <w:sz w:val="20"/>
      <w:szCs w:val="20"/>
    </w:rPr>
  </w:style>
  <w:style w:type="character" w:customStyle="1" w:styleId="FootnoteTextChar">
    <w:name w:val="Footnote Text Char"/>
    <w:basedOn w:val="DefaultParagraphFont"/>
    <w:link w:val="FootnoteText"/>
    <w:uiPriority w:val="2"/>
    <w:semiHidden/>
    <w:rsid w:val="00023846"/>
    <w:rPr>
      <w:rFonts w:asciiTheme="minorHAnsi" w:hAnsiTheme="minorHAnsi" w:cstheme="minorBidi"/>
    </w:rPr>
  </w:style>
  <w:style w:type="character" w:styleId="FootnoteReference">
    <w:name w:val="footnote reference"/>
    <w:basedOn w:val="DefaultParagraphFont"/>
    <w:uiPriority w:val="2"/>
    <w:semiHidden/>
    <w:unhideWhenUsed/>
    <w:rsid w:val="00023846"/>
    <w:rPr>
      <w:vertAlign w:val="superscript"/>
    </w:rPr>
  </w:style>
  <w:style w:type="paragraph" w:customStyle="1" w:styleId="ColorfulList-Accent11">
    <w:name w:val="Colorful List - Accent 11"/>
    <w:basedOn w:val="Normal"/>
    <w:uiPriority w:val="34"/>
    <w:qFormat/>
    <w:rsid w:val="0031624D"/>
    <w:pPr>
      <w:spacing w:after="200"/>
      <w:ind w:left="720"/>
      <w:contextualSpacing/>
    </w:pPr>
    <w:rPr>
      <w:rFonts w:ascii="Cambria" w:eastAsia="Cambria" w:hAnsi="Cambria"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AU"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3" w:unhideWhenUsed="1"/>
    <w:lsdException w:name="index 2" w:semiHidden="1" w:uiPriority="3" w:unhideWhenUsed="1"/>
    <w:lsdException w:name="index 3" w:semiHidden="1" w:uiPriority="3" w:unhideWhenUsed="1"/>
    <w:lsdException w:name="index 4" w:semiHidden="1" w:uiPriority="3" w:unhideWhenUsed="1"/>
    <w:lsdException w:name="index 5" w:semiHidden="1" w:uiPriority="3" w:unhideWhenUsed="1"/>
    <w:lsdException w:name="index 6" w:semiHidden="1" w:uiPriority="3" w:unhideWhenUsed="1"/>
    <w:lsdException w:name="index 7" w:semiHidden="1" w:uiPriority="3" w:unhideWhenUsed="1"/>
    <w:lsdException w:name="index 8" w:semiHidden="1" w:uiPriority="3" w:unhideWhenUsed="1"/>
    <w:lsdException w:name="index 9" w:semiHidden="1" w:uiPriority="3" w:unhideWhenUsed="1"/>
    <w:lsdException w:name="toc 1" w:semiHidden="1" w:uiPriority="39" w:unhideWhenUsed="1"/>
    <w:lsdException w:name="toc 2" w:semiHidden="1" w:uiPriority="39" w:unhideWhenUsed="1"/>
    <w:lsdException w:name="toc 3" w:semiHidden="1" w:uiPriority="39" w:unhideWhenUsed="1"/>
    <w:lsdException w:name="toc 4" w:semiHidden="1" w:uiPriority="3" w:unhideWhenUsed="1"/>
    <w:lsdException w:name="toc 5" w:semiHidden="1" w:uiPriority="3" w:unhideWhenUsed="1"/>
    <w:lsdException w:name="toc 6" w:semiHidden="1" w:uiPriority="3" w:unhideWhenUsed="1"/>
    <w:lsdException w:name="toc 7" w:semiHidden="1" w:uiPriority="3" w:unhideWhenUsed="1"/>
    <w:lsdException w:name="toc 8" w:semiHidden="1" w:uiPriority="3" w:unhideWhenUsed="1"/>
    <w:lsdException w:name="toc 9" w:semiHidden="1" w:uiPriority="3" w:unhideWhenUsed="1"/>
    <w:lsdException w:name="Normal Indent" w:semiHidden="1" w:uiPriority="2" w:unhideWhenUsed="1"/>
    <w:lsdException w:name="footnote text" w:semiHidden="1" w:uiPriority="2" w:unhideWhenUsed="1"/>
    <w:lsdException w:name="annotation text" w:semiHidden="1" w:unhideWhenUsed="1"/>
    <w:lsdException w:name="header" w:semiHidden="1" w:uiPriority="2" w:unhideWhenUsed="1"/>
    <w:lsdException w:name="footer" w:semiHidden="1" w:uiPriority="99" w:unhideWhenUsed="1"/>
    <w:lsdException w:name="index heading" w:semiHidden="1" w:uiPriority="3" w:unhideWhenUsed="1"/>
    <w:lsdException w:name="caption" w:semiHidden="1" w:unhideWhenUsed="1" w:qFormat="1"/>
    <w:lsdException w:name="table of figures" w:semiHidden="1"/>
    <w:lsdException w:name="envelope address" w:semiHidden="1" w:uiPriority="2" w:unhideWhenUsed="1"/>
    <w:lsdException w:name="envelope return" w:semiHidden="1" w:uiPriority="2" w:unhideWhenUsed="1"/>
    <w:lsdException w:name="footnote reference" w:semiHidden="1" w:uiPriority="2" w:unhideWhenUsed="1"/>
    <w:lsdException w:name="annotation reference" w:semiHidden="1" w:unhideWhenUsed="1"/>
    <w:lsdException w:name="line number" w:semiHidden="1" w:uiPriority="3" w:unhideWhenUsed="1"/>
    <w:lsdException w:name="page number" w:semiHidden="1" w:unhideWhenUsed="1"/>
    <w:lsdException w:name="endnote reference" w:semiHidden="1" w:uiPriority="2" w:unhideWhenUsed="1"/>
    <w:lsdException w:name="endnote text" w:semiHidden="1" w:uiPriority="2" w:unhideWhenUsed="1"/>
    <w:lsdException w:name="table of authorities" w:semiHidden="1"/>
    <w:lsdException w:name="macro" w:semiHidden="1" w:uiPriority="3" w:unhideWhenUsed="1"/>
    <w:lsdException w:name="toa heading" w:semiHidden="1" w:unhideWhenUsed="1"/>
    <w:lsdException w:name="List" w:semiHidden="1" w:uiPriority="3" w:unhideWhenUsed="1"/>
    <w:lsdException w:name="List Bullet" w:semiHidden="1" w:uiPriority="3" w:unhideWhenUsed="1"/>
    <w:lsdException w:name="List Number" w:semiHidden="1" w:uiPriority="3" w:unhideWhenUsed="1"/>
    <w:lsdException w:name="List 2" w:semiHidden="1" w:uiPriority="3" w:unhideWhenUsed="1"/>
    <w:lsdException w:name="List 3" w:semiHidden="1" w:uiPriority="3" w:unhideWhenUsed="1"/>
    <w:lsdException w:name="List 4" w:semiHidden="1" w:uiPriority="3" w:unhideWhenUsed="1"/>
    <w:lsdException w:name="List 5" w:semiHidden="1" w:uiPriority="3" w:unhideWhenUsed="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3" w:unhideWhenUsed="1"/>
    <w:lsdException w:name="List Continue 2" w:semiHidden="1" w:uiPriority="3" w:unhideWhenUsed="1"/>
    <w:lsdException w:name="List Continue 3" w:semiHidden="1" w:uiPriority="3" w:unhideWhenUsed="1"/>
    <w:lsdException w:name="List Continue 4" w:semiHidden="1" w:uiPriority="3" w:unhideWhenUsed="1"/>
    <w:lsdException w:name="List Continue 5" w:semiHidden="1" w:uiPriority="3" w:unhideWhenUsed="1"/>
    <w:lsdException w:name="Message Header" w:semiHidden="1" w:uiPriority="3"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2"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3" w:unhideWhenUsed="1"/>
    <w:lsdException w:name="HTML Cite" w:semiHidden="1" w:uiPriority="99" w:unhideWhenUsed="1"/>
    <w:lsdException w:name="HTML Code" w:semiHidden="1" w:uiPriority="3" w:unhideWhenUsed="1"/>
    <w:lsdException w:name="HTML Definition" w:semiHidden="1" w:uiPriority="3" w:unhideWhenUsed="1"/>
    <w:lsdException w:name="HTML Keyboard" w:semiHidden="1" w:uiPriority="3" w:unhideWhenUsed="1"/>
    <w:lsdException w:name="HTML Preformatted" w:semiHidden="1" w:uiPriority="3" w:unhideWhenUsed="1"/>
    <w:lsdException w:name="HTML Sample" w:semiHidden="1" w:uiPriority="3" w:unhideWhenUsed="1"/>
    <w:lsdException w:name="HTML Typewriter" w:semiHidden="1" w:uiPriority="3" w:unhideWhenUsed="1"/>
    <w:lsdException w:name="HTML Variable" w:semiHidden="1" w:uiPriority="3" w:unhideWhenUsed="1"/>
    <w:lsdException w:name="Normal Table" w:semiHidden="1" w:uiPriority="99" w:unhideWhenUsed="1"/>
    <w:lsdException w:name="annotation subject" w:semiHidden="1" w:unhideWhenUsed="1"/>
    <w:lsdException w:name="No List" w:semiHidden="1" w:uiPriority="99" w:unhideWhenUsed="1"/>
    <w:lsdException w:name="Balloon Text" w:semiHidden="1" w:unhideWhenUsed="1"/>
    <w:lsdException w:name="Placeholder Text" w:semiHidden="1" w:unhideWhenUsed="1"/>
    <w:lsdException w:name="No Spacing" w:qFormat="1"/>
    <w:lsdException w:name="Revision" w:semiHidden="1" w:uiPriority="99"/>
    <w:lsdException w:name="List Paragraph" w:uiPriority="3" w:qFormat="1"/>
    <w:lsdException w:name="Quote" w:uiPriority="2" w:qFormat="1"/>
    <w:lsdException w:name="Intense Quote" w:uiPriority="10" w:qFormat="1"/>
    <w:lsdException w:name="Subtle Emphasis" w:uiPriority="3" w:qFormat="1"/>
    <w:lsdException w:name="Intense Emphasis" w:uiPriority="10" w:qFormat="1"/>
    <w:lsdException w:name="Subtle Reference" w:uiPriority="4" w:qFormat="1"/>
    <w:lsdException w:name="Intense Reference" w:uiPriority="10" w:qFormat="1"/>
    <w:lsdException w:name="Book Title" w:uiPriority="3" w:qFormat="1"/>
    <w:lsdException w:name="Bibliography" w:semiHidden="1" w:unhideWhenUsed="1"/>
    <w:lsdException w:name="TOC Heading" w:semiHidden="1" w:uiPriority="39" w:unhideWhenUsed="1" w:qFormat="1"/>
  </w:latentStyles>
  <w:style w:type="paragraph" w:default="1" w:styleId="Normal">
    <w:name w:val="Normal"/>
    <w:qFormat/>
    <w:rsid w:val="003906B0"/>
    <w:pPr>
      <w:spacing w:after="240"/>
    </w:pPr>
    <w:rPr>
      <w:rFonts w:asciiTheme="minorHAnsi" w:hAnsiTheme="minorHAnsi" w:cstheme="minorBidi"/>
      <w:sz w:val="24"/>
      <w:szCs w:val="22"/>
    </w:rPr>
  </w:style>
  <w:style w:type="paragraph" w:styleId="Heading1">
    <w:name w:val="heading 1"/>
    <w:basedOn w:val="Normal"/>
    <w:next w:val="Normal"/>
    <w:link w:val="Heading1Char"/>
    <w:uiPriority w:val="1"/>
    <w:qFormat/>
    <w:rsid w:val="00EB6ACC"/>
    <w:pPr>
      <w:keepNext/>
      <w:spacing w:before="4000" w:after="120"/>
      <w:jc w:val="center"/>
      <w:outlineLvl w:val="0"/>
    </w:pPr>
    <w:rPr>
      <w:rFonts w:eastAsiaTheme="majorEastAsia" w:cstheme="majorBidi"/>
      <w:b/>
      <w:bCs/>
      <w:kern w:val="32"/>
      <w:sz w:val="56"/>
      <w:szCs w:val="52"/>
    </w:rPr>
  </w:style>
  <w:style w:type="paragraph" w:styleId="Heading2">
    <w:name w:val="heading 2"/>
    <w:basedOn w:val="Normal"/>
    <w:next w:val="Normal"/>
    <w:link w:val="Heading2Char"/>
    <w:uiPriority w:val="1"/>
    <w:qFormat/>
    <w:rsid w:val="002A1335"/>
    <w:pPr>
      <w:keepNext/>
      <w:keepLines/>
      <w:spacing w:before="240" w:after="18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1"/>
    <w:qFormat/>
    <w:rsid w:val="008329B8"/>
    <w:pPr>
      <w:keepNext/>
      <w:keepLines/>
      <w:spacing w:before="240" w:after="120"/>
      <w:outlineLvl w:val="2"/>
    </w:pPr>
    <w:rPr>
      <w:rFonts w:ascii="Calibri" w:eastAsiaTheme="majorEastAsia" w:hAnsi="Calibri" w:cstheme="majorBidi"/>
      <w:b/>
      <w:bCs/>
      <w:i/>
      <w:sz w:val="26"/>
      <w:szCs w:val="20"/>
    </w:rPr>
  </w:style>
  <w:style w:type="paragraph" w:styleId="Heading4">
    <w:name w:val="heading 4"/>
    <w:basedOn w:val="Normal"/>
    <w:next w:val="Normal"/>
    <w:link w:val="Heading4Char"/>
    <w:uiPriority w:val="1"/>
    <w:unhideWhenUsed/>
    <w:qFormat/>
    <w:rsid w:val="003D0A64"/>
    <w:pPr>
      <w:keepNext/>
      <w:keepLines/>
      <w:spacing w:before="240" w:after="120"/>
      <w:outlineLvl w:val="3"/>
    </w:pPr>
    <w:rPr>
      <w:rFonts w:ascii="Calibri" w:eastAsiaTheme="majorEastAsia" w:hAnsi="Calibri" w:cstheme="majorBidi"/>
      <w:b/>
      <w:bCs/>
      <w:iCs/>
      <w:color w:val="404040" w:themeColor="text1" w:themeTint="BF"/>
      <w:szCs w:val="20"/>
    </w:rPr>
  </w:style>
  <w:style w:type="paragraph" w:styleId="Heading5">
    <w:name w:val="heading 5"/>
    <w:basedOn w:val="Normal"/>
    <w:next w:val="Normal"/>
    <w:link w:val="Heading5Char"/>
    <w:uiPriority w:val="1"/>
    <w:semiHidden/>
    <w:unhideWhenUsed/>
    <w:qFormat/>
    <w:rsid w:val="002A1335"/>
    <w:pPr>
      <w:spacing w:before="240" w:after="60"/>
      <w:outlineLvl w:val="4"/>
    </w:pPr>
    <w:rPr>
      <w:rFonts w:eastAsiaTheme="minorEastAsia"/>
      <w:b/>
      <w:bCs/>
      <w:i/>
      <w:iCs/>
      <w:sz w:val="26"/>
      <w:szCs w:val="26"/>
    </w:rPr>
  </w:style>
  <w:style w:type="paragraph" w:styleId="Heading6">
    <w:name w:val="heading 6"/>
    <w:basedOn w:val="Normal"/>
    <w:next w:val="Normal"/>
    <w:link w:val="Heading6Char"/>
    <w:uiPriority w:val="1"/>
    <w:semiHidden/>
    <w:unhideWhenUsed/>
    <w:qFormat/>
    <w:rsid w:val="002A1335"/>
    <w:pPr>
      <w:spacing w:before="240" w:after="60"/>
      <w:outlineLvl w:val="5"/>
    </w:pPr>
    <w:rPr>
      <w:rFonts w:eastAsiaTheme="minorEastAsia"/>
      <w:b/>
      <w:bCs/>
      <w:sz w:val="22"/>
    </w:rPr>
  </w:style>
  <w:style w:type="paragraph" w:styleId="Heading7">
    <w:name w:val="heading 7"/>
    <w:basedOn w:val="Normal"/>
    <w:next w:val="Normal"/>
    <w:link w:val="Heading7Char"/>
    <w:semiHidden/>
    <w:unhideWhenUsed/>
    <w:qFormat/>
    <w:rsid w:val="002A1335"/>
    <w:pPr>
      <w:spacing w:before="240" w:after="60"/>
      <w:outlineLvl w:val="6"/>
    </w:pPr>
    <w:rPr>
      <w:rFonts w:eastAsiaTheme="minorEastAsia"/>
    </w:rPr>
  </w:style>
  <w:style w:type="paragraph" w:styleId="Heading8">
    <w:name w:val="heading 8"/>
    <w:basedOn w:val="Normal"/>
    <w:next w:val="Normal"/>
    <w:link w:val="Heading8Char"/>
    <w:semiHidden/>
    <w:unhideWhenUsed/>
    <w:qFormat/>
    <w:rsid w:val="002A1335"/>
    <w:pPr>
      <w:spacing w:before="240" w:after="60"/>
      <w:outlineLvl w:val="7"/>
    </w:pPr>
    <w:rPr>
      <w:rFonts w:eastAsiaTheme="minorEastAsia"/>
      <w:i/>
      <w:iCs/>
    </w:rPr>
  </w:style>
  <w:style w:type="paragraph" w:styleId="Heading9">
    <w:name w:val="heading 9"/>
    <w:basedOn w:val="Normal"/>
    <w:next w:val="Normal"/>
    <w:link w:val="Heading9Char"/>
    <w:semiHidden/>
    <w:unhideWhenUsed/>
    <w:qFormat/>
    <w:rsid w:val="002A1335"/>
    <w:pPr>
      <w:spacing w:before="240" w:after="60"/>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B6ACC"/>
    <w:rPr>
      <w:rFonts w:asciiTheme="minorHAnsi" w:eastAsiaTheme="majorEastAsia" w:hAnsiTheme="minorHAnsi" w:cstheme="majorBidi"/>
      <w:b/>
      <w:bCs/>
      <w:kern w:val="32"/>
      <w:sz w:val="56"/>
      <w:szCs w:val="52"/>
    </w:rPr>
  </w:style>
  <w:style w:type="character" w:customStyle="1" w:styleId="Heading2Char">
    <w:name w:val="Heading 2 Char"/>
    <w:basedOn w:val="DefaultParagraphFont"/>
    <w:link w:val="Heading2"/>
    <w:uiPriority w:val="1"/>
    <w:rsid w:val="002A1335"/>
    <w:rPr>
      <w:rFonts w:ascii="Calibri" w:eastAsiaTheme="majorEastAsia" w:hAnsi="Calibri" w:cstheme="majorBidi"/>
      <w:b/>
      <w:bCs/>
      <w:sz w:val="28"/>
      <w:szCs w:val="26"/>
    </w:rPr>
  </w:style>
  <w:style w:type="paragraph" w:styleId="NoSpacing">
    <w:name w:val="No Spacing"/>
    <w:basedOn w:val="Normal"/>
    <w:link w:val="NoSpacingChar"/>
    <w:qFormat/>
    <w:rsid w:val="002A1335"/>
    <w:pPr>
      <w:spacing w:after="0"/>
    </w:pPr>
  </w:style>
  <w:style w:type="character" w:customStyle="1" w:styleId="Heading3Char">
    <w:name w:val="Heading 3 Char"/>
    <w:basedOn w:val="DefaultParagraphFont"/>
    <w:link w:val="Heading3"/>
    <w:uiPriority w:val="1"/>
    <w:rsid w:val="008329B8"/>
    <w:rPr>
      <w:rFonts w:ascii="Calibri" w:eastAsiaTheme="majorEastAsia" w:hAnsi="Calibri" w:cstheme="majorBidi"/>
      <w:b/>
      <w:bCs/>
      <w:i/>
      <w:sz w:val="26"/>
    </w:rPr>
  </w:style>
  <w:style w:type="character" w:customStyle="1" w:styleId="Heading4Char">
    <w:name w:val="Heading 4 Char"/>
    <w:basedOn w:val="DefaultParagraphFont"/>
    <w:link w:val="Heading4"/>
    <w:uiPriority w:val="1"/>
    <w:rsid w:val="003D0A64"/>
    <w:rPr>
      <w:rFonts w:ascii="Calibri" w:eastAsiaTheme="majorEastAsia" w:hAnsi="Calibri" w:cstheme="majorBidi"/>
      <w:b/>
      <w:bCs/>
      <w:iCs/>
      <w:color w:val="404040" w:themeColor="text1" w:themeTint="BF"/>
      <w:sz w:val="24"/>
    </w:rPr>
  </w:style>
  <w:style w:type="character" w:customStyle="1" w:styleId="Heading5Char">
    <w:name w:val="Heading 5 Char"/>
    <w:basedOn w:val="DefaultParagraphFont"/>
    <w:link w:val="Heading5"/>
    <w:uiPriority w:val="1"/>
    <w:semiHidden/>
    <w:rsid w:val="002A133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1"/>
    <w:semiHidden/>
    <w:rsid w:val="002A1335"/>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2A1335"/>
    <w:rPr>
      <w:rFonts w:asciiTheme="minorHAnsi" w:eastAsiaTheme="minorEastAsia" w:hAnsiTheme="minorHAnsi" w:cstheme="minorBidi"/>
      <w:sz w:val="24"/>
      <w:szCs w:val="22"/>
    </w:rPr>
  </w:style>
  <w:style w:type="character" w:customStyle="1" w:styleId="Heading8Char">
    <w:name w:val="Heading 8 Char"/>
    <w:basedOn w:val="DefaultParagraphFont"/>
    <w:link w:val="Heading8"/>
    <w:semiHidden/>
    <w:rsid w:val="002A1335"/>
    <w:rPr>
      <w:rFonts w:asciiTheme="minorHAnsi" w:eastAsiaTheme="minorEastAsia" w:hAnsiTheme="minorHAnsi" w:cstheme="minorBidi"/>
      <w:i/>
      <w:iCs/>
      <w:sz w:val="24"/>
      <w:szCs w:val="22"/>
    </w:rPr>
  </w:style>
  <w:style w:type="character" w:customStyle="1" w:styleId="Heading9Char">
    <w:name w:val="Heading 9 Char"/>
    <w:basedOn w:val="DefaultParagraphFont"/>
    <w:link w:val="Heading9"/>
    <w:semiHidden/>
    <w:rsid w:val="002A1335"/>
    <w:rPr>
      <w:rFonts w:asciiTheme="majorHAnsi" w:eastAsiaTheme="majorEastAsia" w:hAnsiTheme="majorHAnsi" w:cstheme="majorBidi"/>
      <w:sz w:val="22"/>
      <w:szCs w:val="22"/>
    </w:rPr>
  </w:style>
  <w:style w:type="paragraph" w:styleId="Title">
    <w:name w:val="Title"/>
    <w:basedOn w:val="Normal"/>
    <w:next w:val="Normal"/>
    <w:link w:val="TitleChar"/>
    <w:uiPriority w:val="3"/>
    <w:unhideWhenUsed/>
    <w:qFormat/>
    <w:rsid w:val="002A133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3"/>
    <w:rsid w:val="002A1335"/>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4"/>
    <w:qFormat/>
    <w:rsid w:val="002A1335"/>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4"/>
    <w:rsid w:val="002A1335"/>
    <w:rPr>
      <w:rFonts w:asciiTheme="majorHAnsi" w:eastAsiaTheme="majorEastAsia" w:hAnsiTheme="majorHAnsi" w:cstheme="majorBidi"/>
      <w:sz w:val="24"/>
      <w:szCs w:val="22"/>
    </w:rPr>
  </w:style>
  <w:style w:type="character" w:styleId="SubtleEmphasis">
    <w:name w:val="Subtle Emphasis"/>
    <w:uiPriority w:val="3"/>
    <w:unhideWhenUsed/>
    <w:qFormat/>
    <w:rsid w:val="002A1335"/>
    <w:rPr>
      <w:i/>
      <w:iCs/>
      <w:color w:val="808080" w:themeColor="text1" w:themeTint="7F"/>
    </w:rPr>
  </w:style>
  <w:style w:type="character" w:styleId="Strong">
    <w:name w:val="Strong"/>
    <w:uiPriority w:val="3"/>
    <w:unhideWhenUsed/>
    <w:qFormat/>
    <w:rsid w:val="002A1335"/>
    <w:rPr>
      <w:b/>
      <w:bCs/>
    </w:rPr>
  </w:style>
  <w:style w:type="paragraph" w:styleId="ListParagraph">
    <w:name w:val="List Paragraph"/>
    <w:basedOn w:val="Normal"/>
    <w:uiPriority w:val="3"/>
    <w:unhideWhenUsed/>
    <w:qFormat/>
    <w:rsid w:val="002A1335"/>
    <w:pPr>
      <w:ind w:left="720"/>
    </w:pPr>
  </w:style>
  <w:style w:type="character" w:styleId="Emphasis">
    <w:name w:val="Emphasis"/>
    <w:uiPriority w:val="20"/>
    <w:unhideWhenUsed/>
    <w:qFormat/>
    <w:rsid w:val="002A1335"/>
    <w:rPr>
      <w:i/>
      <w:iCs/>
    </w:rPr>
  </w:style>
  <w:style w:type="character" w:styleId="IntenseEmphasis">
    <w:name w:val="Intense Emphasis"/>
    <w:uiPriority w:val="10"/>
    <w:unhideWhenUsed/>
    <w:qFormat/>
    <w:rsid w:val="002A1335"/>
    <w:rPr>
      <w:b/>
      <w:bCs/>
      <w:i/>
      <w:iCs/>
      <w:color w:val="4F81BD" w:themeColor="accent1"/>
    </w:rPr>
  </w:style>
  <w:style w:type="paragraph" w:styleId="Quote">
    <w:name w:val="Quote"/>
    <w:basedOn w:val="Normal"/>
    <w:next w:val="Normal"/>
    <w:link w:val="QuoteChar"/>
    <w:uiPriority w:val="2"/>
    <w:unhideWhenUsed/>
    <w:qFormat/>
    <w:rsid w:val="002A1335"/>
    <w:pPr>
      <w:ind w:left="720" w:hanging="720"/>
    </w:pPr>
    <w:rPr>
      <w:iCs/>
    </w:rPr>
  </w:style>
  <w:style w:type="character" w:customStyle="1" w:styleId="QuoteChar">
    <w:name w:val="Quote Char"/>
    <w:basedOn w:val="DefaultParagraphFont"/>
    <w:link w:val="Quote"/>
    <w:uiPriority w:val="2"/>
    <w:rsid w:val="002A1335"/>
    <w:rPr>
      <w:rFonts w:asciiTheme="minorHAnsi" w:hAnsiTheme="minorHAnsi" w:cstheme="minorBidi"/>
      <w:iCs/>
      <w:sz w:val="24"/>
      <w:szCs w:val="22"/>
    </w:rPr>
  </w:style>
  <w:style w:type="paragraph" w:styleId="IntenseQuote">
    <w:name w:val="Intense Quote"/>
    <w:basedOn w:val="Normal"/>
    <w:next w:val="Normal"/>
    <w:link w:val="IntenseQuoteChar"/>
    <w:uiPriority w:val="10"/>
    <w:unhideWhenUsed/>
    <w:qFormat/>
    <w:rsid w:val="002A133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10"/>
    <w:rsid w:val="002A1335"/>
    <w:rPr>
      <w:rFonts w:asciiTheme="minorHAnsi" w:hAnsiTheme="minorHAnsi" w:cstheme="minorBidi"/>
      <w:b/>
      <w:bCs/>
      <w:i/>
      <w:iCs/>
      <w:color w:val="4F81BD" w:themeColor="accent1"/>
      <w:sz w:val="24"/>
      <w:szCs w:val="22"/>
    </w:rPr>
  </w:style>
  <w:style w:type="character" w:styleId="SubtleReference">
    <w:name w:val="Subtle Reference"/>
    <w:uiPriority w:val="4"/>
    <w:unhideWhenUsed/>
    <w:qFormat/>
    <w:rsid w:val="002A1335"/>
    <w:rPr>
      <w:smallCaps/>
      <w:color w:val="C0504D" w:themeColor="accent2"/>
      <w:u w:val="single"/>
    </w:rPr>
  </w:style>
  <w:style w:type="character" w:styleId="IntenseReference">
    <w:name w:val="Intense Reference"/>
    <w:uiPriority w:val="10"/>
    <w:unhideWhenUsed/>
    <w:qFormat/>
    <w:rsid w:val="002A1335"/>
    <w:rPr>
      <w:b/>
      <w:bCs/>
      <w:smallCaps/>
      <w:color w:val="C0504D" w:themeColor="accent2"/>
      <w:spacing w:val="5"/>
      <w:u w:val="single"/>
    </w:rPr>
  </w:style>
  <w:style w:type="character" w:styleId="BookTitle">
    <w:name w:val="Book Title"/>
    <w:uiPriority w:val="3"/>
    <w:unhideWhenUsed/>
    <w:qFormat/>
    <w:rsid w:val="002A1335"/>
    <w:rPr>
      <w:b/>
      <w:bCs/>
      <w:smallCaps/>
      <w:spacing w:val="5"/>
    </w:rPr>
  </w:style>
  <w:style w:type="paragraph" w:styleId="Caption">
    <w:name w:val="caption"/>
    <w:basedOn w:val="Normal"/>
    <w:next w:val="Normal"/>
    <w:semiHidden/>
    <w:unhideWhenUsed/>
    <w:qFormat/>
    <w:rsid w:val="002A1335"/>
    <w:rPr>
      <w:b/>
      <w:bCs/>
      <w:sz w:val="20"/>
      <w:szCs w:val="20"/>
    </w:rPr>
  </w:style>
  <w:style w:type="paragraph" w:styleId="TOCHeading">
    <w:name w:val="TOC Heading"/>
    <w:basedOn w:val="Heading1"/>
    <w:next w:val="Normal"/>
    <w:uiPriority w:val="39"/>
    <w:semiHidden/>
    <w:unhideWhenUsed/>
    <w:qFormat/>
    <w:rsid w:val="002A1335"/>
    <w:pPr>
      <w:spacing w:after="60"/>
      <w:outlineLvl w:val="9"/>
    </w:pPr>
    <w:rPr>
      <w:rFonts w:asciiTheme="majorHAnsi" w:hAnsiTheme="majorHAnsi"/>
    </w:rPr>
  </w:style>
  <w:style w:type="character" w:customStyle="1" w:styleId="NoSpacingChar">
    <w:name w:val="No Spacing Char"/>
    <w:basedOn w:val="DefaultParagraphFont"/>
    <w:link w:val="NoSpacing"/>
    <w:rsid w:val="002A1335"/>
    <w:rPr>
      <w:rFonts w:asciiTheme="minorHAnsi" w:hAnsiTheme="minorHAnsi" w:cstheme="minorBidi"/>
      <w:sz w:val="24"/>
      <w:szCs w:val="22"/>
    </w:rPr>
  </w:style>
  <w:style w:type="paragraph" w:customStyle="1" w:styleId="BasicParagraph">
    <w:name w:val="[Basic Paragraph]"/>
    <w:basedOn w:val="Normal"/>
    <w:uiPriority w:val="99"/>
    <w:semiHidden/>
    <w:rsid w:val="002A1335"/>
    <w:pPr>
      <w:autoSpaceDE w:val="0"/>
      <w:autoSpaceDN w:val="0"/>
      <w:adjustRightInd w:val="0"/>
      <w:textAlignment w:val="center"/>
    </w:pPr>
    <w:rPr>
      <w:rFonts w:cs="MinionPro-Regular"/>
      <w:color w:val="000000"/>
    </w:rPr>
  </w:style>
  <w:style w:type="paragraph" w:styleId="Header">
    <w:name w:val="header"/>
    <w:basedOn w:val="Normal"/>
    <w:link w:val="HeaderChar"/>
    <w:uiPriority w:val="2"/>
    <w:unhideWhenUsed/>
    <w:rsid w:val="002A1335"/>
    <w:pPr>
      <w:tabs>
        <w:tab w:val="center" w:pos="4320"/>
        <w:tab w:val="right" w:pos="8640"/>
      </w:tabs>
    </w:pPr>
  </w:style>
  <w:style w:type="character" w:customStyle="1" w:styleId="HeaderChar">
    <w:name w:val="Header Char"/>
    <w:basedOn w:val="DefaultParagraphFont"/>
    <w:link w:val="Header"/>
    <w:uiPriority w:val="2"/>
    <w:rsid w:val="002A1335"/>
    <w:rPr>
      <w:rFonts w:asciiTheme="minorHAnsi" w:hAnsiTheme="minorHAnsi" w:cstheme="minorBidi"/>
      <w:sz w:val="24"/>
      <w:szCs w:val="22"/>
    </w:rPr>
  </w:style>
  <w:style w:type="paragraph" w:styleId="Footer">
    <w:name w:val="footer"/>
    <w:basedOn w:val="Normal"/>
    <w:link w:val="FooterChar"/>
    <w:uiPriority w:val="99"/>
    <w:rsid w:val="002A1335"/>
    <w:pPr>
      <w:tabs>
        <w:tab w:val="center" w:pos="4320"/>
        <w:tab w:val="right" w:pos="8640"/>
      </w:tabs>
    </w:pPr>
  </w:style>
  <w:style w:type="character" w:customStyle="1" w:styleId="FooterChar">
    <w:name w:val="Footer Char"/>
    <w:basedOn w:val="DefaultParagraphFont"/>
    <w:link w:val="Footer"/>
    <w:uiPriority w:val="99"/>
    <w:rsid w:val="002A1335"/>
    <w:rPr>
      <w:rFonts w:asciiTheme="minorHAnsi" w:hAnsiTheme="minorHAnsi" w:cstheme="minorBidi"/>
      <w:sz w:val="24"/>
      <w:szCs w:val="22"/>
    </w:rPr>
  </w:style>
  <w:style w:type="table" w:customStyle="1" w:styleId="NGRtable">
    <w:name w:val="NGR table"/>
    <w:basedOn w:val="TableNormal"/>
    <w:uiPriority w:val="99"/>
    <w:rsid w:val="002A1335"/>
    <w:rPr>
      <w:rFonts w:asciiTheme="minorHAnsi" w:hAnsiTheme="minorHAnsi" w:cstheme="minorBidi"/>
      <w:sz w:val="22"/>
      <w:szCs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Theme="minorHAnsi" w:hAnsiTheme="minorHAnsi"/>
        <w:b/>
        <w:color w:val="FFFFFF" w:themeColor="background1"/>
        <w:sz w:val="24"/>
      </w:rPr>
      <w:tblPr/>
      <w:tcPr>
        <w:shd w:val="clear" w:color="auto" w:fill="7F7F7F" w:themeFill="text1" w:themeFillTint="80"/>
      </w:tcPr>
    </w:tblStylePr>
    <w:tblStylePr w:type="band1Horz">
      <w:tblPr/>
      <w:tcPr>
        <w:shd w:val="clear" w:color="auto" w:fill="FDE9D9" w:themeFill="accent6" w:themeFillTint="33"/>
      </w:tcPr>
    </w:tblStylePr>
  </w:style>
  <w:style w:type="paragraph" w:customStyle="1" w:styleId="Default">
    <w:name w:val="Default"/>
    <w:rsid w:val="002A1335"/>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2A1335"/>
    <w:pPr>
      <w:spacing w:after="120"/>
    </w:pPr>
    <w:rPr>
      <w:rFonts w:ascii="Times New Roman" w:eastAsia="Times New Roman" w:hAnsi="Times New Roman" w:cs="Times New Roman"/>
      <w:szCs w:val="24"/>
      <w:lang w:eastAsia="en-AU"/>
    </w:rPr>
  </w:style>
  <w:style w:type="character" w:styleId="HTMLAcronym">
    <w:name w:val="HTML Acronym"/>
    <w:basedOn w:val="DefaultParagraphFont"/>
    <w:uiPriority w:val="99"/>
    <w:semiHidden/>
    <w:unhideWhenUsed/>
    <w:rsid w:val="002A1335"/>
  </w:style>
  <w:style w:type="character" w:styleId="HTMLCite">
    <w:name w:val="HTML Cite"/>
    <w:basedOn w:val="DefaultParagraphFont"/>
    <w:uiPriority w:val="99"/>
    <w:semiHidden/>
    <w:unhideWhenUsed/>
    <w:rsid w:val="002A1335"/>
    <w:rPr>
      <w:i/>
      <w:iCs/>
    </w:rPr>
  </w:style>
  <w:style w:type="paragraph" w:customStyle="1" w:styleId="subsection">
    <w:name w:val="subsection"/>
    <w:basedOn w:val="Normal"/>
    <w:rsid w:val="00BB538D"/>
    <w:pPr>
      <w:spacing w:before="100" w:beforeAutospacing="1" w:after="100" w:afterAutospacing="1"/>
    </w:pPr>
    <w:rPr>
      <w:rFonts w:ascii="Times New Roman" w:eastAsia="Times New Roman" w:hAnsi="Times New Roman" w:cs="Times New Roman"/>
      <w:szCs w:val="24"/>
      <w:lang w:eastAsia="en-AU"/>
    </w:rPr>
  </w:style>
  <w:style w:type="paragraph" w:customStyle="1" w:styleId="definition">
    <w:name w:val="definition"/>
    <w:basedOn w:val="Normal"/>
    <w:rsid w:val="00BB538D"/>
    <w:pPr>
      <w:spacing w:before="100" w:beforeAutospacing="1" w:after="100" w:afterAutospacing="1"/>
    </w:pPr>
    <w:rPr>
      <w:rFonts w:ascii="Times New Roman" w:eastAsia="Times New Roman" w:hAnsi="Times New Roman" w:cs="Times New Roman"/>
      <w:szCs w:val="24"/>
      <w:lang w:eastAsia="en-AU"/>
    </w:rPr>
  </w:style>
  <w:style w:type="paragraph" w:customStyle="1" w:styleId="paragraph">
    <w:name w:val="paragraph"/>
    <w:basedOn w:val="Normal"/>
    <w:rsid w:val="00BB538D"/>
    <w:pPr>
      <w:spacing w:before="100" w:beforeAutospacing="1" w:after="100" w:afterAutospacing="1"/>
    </w:pPr>
    <w:rPr>
      <w:rFonts w:ascii="Times New Roman" w:eastAsia="Times New Roman" w:hAnsi="Times New Roman" w:cs="Times New Roman"/>
      <w:szCs w:val="24"/>
      <w:lang w:eastAsia="en-AU"/>
    </w:rPr>
  </w:style>
  <w:style w:type="paragraph" w:customStyle="1" w:styleId="subsection2">
    <w:name w:val="subsection2"/>
    <w:basedOn w:val="Normal"/>
    <w:rsid w:val="00BB538D"/>
    <w:pPr>
      <w:spacing w:before="100" w:beforeAutospacing="1" w:after="100" w:afterAutospacing="1"/>
    </w:pPr>
    <w:rPr>
      <w:rFonts w:ascii="Times New Roman" w:eastAsia="Times New Roman" w:hAnsi="Times New Roman" w:cs="Times New Roman"/>
      <w:szCs w:val="24"/>
      <w:lang w:eastAsia="en-AU"/>
    </w:rPr>
  </w:style>
  <w:style w:type="paragraph" w:customStyle="1" w:styleId="paragraphsub">
    <w:name w:val="paragraphsub"/>
    <w:basedOn w:val="Normal"/>
    <w:rsid w:val="00BB538D"/>
    <w:pPr>
      <w:spacing w:before="100" w:beforeAutospacing="1" w:after="100" w:afterAutospacing="1"/>
    </w:pPr>
    <w:rPr>
      <w:rFonts w:ascii="Times New Roman" w:eastAsia="Times New Roman" w:hAnsi="Times New Roman" w:cs="Times New Roman"/>
      <w:szCs w:val="24"/>
      <w:lang w:eastAsia="en-AU"/>
    </w:rPr>
  </w:style>
  <w:style w:type="paragraph" w:customStyle="1" w:styleId="notetext">
    <w:name w:val="notetext"/>
    <w:basedOn w:val="Normal"/>
    <w:rsid w:val="00BB538D"/>
    <w:pPr>
      <w:spacing w:before="100" w:beforeAutospacing="1" w:after="100" w:afterAutospacing="1"/>
    </w:pPr>
    <w:rPr>
      <w:rFonts w:ascii="Times New Roman" w:eastAsia="Times New Roman" w:hAnsi="Times New Roman" w:cs="Times New Roman"/>
      <w:szCs w:val="24"/>
      <w:lang w:eastAsia="en-AU"/>
    </w:rPr>
  </w:style>
  <w:style w:type="paragraph" w:customStyle="1" w:styleId="acthead5">
    <w:name w:val="acthead5"/>
    <w:basedOn w:val="Normal"/>
    <w:rsid w:val="00BB538D"/>
    <w:pPr>
      <w:spacing w:before="100" w:beforeAutospacing="1" w:after="100" w:afterAutospacing="1"/>
    </w:pPr>
    <w:rPr>
      <w:rFonts w:ascii="Times New Roman" w:eastAsia="Times New Roman" w:hAnsi="Times New Roman" w:cs="Times New Roman"/>
      <w:szCs w:val="24"/>
      <w:lang w:eastAsia="en-AU"/>
    </w:rPr>
  </w:style>
  <w:style w:type="character" w:customStyle="1" w:styleId="charsectno">
    <w:name w:val="charsectno"/>
    <w:basedOn w:val="DefaultParagraphFont"/>
    <w:rsid w:val="00BB538D"/>
  </w:style>
  <w:style w:type="paragraph" w:customStyle="1" w:styleId="definitions">
    <w:name w:val="definitions"/>
    <w:basedOn w:val="Normal"/>
    <w:qFormat/>
    <w:rsid w:val="00BB538D"/>
    <w:pPr>
      <w:tabs>
        <w:tab w:val="left" w:pos="426"/>
        <w:tab w:val="left" w:pos="993"/>
      </w:tabs>
      <w:spacing w:after="120"/>
    </w:pPr>
  </w:style>
  <w:style w:type="character" w:styleId="Hyperlink">
    <w:name w:val="Hyperlink"/>
    <w:basedOn w:val="DefaultParagraphFont"/>
    <w:uiPriority w:val="99"/>
    <w:unhideWhenUsed/>
    <w:rsid w:val="00F60890"/>
    <w:rPr>
      <w:color w:val="0000FF" w:themeColor="hyperlink"/>
      <w:u w:val="single"/>
    </w:rPr>
  </w:style>
  <w:style w:type="character" w:styleId="CommentReference">
    <w:name w:val="annotation reference"/>
    <w:basedOn w:val="DefaultParagraphFont"/>
    <w:semiHidden/>
    <w:unhideWhenUsed/>
    <w:rsid w:val="003906B0"/>
    <w:rPr>
      <w:sz w:val="16"/>
      <w:szCs w:val="16"/>
    </w:rPr>
  </w:style>
  <w:style w:type="paragraph" w:styleId="CommentText">
    <w:name w:val="annotation text"/>
    <w:basedOn w:val="Normal"/>
    <w:link w:val="CommentTextChar"/>
    <w:unhideWhenUsed/>
    <w:rsid w:val="003906B0"/>
    <w:rPr>
      <w:sz w:val="20"/>
      <w:szCs w:val="20"/>
    </w:rPr>
  </w:style>
  <w:style w:type="character" w:customStyle="1" w:styleId="CommentTextChar">
    <w:name w:val="Comment Text Char"/>
    <w:basedOn w:val="DefaultParagraphFont"/>
    <w:link w:val="CommentText"/>
    <w:rsid w:val="003906B0"/>
    <w:rPr>
      <w:rFonts w:asciiTheme="minorHAnsi" w:hAnsiTheme="minorHAnsi" w:cstheme="minorBidi"/>
    </w:rPr>
  </w:style>
  <w:style w:type="paragraph" w:styleId="CommentSubject">
    <w:name w:val="annotation subject"/>
    <w:basedOn w:val="CommentText"/>
    <w:next w:val="CommentText"/>
    <w:link w:val="CommentSubjectChar"/>
    <w:semiHidden/>
    <w:unhideWhenUsed/>
    <w:rsid w:val="003906B0"/>
    <w:rPr>
      <w:b/>
      <w:bCs/>
    </w:rPr>
  </w:style>
  <w:style w:type="character" w:customStyle="1" w:styleId="CommentSubjectChar">
    <w:name w:val="Comment Subject Char"/>
    <w:basedOn w:val="CommentTextChar"/>
    <w:link w:val="CommentSubject"/>
    <w:semiHidden/>
    <w:rsid w:val="003906B0"/>
    <w:rPr>
      <w:rFonts w:asciiTheme="minorHAnsi" w:hAnsiTheme="minorHAnsi" w:cstheme="minorBidi"/>
      <w:b/>
      <w:bCs/>
    </w:rPr>
  </w:style>
  <w:style w:type="paragraph" w:styleId="BalloonText">
    <w:name w:val="Balloon Text"/>
    <w:basedOn w:val="Normal"/>
    <w:link w:val="BalloonTextChar"/>
    <w:semiHidden/>
    <w:unhideWhenUsed/>
    <w:rsid w:val="003906B0"/>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3906B0"/>
    <w:rPr>
      <w:rFonts w:ascii="Tahoma" w:hAnsi="Tahoma" w:cs="Tahoma"/>
      <w:sz w:val="16"/>
      <w:szCs w:val="16"/>
    </w:rPr>
  </w:style>
  <w:style w:type="paragraph" w:styleId="Revision">
    <w:name w:val="Revision"/>
    <w:hidden/>
    <w:uiPriority w:val="99"/>
    <w:semiHidden/>
    <w:rsid w:val="003C5743"/>
    <w:rPr>
      <w:rFonts w:asciiTheme="minorHAnsi" w:hAnsiTheme="minorHAnsi" w:cstheme="minorBidi"/>
      <w:sz w:val="24"/>
      <w:szCs w:val="22"/>
    </w:rPr>
  </w:style>
  <w:style w:type="paragraph" w:styleId="TOC1">
    <w:name w:val="toc 1"/>
    <w:basedOn w:val="Normal"/>
    <w:next w:val="Normal"/>
    <w:autoRedefine/>
    <w:uiPriority w:val="39"/>
    <w:unhideWhenUsed/>
    <w:rsid w:val="005D75FF"/>
    <w:pPr>
      <w:spacing w:after="100"/>
    </w:pPr>
  </w:style>
  <w:style w:type="paragraph" w:styleId="TOC2">
    <w:name w:val="toc 2"/>
    <w:basedOn w:val="Normal"/>
    <w:next w:val="Normal"/>
    <w:autoRedefine/>
    <w:uiPriority w:val="39"/>
    <w:unhideWhenUsed/>
    <w:rsid w:val="005D75FF"/>
    <w:pPr>
      <w:spacing w:after="100"/>
      <w:ind w:left="240"/>
    </w:pPr>
  </w:style>
  <w:style w:type="paragraph" w:styleId="TOC3">
    <w:name w:val="toc 3"/>
    <w:basedOn w:val="Normal"/>
    <w:next w:val="Normal"/>
    <w:autoRedefine/>
    <w:uiPriority w:val="39"/>
    <w:unhideWhenUsed/>
    <w:rsid w:val="005D75FF"/>
    <w:pPr>
      <w:spacing w:after="100"/>
      <w:ind w:left="480"/>
    </w:pPr>
  </w:style>
  <w:style w:type="paragraph" w:customStyle="1" w:styleId="Reviewtext">
    <w:name w:val="Review text"/>
    <w:basedOn w:val="Normal"/>
    <w:qFormat/>
    <w:rsid w:val="00023846"/>
    <w:pPr>
      <w:spacing w:after="180"/>
    </w:pPr>
    <w:rPr>
      <w:rFonts w:eastAsia="Cambria" w:cs="Times New Roman"/>
      <w:sz w:val="22"/>
      <w:szCs w:val="24"/>
    </w:rPr>
  </w:style>
  <w:style w:type="paragraph" w:styleId="FootnoteText">
    <w:name w:val="footnote text"/>
    <w:basedOn w:val="Normal"/>
    <w:link w:val="FootnoteTextChar"/>
    <w:uiPriority w:val="2"/>
    <w:semiHidden/>
    <w:unhideWhenUsed/>
    <w:rsid w:val="00023846"/>
    <w:pPr>
      <w:spacing w:after="0"/>
    </w:pPr>
    <w:rPr>
      <w:sz w:val="20"/>
      <w:szCs w:val="20"/>
    </w:rPr>
  </w:style>
  <w:style w:type="character" w:customStyle="1" w:styleId="FootnoteTextChar">
    <w:name w:val="Footnote Text Char"/>
    <w:basedOn w:val="DefaultParagraphFont"/>
    <w:link w:val="FootnoteText"/>
    <w:uiPriority w:val="2"/>
    <w:semiHidden/>
    <w:rsid w:val="00023846"/>
    <w:rPr>
      <w:rFonts w:asciiTheme="minorHAnsi" w:hAnsiTheme="minorHAnsi" w:cstheme="minorBidi"/>
    </w:rPr>
  </w:style>
  <w:style w:type="character" w:styleId="FootnoteReference">
    <w:name w:val="footnote reference"/>
    <w:basedOn w:val="DefaultParagraphFont"/>
    <w:uiPriority w:val="2"/>
    <w:semiHidden/>
    <w:unhideWhenUsed/>
    <w:rsid w:val="00023846"/>
    <w:rPr>
      <w:vertAlign w:val="superscript"/>
    </w:rPr>
  </w:style>
  <w:style w:type="paragraph" w:customStyle="1" w:styleId="ColorfulList-Accent11">
    <w:name w:val="Colorful List - Accent 11"/>
    <w:basedOn w:val="Normal"/>
    <w:uiPriority w:val="34"/>
    <w:qFormat/>
    <w:rsid w:val="0031624D"/>
    <w:pPr>
      <w:spacing w:after="200"/>
      <w:ind w:left="720"/>
      <w:contextualSpacing/>
    </w:pPr>
    <w:rPr>
      <w:rFonts w:ascii="Cambria" w:eastAsia="Cambria" w:hAnsi="Cambria"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79410">
      <w:bodyDiv w:val="1"/>
      <w:marLeft w:val="0"/>
      <w:marRight w:val="0"/>
      <w:marTop w:val="0"/>
      <w:marBottom w:val="0"/>
      <w:divBdr>
        <w:top w:val="none" w:sz="0" w:space="0" w:color="auto"/>
        <w:left w:val="none" w:sz="0" w:space="0" w:color="auto"/>
        <w:bottom w:val="none" w:sz="0" w:space="0" w:color="auto"/>
        <w:right w:val="none" w:sz="0" w:space="0" w:color="auto"/>
      </w:divBdr>
      <w:divsChild>
        <w:div w:id="34239279">
          <w:marLeft w:val="0"/>
          <w:marRight w:val="0"/>
          <w:marTop w:val="0"/>
          <w:marBottom w:val="0"/>
          <w:divBdr>
            <w:top w:val="none" w:sz="0" w:space="0" w:color="auto"/>
            <w:left w:val="none" w:sz="0" w:space="0" w:color="auto"/>
            <w:bottom w:val="none" w:sz="0" w:space="0" w:color="auto"/>
            <w:right w:val="none" w:sz="0" w:space="0" w:color="auto"/>
          </w:divBdr>
          <w:divsChild>
            <w:div w:id="1056710011">
              <w:marLeft w:val="0"/>
              <w:marRight w:val="0"/>
              <w:marTop w:val="0"/>
              <w:marBottom w:val="0"/>
              <w:divBdr>
                <w:top w:val="none" w:sz="0" w:space="0" w:color="auto"/>
                <w:left w:val="none" w:sz="0" w:space="0" w:color="auto"/>
                <w:bottom w:val="none" w:sz="0" w:space="0" w:color="auto"/>
                <w:right w:val="none" w:sz="0" w:space="0" w:color="auto"/>
              </w:divBdr>
              <w:divsChild>
                <w:div w:id="1856070611">
                  <w:marLeft w:val="0"/>
                  <w:marRight w:val="0"/>
                  <w:marTop w:val="0"/>
                  <w:marBottom w:val="0"/>
                  <w:divBdr>
                    <w:top w:val="none" w:sz="0" w:space="0" w:color="auto"/>
                    <w:left w:val="none" w:sz="0" w:space="0" w:color="auto"/>
                    <w:bottom w:val="none" w:sz="0" w:space="0" w:color="auto"/>
                    <w:right w:val="none" w:sz="0" w:space="0" w:color="auto"/>
                  </w:divBdr>
                  <w:divsChild>
                    <w:div w:id="1436906010">
                      <w:marLeft w:val="0"/>
                      <w:marRight w:val="0"/>
                      <w:marTop w:val="0"/>
                      <w:marBottom w:val="0"/>
                      <w:divBdr>
                        <w:top w:val="none" w:sz="0" w:space="0" w:color="auto"/>
                        <w:left w:val="none" w:sz="0" w:space="0" w:color="auto"/>
                        <w:bottom w:val="none" w:sz="0" w:space="0" w:color="auto"/>
                        <w:right w:val="none" w:sz="0" w:space="0" w:color="auto"/>
                      </w:divBdr>
                      <w:divsChild>
                        <w:div w:id="1011644270">
                          <w:marLeft w:val="0"/>
                          <w:marRight w:val="0"/>
                          <w:marTop w:val="0"/>
                          <w:marBottom w:val="0"/>
                          <w:divBdr>
                            <w:top w:val="single" w:sz="6" w:space="0" w:color="828282"/>
                            <w:left w:val="single" w:sz="6" w:space="0" w:color="828282"/>
                            <w:bottom w:val="single" w:sz="6" w:space="0" w:color="828282"/>
                            <w:right w:val="single" w:sz="6" w:space="0" w:color="828282"/>
                          </w:divBdr>
                          <w:divsChild>
                            <w:div w:id="427048612">
                              <w:marLeft w:val="0"/>
                              <w:marRight w:val="0"/>
                              <w:marTop w:val="0"/>
                              <w:marBottom w:val="0"/>
                              <w:divBdr>
                                <w:top w:val="none" w:sz="0" w:space="0" w:color="auto"/>
                                <w:left w:val="none" w:sz="0" w:space="0" w:color="auto"/>
                                <w:bottom w:val="none" w:sz="0" w:space="0" w:color="auto"/>
                                <w:right w:val="none" w:sz="0" w:space="0" w:color="auto"/>
                              </w:divBdr>
                              <w:divsChild>
                                <w:div w:id="146288444">
                                  <w:marLeft w:val="0"/>
                                  <w:marRight w:val="0"/>
                                  <w:marTop w:val="0"/>
                                  <w:marBottom w:val="0"/>
                                  <w:divBdr>
                                    <w:top w:val="none" w:sz="0" w:space="0" w:color="auto"/>
                                    <w:left w:val="none" w:sz="0" w:space="0" w:color="auto"/>
                                    <w:bottom w:val="none" w:sz="0" w:space="0" w:color="auto"/>
                                    <w:right w:val="none" w:sz="0" w:space="0" w:color="auto"/>
                                  </w:divBdr>
                                  <w:divsChild>
                                    <w:div w:id="704603855">
                                      <w:marLeft w:val="0"/>
                                      <w:marRight w:val="0"/>
                                      <w:marTop w:val="0"/>
                                      <w:marBottom w:val="0"/>
                                      <w:divBdr>
                                        <w:top w:val="none" w:sz="0" w:space="0" w:color="auto"/>
                                        <w:left w:val="none" w:sz="0" w:space="0" w:color="auto"/>
                                        <w:bottom w:val="none" w:sz="0" w:space="0" w:color="auto"/>
                                        <w:right w:val="none" w:sz="0" w:space="0" w:color="auto"/>
                                      </w:divBdr>
                                      <w:divsChild>
                                        <w:div w:id="507066800">
                                          <w:marLeft w:val="0"/>
                                          <w:marRight w:val="0"/>
                                          <w:marTop w:val="0"/>
                                          <w:marBottom w:val="0"/>
                                          <w:divBdr>
                                            <w:top w:val="none" w:sz="0" w:space="0" w:color="auto"/>
                                            <w:left w:val="none" w:sz="0" w:space="0" w:color="auto"/>
                                            <w:bottom w:val="none" w:sz="0" w:space="0" w:color="auto"/>
                                            <w:right w:val="none" w:sz="0" w:space="0" w:color="auto"/>
                                          </w:divBdr>
                                          <w:divsChild>
                                            <w:div w:id="380132329">
                                              <w:marLeft w:val="0"/>
                                              <w:marRight w:val="0"/>
                                              <w:marTop w:val="0"/>
                                              <w:marBottom w:val="0"/>
                                              <w:divBdr>
                                                <w:top w:val="none" w:sz="0" w:space="0" w:color="auto"/>
                                                <w:left w:val="none" w:sz="0" w:space="0" w:color="auto"/>
                                                <w:bottom w:val="none" w:sz="0" w:space="0" w:color="auto"/>
                                                <w:right w:val="none" w:sz="0" w:space="0" w:color="auto"/>
                                              </w:divBdr>
                                              <w:divsChild>
                                                <w:div w:id="21216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643339">
      <w:bodyDiv w:val="1"/>
      <w:marLeft w:val="0"/>
      <w:marRight w:val="0"/>
      <w:marTop w:val="0"/>
      <w:marBottom w:val="0"/>
      <w:divBdr>
        <w:top w:val="none" w:sz="0" w:space="0" w:color="auto"/>
        <w:left w:val="none" w:sz="0" w:space="0" w:color="auto"/>
        <w:bottom w:val="none" w:sz="0" w:space="0" w:color="auto"/>
        <w:right w:val="none" w:sz="0" w:space="0" w:color="auto"/>
      </w:divBdr>
      <w:divsChild>
        <w:div w:id="2001226621">
          <w:marLeft w:val="0"/>
          <w:marRight w:val="0"/>
          <w:marTop w:val="0"/>
          <w:marBottom w:val="0"/>
          <w:divBdr>
            <w:top w:val="none" w:sz="0" w:space="0" w:color="auto"/>
            <w:left w:val="none" w:sz="0" w:space="0" w:color="auto"/>
            <w:bottom w:val="none" w:sz="0" w:space="0" w:color="auto"/>
            <w:right w:val="none" w:sz="0" w:space="0" w:color="auto"/>
          </w:divBdr>
          <w:divsChild>
            <w:div w:id="1888486473">
              <w:marLeft w:val="0"/>
              <w:marRight w:val="0"/>
              <w:marTop w:val="0"/>
              <w:marBottom w:val="0"/>
              <w:divBdr>
                <w:top w:val="none" w:sz="0" w:space="0" w:color="auto"/>
                <w:left w:val="none" w:sz="0" w:space="0" w:color="auto"/>
                <w:bottom w:val="none" w:sz="0" w:space="0" w:color="auto"/>
                <w:right w:val="none" w:sz="0" w:space="0" w:color="auto"/>
              </w:divBdr>
              <w:divsChild>
                <w:div w:id="1314599662">
                  <w:marLeft w:val="0"/>
                  <w:marRight w:val="0"/>
                  <w:marTop w:val="0"/>
                  <w:marBottom w:val="0"/>
                  <w:divBdr>
                    <w:top w:val="none" w:sz="0" w:space="0" w:color="auto"/>
                    <w:left w:val="none" w:sz="0" w:space="0" w:color="auto"/>
                    <w:bottom w:val="none" w:sz="0" w:space="0" w:color="auto"/>
                    <w:right w:val="none" w:sz="0" w:space="0" w:color="auto"/>
                  </w:divBdr>
                  <w:divsChild>
                    <w:div w:id="1029796347">
                      <w:marLeft w:val="0"/>
                      <w:marRight w:val="0"/>
                      <w:marTop w:val="0"/>
                      <w:marBottom w:val="0"/>
                      <w:divBdr>
                        <w:top w:val="none" w:sz="0" w:space="0" w:color="auto"/>
                        <w:left w:val="none" w:sz="0" w:space="0" w:color="auto"/>
                        <w:bottom w:val="none" w:sz="0" w:space="0" w:color="auto"/>
                        <w:right w:val="none" w:sz="0" w:space="0" w:color="auto"/>
                      </w:divBdr>
                      <w:divsChild>
                        <w:div w:id="912812461">
                          <w:marLeft w:val="0"/>
                          <w:marRight w:val="0"/>
                          <w:marTop w:val="0"/>
                          <w:marBottom w:val="0"/>
                          <w:divBdr>
                            <w:top w:val="none" w:sz="0" w:space="0" w:color="auto"/>
                            <w:left w:val="none" w:sz="0" w:space="0" w:color="auto"/>
                            <w:bottom w:val="none" w:sz="0" w:space="0" w:color="auto"/>
                            <w:right w:val="none" w:sz="0" w:space="0" w:color="auto"/>
                          </w:divBdr>
                          <w:divsChild>
                            <w:div w:id="881287853">
                              <w:marLeft w:val="0"/>
                              <w:marRight w:val="0"/>
                              <w:marTop w:val="0"/>
                              <w:marBottom w:val="0"/>
                              <w:divBdr>
                                <w:top w:val="none" w:sz="0" w:space="0" w:color="auto"/>
                                <w:left w:val="none" w:sz="0" w:space="0" w:color="auto"/>
                                <w:bottom w:val="none" w:sz="0" w:space="0" w:color="auto"/>
                                <w:right w:val="none" w:sz="0" w:space="0" w:color="auto"/>
                              </w:divBdr>
                              <w:divsChild>
                                <w:div w:id="1970090165">
                                  <w:marLeft w:val="0"/>
                                  <w:marRight w:val="0"/>
                                  <w:marTop w:val="0"/>
                                  <w:marBottom w:val="0"/>
                                  <w:divBdr>
                                    <w:top w:val="none" w:sz="0" w:space="0" w:color="auto"/>
                                    <w:left w:val="none" w:sz="0" w:space="0" w:color="auto"/>
                                    <w:bottom w:val="none" w:sz="0" w:space="0" w:color="auto"/>
                                    <w:right w:val="none" w:sz="0" w:space="0" w:color="auto"/>
                                  </w:divBdr>
                                  <w:divsChild>
                                    <w:div w:id="301812744">
                                      <w:marLeft w:val="0"/>
                                      <w:marRight w:val="0"/>
                                      <w:marTop w:val="0"/>
                                      <w:marBottom w:val="0"/>
                                      <w:divBdr>
                                        <w:top w:val="none" w:sz="0" w:space="0" w:color="auto"/>
                                        <w:left w:val="none" w:sz="0" w:space="0" w:color="auto"/>
                                        <w:bottom w:val="none" w:sz="0" w:space="0" w:color="auto"/>
                                        <w:right w:val="none" w:sz="0" w:space="0" w:color="auto"/>
                                      </w:divBdr>
                                      <w:divsChild>
                                        <w:div w:id="370541205">
                                          <w:marLeft w:val="0"/>
                                          <w:marRight w:val="0"/>
                                          <w:marTop w:val="0"/>
                                          <w:marBottom w:val="0"/>
                                          <w:divBdr>
                                            <w:top w:val="none" w:sz="0" w:space="0" w:color="auto"/>
                                            <w:left w:val="none" w:sz="0" w:space="0" w:color="auto"/>
                                            <w:bottom w:val="none" w:sz="0" w:space="0" w:color="auto"/>
                                            <w:right w:val="none" w:sz="0" w:space="0" w:color="auto"/>
                                          </w:divBdr>
                                          <w:divsChild>
                                            <w:div w:id="6741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857482">
      <w:bodyDiv w:val="1"/>
      <w:marLeft w:val="0"/>
      <w:marRight w:val="0"/>
      <w:marTop w:val="0"/>
      <w:marBottom w:val="0"/>
      <w:divBdr>
        <w:top w:val="none" w:sz="0" w:space="0" w:color="auto"/>
        <w:left w:val="none" w:sz="0" w:space="0" w:color="auto"/>
        <w:bottom w:val="none" w:sz="0" w:space="0" w:color="auto"/>
        <w:right w:val="none" w:sz="0" w:space="0" w:color="auto"/>
      </w:divBdr>
      <w:divsChild>
        <w:div w:id="241138849">
          <w:marLeft w:val="0"/>
          <w:marRight w:val="0"/>
          <w:marTop w:val="0"/>
          <w:marBottom w:val="0"/>
          <w:divBdr>
            <w:top w:val="none" w:sz="0" w:space="0" w:color="auto"/>
            <w:left w:val="none" w:sz="0" w:space="0" w:color="auto"/>
            <w:bottom w:val="none" w:sz="0" w:space="0" w:color="auto"/>
            <w:right w:val="none" w:sz="0" w:space="0" w:color="auto"/>
          </w:divBdr>
          <w:divsChild>
            <w:div w:id="1395549235">
              <w:marLeft w:val="0"/>
              <w:marRight w:val="0"/>
              <w:marTop w:val="0"/>
              <w:marBottom w:val="0"/>
              <w:divBdr>
                <w:top w:val="none" w:sz="0" w:space="0" w:color="auto"/>
                <w:left w:val="none" w:sz="0" w:space="0" w:color="auto"/>
                <w:bottom w:val="none" w:sz="0" w:space="0" w:color="auto"/>
                <w:right w:val="none" w:sz="0" w:space="0" w:color="auto"/>
              </w:divBdr>
              <w:divsChild>
                <w:div w:id="1400440678">
                  <w:marLeft w:val="0"/>
                  <w:marRight w:val="0"/>
                  <w:marTop w:val="0"/>
                  <w:marBottom w:val="0"/>
                  <w:divBdr>
                    <w:top w:val="none" w:sz="0" w:space="0" w:color="auto"/>
                    <w:left w:val="none" w:sz="0" w:space="0" w:color="auto"/>
                    <w:bottom w:val="none" w:sz="0" w:space="0" w:color="auto"/>
                    <w:right w:val="none" w:sz="0" w:space="0" w:color="auto"/>
                  </w:divBdr>
                  <w:divsChild>
                    <w:div w:id="943998009">
                      <w:marLeft w:val="0"/>
                      <w:marRight w:val="0"/>
                      <w:marTop w:val="0"/>
                      <w:marBottom w:val="0"/>
                      <w:divBdr>
                        <w:top w:val="none" w:sz="0" w:space="0" w:color="auto"/>
                        <w:left w:val="none" w:sz="0" w:space="0" w:color="auto"/>
                        <w:bottom w:val="none" w:sz="0" w:space="0" w:color="auto"/>
                        <w:right w:val="none" w:sz="0" w:space="0" w:color="auto"/>
                      </w:divBdr>
                      <w:divsChild>
                        <w:div w:id="1613586897">
                          <w:marLeft w:val="0"/>
                          <w:marRight w:val="0"/>
                          <w:marTop w:val="0"/>
                          <w:marBottom w:val="0"/>
                          <w:divBdr>
                            <w:top w:val="none" w:sz="0" w:space="0" w:color="auto"/>
                            <w:left w:val="none" w:sz="0" w:space="0" w:color="auto"/>
                            <w:bottom w:val="none" w:sz="0" w:space="0" w:color="auto"/>
                            <w:right w:val="none" w:sz="0" w:space="0" w:color="auto"/>
                          </w:divBdr>
                          <w:divsChild>
                            <w:div w:id="1817606185">
                              <w:marLeft w:val="0"/>
                              <w:marRight w:val="0"/>
                              <w:marTop w:val="0"/>
                              <w:marBottom w:val="0"/>
                              <w:divBdr>
                                <w:top w:val="none" w:sz="0" w:space="0" w:color="auto"/>
                                <w:left w:val="none" w:sz="0" w:space="0" w:color="auto"/>
                                <w:bottom w:val="none" w:sz="0" w:space="0" w:color="auto"/>
                                <w:right w:val="none" w:sz="0" w:space="0" w:color="auto"/>
                              </w:divBdr>
                              <w:divsChild>
                                <w:div w:id="923732055">
                                  <w:marLeft w:val="0"/>
                                  <w:marRight w:val="0"/>
                                  <w:marTop w:val="0"/>
                                  <w:marBottom w:val="0"/>
                                  <w:divBdr>
                                    <w:top w:val="none" w:sz="0" w:space="0" w:color="auto"/>
                                    <w:left w:val="none" w:sz="0" w:space="0" w:color="auto"/>
                                    <w:bottom w:val="none" w:sz="0" w:space="0" w:color="auto"/>
                                    <w:right w:val="none" w:sz="0" w:space="0" w:color="auto"/>
                                  </w:divBdr>
                                  <w:divsChild>
                                    <w:div w:id="240532225">
                                      <w:marLeft w:val="0"/>
                                      <w:marRight w:val="0"/>
                                      <w:marTop w:val="0"/>
                                      <w:marBottom w:val="0"/>
                                      <w:divBdr>
                                        <w:top w:val="none" w:sz="0" w:space="0" w:color="auto"/>
                                        <w:left w:val="none" w:sz="0" w:space="0" w:color="auto"/>
                                        <w:bottom w:val="none" w:sz="0" w:space="0" w:color="auto"/>
                                        <w:right w:val="none" w:sz="0" w:space="0" w:color="auto"/>
                                      </w:divBdr>
                                      <w:divsChild>
                                        <w:div w:id="1786652178">
                                          <w:marLeft w:val="0"/>
                                          <w:marRight w:val="0"/>
                                          <w:marTop w:val="0"/>
                                          <w:marBottom w:val="0"/>
                                          <w:divBdr>
                                            <w:top w:val="none" w:sz="0" w:space="0" w:color="auto"/>
                                            <w:left w:val="none" w:sz="0" w:space="0" w:color="auto"/>
                                            <w:bottom w:val="none" w:sz="0" w:space="0" w:color="auto"/>
                                            <w:right w:val="none" w:sz="0" w:space="0" w:color="auto"/>
                                          </w:divBdr>
                                          <w:divsChild>
                                            <w:div w:id="214165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434126">
      <w:bodyDiv w:val="1"/>
      <w:marLeft w:val="0"/>
      <w:marRight w:val="0"/>
      <w:marTop w:val="0"/>
      <w:marBottom w:val="0"/>
      <w:divBdr>
        <w:top w:val="none" w:sz="0" w:space="0" w:color="auto"/>
        <w:left w:val="none" w:sz="0" w:space="0" w:color="auto"/>
        <w:bottom w:val="none" w:sz="0" w:space="0" w:color="auto"/>
        <w:right w:val="none" w:sz="0" w:space="0" w:color="auto"/>
      </w:divBdr>
      <w:divsChild>
        <w:div w:id="1828128998">
          <w:marLeft w:val="0"/>
          <w:marRight w:val="0"/>
          <w:marTop w:val="0"/>
          <w:marBottom w:val="0"/>
          <w:divBdr>
            <w:top w:val="none" w:sz="0" w:space="0" w:color="auto"/>
            <w:left w:val="none" w:sz="0" w:space="0" w:color="auto"/>
            <w:bottom w:val="none" w:sz="0" w:space="0" w:color="auto"/>
            <w:right w:val="none" w:sz="0" w:space="0" w:color="auto"/>
          </w:divBdr>
          <w:divsChild>
            <w:div w:id="350036700">
              <w:marLeft w:val="0"/>
              <w:marRight w:val="0"/>
              <w:marTop w:val="0"/>
              <w:marBottom w:val="0"/>
              <w:divBdr>
                <w:top w:val="none" w:sz="0" w:space="0" w:color="auto"/>
                <w:left w:val="none" w:sz="0" w:space="0" w:color="auto"/>
                <w:bottom w:val="none" w:sz="0" w:space="0" w:color="auto"/>
                <w:right w:val="none" w:sz="0" w:space="0" w:color="auto"/>
              </w:divBdr>
              <w:divsChild>
                <w:div w:id="601646601">
                  <w:marLeft w:val="0"/>
                  <w:marRight w:val="0"/>
                  <w:marTop w:val="0"/>
                  <w:marBottom w:val="0"/>
                  <w:divBdr>
                    <w:top w:val="none" w:sz="0" w:space="0" w:color="auto"/>
                    <w:left w:val="none" w:sz="0" w:space="0" w:color="auto"/>
                    <w:bottom w:val="none" w:sz="0" w:space="0" w:color="auto"/>
                    <w:right w:val="none" w:sz="0" w:space="0" w:color="auto"/>
                  </w:divBdr>
                  <w:divsChild>
                    <w:div w:id="2069916874">
                      <w:marLeft w:val="0"/>
                      <w:marRight w:val="0"/>
                      <w:marTop w:val="0"/>
                      <w:marBottom w:val="0"/>
                      <w:divBdr>
                        <w:top w:val="none" w:sz="0" w:space="0" w:color="auto"/>
                        <w:left w:val="none" w:sz="0" w:space="0" w:color="auto"/>
                        <w:bottom w:val="none" w:sz="0" w:space="0" w:color="auto"/>
                        <w:right w:val="none" w:sz="0" w:space="0" w:color="auto"/>
                      </w:divBdr>
                      <w:divsChild>
                        <w:div w:id="1292397739">
                          <w:marLeft w:val="0"/>
                          <w:marRight w:val="0"/>
                          <w:marTop w:val="0"/>
                          <w:marBottom w:val="0"/>
                          <w:divBdr>
                            <w:top w:val="none" w:sz="0" w:space="0" w:color="auto"/>
                            <w:left w:val="none" w:sz="0" w:space="0" w:color="auto"/>
                            <w:bottom w:val="none" w:sz="0" w:space="0" w:color="auto"/>
                            <w:right w:val="none" w:sz="0" w:space="0" w:color="auto"/>
                          </w:divBdr>
                          <w:divsChild>
                            <w:div w:id="1689793455">
                              <w:marLeft w:val="0"/>
                              <w:marRight w:val="0"/>
                              <w:marTop w:val="0"/>
                              <w:marBottom w:val="0"/>
                              <w:divBdr>
                                <w:top w:val="none" w:sz="0" w:space="0" w:color="auto"/>
                                <w:left w:val="none" w:sz="0" w:space="0" w:color="auto"/>
                                <w:bottom w:val="none" w:sz="0" w:space="0" w:color="auto"/>
                                <w:right w:val="none" w:sz="0" w:space="0" w:color="auto"/>
                              </w:divBdr>
                              <w:divsChild>
                                <w:div w:id="1365015413">
                                  <w:marLeft w:val="0"/>
                                  <w:marRight w:val="0"/>
                                  <w:marTop w:val="0"/>
                                  <w:marBottom w:val="0"/>
                                  <w:divBdr>
                                    <w:top w:val="none" w:sz="0" w:space="0" w:color="auto"/>
                                    <w:left w:val="none" w:sz="0" w:space="0" w:color="auto"/>
                                    <w:bottom w:val="none" w:sz="0" w:space="0" w:color="auto"/>
                                    <w:right w:val="none" w:sz="0" w:space="0" w:color="auto"/>
                                  </w:divBdr>
                                  <w:divsChild>
                                    <w:div w:id="1042754261">
                                      <w:marLeft w:val="0"/>
                                      <w:marRight w:val="0"/>
                                      <w:marTop w:val="0"/>
                                      <w:marBottom w:val="0"/>
                                      <w:divBdr>
                                        <w:top w:val="none" w:sz="0" w:space="0" w:color="auto"/>
                                        <w:left w:val="none" w:sz="0" w:space="0" w:color="auto"/>
                                        <w:bottom w:val="none" w:sz="0" w:space="0" w:color="auto"/>
                                        <w:right w:val="none" w:sz="0" w:space="0" w:color="auto"/>
                                      </w:divBdr>
                                      <w:divsChild>
                                        <w:div w:id="751774758">
                                          <w:marLeft w:val="0"/>
                                          <w:marRight w:val="0"/>
                                          <w:marTop w:val="0"/>
                                          <w:marBottom w:val="0"/>
                                          <w:divBdr>
                                            <w:top w:val="none" w:sz="0" w:space="0" w:color="auto"/>
                                            <w:left w:val="none" w:sz="0" w:space="0" w:color="auto"/>
                                            <w:bottom w:val="none" w:sz="0" w:space="0" w:color="auto"/>
                                            <w:right w:val="none" w:sz="0" w:space="0" w:color="auto"/>
                                          </w:divBdr>
                                          <w:divsChild>
                                            <w:div w:id="17666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nationalgamblingregulator.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0019\AppData\Local\Microsoft\Windows\Temporary%20Internet%20Files\Content.Outlook\4T4YOJ3S\www.aat.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mlaw.gov.au/" TargetMode="External"/><Relationship Id="rId4" Type="http://schemas.microsoft.com/office/2007/relationships/stylesWithEffects" Target="stylesWithEffects.xml"/><Relationship Id="rId9" Type="http://schemas.openxmlformats.org/officeDocument/2006/relationships/hyperlink" Target="http://www.comlaw.gov.au/Details/F2014L0010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01A97-F1E4-4BFA-8F82-19FA22285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Decision making process</vt:lpstr>
    </vt:vector>
  </TitlesOfParts>
  <Company>National Gambling Regulator</Company>
  <LinksUpToDate>false</LinksUpToDate>
  <CharactersWithSpaces>14244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process</dc:title>
  <dc:subject>Decision making process for ATM withdrawal limit exemption applications and review requests</dc:subject>
  <dc:creator>DELANEY, Anne</dc:creator>
  <cp:lastModifiedBy>FaHCSIA</cp:lastModifiedBy>
  <cp:revision>2</cp:revision>
  <cp:lastPrinted>2014-02-04T01:06:00Z</cp:lastPrinted>
  <dcterms:created xsi:type="dcterms:W3CDTF">2014-02-04T05:30:00Z</dcterms:created>
  <dcterms:modified xsi:type="dcterms:W3CDTF">2014-02-04T05:30:00Z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