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104" w:rsidRPr="00E1656D" w:rsidRDefault="002A6FDE" w:rsidP="002A6FDE">
      <w:pPr>
        <w:spacing w:after="200" w:line="240" w:lineRule="auto"/>
        <w:jc w:val="center"/>
        <w:rPr>
          <w:spacing w:val="5"/>
        </w:rPr>
      </w:pPr>
      <w:r>
        <w:rPr>
          <w:noProof/>
          <w:spacing w:val="5"/>
          <w:lang w:eastAsia="en-AU"/>
        </w:rPr>
        <w:drawing>
          <wp:inline distT="0" distB="0" distL="0" distR="0" wp14:anchorId="52FEBFC5" wp14:editId="120FCDDF">
            <wp:extent cx="1952625" cy="1000125"/>
            <wp:effectExtent l="0" t="0" r="9525" b="9525"/>
            <wp:docPr id="1" name="Picture 1" descr="Australian Government C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0045\AppData\Local\Microsoft\Windows\Temporary Internet Files\Content.Outlook\I7JFZB8A\Aust Government Logo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2625" cy="1000125"/>
                    </a:xfrm>
                    <a:prstGeom prst="rect">
                      <a:avLst/>
                    </a:prstGeom>
                    <a:noFill/>
                    <a:ln>
                      <a:noFill/>
                    </a:ln>
                  </pic:spPr>
                </pic:pic>
              </a:graphicData>
            </a:graphic>
          </wp:inline>
        </w:drawing>
      </w:r>
    </w:p>
    <w:p w:rsidR="00A06104" w:rsidRPr="00413811" w:rsidRDefault="00A06104" w:rsidP="000E20D1">
      <w:pPr>
        <w:pStyle w:val="Heading1"/>
        <w:spacing w:before="4080"/>
        <w:rPr>
          <w:rStyle w:val="BookTitle"/>
          <w:i/>
          <w:smallCaps w:val="0"/>
          <w:spacing w:val="0"/>
          <w:sz w:val="56"/>
          <w:szCs w:val="56"/>
        </w:rPr>
      </w:pPr>
      <w:r w:rsidRPr="00413811">
        <w:rPr>
          <w:rStyle w:val="BookTitle"/>
          <w:smallCaps w:val="0"/>
          <w:spacing w:val="0"/>
          <w:sz w:val="56"/>
          <w:szCs w:val="56"/>
        </w:rPr>
        <w:t>Government Response to the</w:t>
      </w:r>
      <w:r w:rsidR="00101647" w:rsidRPr="00413811">
        <w:rPr>
          <w:rStyle w:val="BookTitle"/>
          <w:smallCaps w:val="0"/>
          <w:spacing w:val="0"/>
          <w:sz w:val="56"/>
          <w:szCs w:val="56"/>
        </w:rPr>
        <w:br/>
      </w:r>
      <w:r w:rsidRPr="00413811">
        <w:rPr>
          <w:rStyle w:val="BookTitle"/>
          <w:smallCaps w:val="0"/>
          <w:spacing w:val="0"/>
          <w:sz w:val="56"/>
          <w:szCs w:val="56"/>
        </w:rPr>
        <w:t xml:space="preserve">2015 Review of </w:t>
      </w:r>
      <w:r w:rsidR="006D26B3" w:rsidRPr="00413811">
        <w:rPr>
          <w:rStyle w:val="BookTitle"/>
          <w:smallCaps w:val="0"/>
          <w:spacing w:val="0"/>
          <w:sz w:val="56"/>
          <w:szCs w:val="56"/>
        </w:rPr>
        <w:t>the Impact of</w:t>
      </w:r>
      <w:r w:rsidR="006D26B3" w:rsidRPr="00413811">
        <w:rPr>
          <w:rStyle w:val="BookTitle"/>
          <w:smallCaps w:val="0"/>
          <w:spacing w:val="0"/>
          <w:sz w:val="56"/>
          <w:szCs w:val="56"/>
        </w:rPr>
        <w:br/>
      </w:r>
      <w:r w:rsidRPr="00413811">
        <w:rPr>
          <w:rStyle w:val="BookTitle"/>
          <w:smallCaps w:val="0"/>
          <w:spacing w:val="0"/>
          <w:sz w:val="56"/>
          <w:szCs w:val="56"/>
        </w:rPr>
        <w:t>Illegal Offshore Wagering</w:t>
      </w:r>
    </w:p>
    <w:p w:rsidR="00A06104" w:rsidRPr="00E1656D" w:rsidRDefault="00ED3FBC" w:rsidP="002A6FDE">
      <w:pPr>
        <w:spacing w:before="2280" w:after="120" w:line="240" w:lineRule="auto"/>
        <w:jc w:val="center"/>
        <w:rPr>
          <w:spacing w:val="5"/>
          <w:sz w:val="24"/>
          <w:szCs w:val="24"/>
        </w:rPr>
      </w:pPr>
      <w:r>
        <w:rPr>
          <w:spacing w:val="5"/>
          <w:sz w:val="24"/>
          <w:szCs w:val="24"/>
        </w:rPr>
        <w:t>April</w:t>
      </w:r>
      <w:r w:rsidRPr="00E1656D">
        <w:rPr>
          <w:spacing w:val="5"/>
          <w:sz w:val="24"/>
          <w:szCs w:val="24"/>
        </w:rPr>
        <w:t xml:space="preserve"> </w:t>
      </w:r>
      <w:r w:rsidR="00A06104" w:rsidRPr="00E1656D">
        <w:rPr>
          <w:spacing w:val="5"/>
          <w:sz w:val="24"/>
          <w:szCs w:val="24"/>
        </w:rPr>
        <w:t>2016</w:t>
      </w:r>
    </w:p>
    <w:p w:rsidR="001420F1" w:rsidRDefault="001420F1">
      <w:pPr>
        <w:spacing w:after="200"/>
        <w:rPr>
          <w:b/>
        </w:rPr>
      </w:pPr>
      <w:r>
        <w:rPr>
          <w:b/>
        </w:rPr>
        <w:br w:type="page"/>
      </w:r>
    </w:p>
    <w:p w:rsidR="00946C43" w:rsidRPr="00DC15D9" w:rsidRDefault="00666AF7" w:rsidP="000E20D1">
      <w:pPr>
        <w:pStyle w:val="Heading2"/>
      </w:pPr>
      <w:r w:rsidRPr="00DC15D9">
        <w:lastRenderedPageBreak/>
        <w:t>INTRODUCTION</w:t>
      </w:r>
    </w:p>
    <w:p w:rsidR="001420F1" w:rsidRPr="00C92642" w:rsidRDefault="009E643B">
      <w:pPr>
        <w:pStyle w:val="NoSpacing"/>
      </w:pPr>
      <w:r w:rsidRPr="00C92642">
        <w:t>On 7</w:t>
      </w:r>
      <w:r w:rsidR="00946C43" w:rsidRPr="00C92642">
        <w:t xml:space="preserve"> September 2015, the </w:t>
      </w:r>
      <w:r w:rsidR="001420F1" w:rsidRPr="00C92642">
        <w:t>then</w:t>
      </w:r>
      <w:r w:rsidR="00946C43" w:rsidRPr="00C92642">
        <w:t xml:space="preserve"> Minister for Social Services, the Hon Scott Morrison MP, </w:t>
      </w:r>
      <w:r w:rsidR="001420F1" w:rsidRPr="00C92642">
        <w:t>asked</w:t>
      </w:r>
      <w:r w:rsidR="00946C43" w:rsidRPr="00320FA2">
        <w:t xml:space="preserve"> the Hon Barry O’Farrell to conduct a Review of the Impact of Illegal Offshore Wagering</w:t>
      </w:r>
      <w:r w:rsidR="00946C43" w:rsidRPr="00C92642">
        <w:t xml:space="preserve"> (the Review).</w:t>
      </w:r>
    </w:p>
    <w:p w:rsidR="001420F1" w:rsidRPr="00320FA2" w:rsidRDefault="001F5D72">
      <w:pPr>
        <w:pStyle w:val="NoSpacing"/>
      </w:pPr>
      <w:r w:rsidRPr="00320FA2">
        <w:t>The Review was conducted to investigate the size and scope of the illegal offshore wagering problem and advise on ways to strengthen our</w:t>
      </w:r>
      <w:r w:rsidR="003D28B8" w:rsidRPr="00320FA2">
        <w:t xml:space="preserve"> regulatory</w:t>
      </w:r>
      <w:r w:rsidRPr="00320FA2">
        <w:t xml:space="preserve"> enforcement and protect Australians from illegal offshore wagering operators. The Australian Government</w:t>
      </w:r>
      <w:r w:rsidR="00161A79" w:rsidRPr="00320FA2">
        <w:t xml:space="preserve"> (Government)</w:t>
      </w:r>
      <w:r w:rsidRPr="00320FA2">
        <w:t xml:space="preserve"> </w:t>
      </w:r>
      <w:r w:rsidR="009475CA" w:rsidRPr="00320FA2">
        <w:t xml:space="preserve">is </w:t>
      </w:r>
      <w:r w:rsidR="001420F1" w:rsidRPr="00320FA2">
        <w:t xml:space="preserve">concerned that </w:t>
      </w:r>
      <w:r w:rsidR="00B77738" w:rsidRPr="00320FA2">
        <w:t>illegal offshore wagering causes</w:t>
      </w:r>
      <w:r w:rsidR="001420F1" w:rsidRPr="00320FA2">
        <w:t xml:space="preserve"> several problems</w:t>
      </w:r>
      <w:r w:rsidR="00A50D8D" w:rsidRPr="00320FA2">
        <w:t xml:space="preserve"> including</w:t>
      </w:r>
      <w:r w:rsidR="001420F1" w:rsidRPr="00320FA2">
        <w:t>:</w:t>
      </w:r>
    </w:p>
    <w:p w:rsidR="00A50D8D" w:rsidRPr="003D28B8" w:rsidRDefault="00A50D8D" w:rsidP="00A50D8D">
      <w:pPr>
        <w:pStyle w:val="NoSpacing"/>
        <w:numPr>
          <w:ilvl w:val="0"/>
          <w:numId w:val="29"/>
        </w:numPr>
      </w:pPr>
      <w:r w:rsidRPr="00351A42">
        <w:t>greater risk</w:t>
      </w:r>
      <w:r w:rsidR="0074258C" w:rsidRPr="00351A42">
        <w:t xml:space="preserve"> for consume</w:t>
      </w:r>
      <w:r w:rsidR="0074258C" w:rsidRPr="000F4216">
        <w:t>rs</w:t>
      </w:r>
      <w:r w:rsidRPr="000F4216">
        <w:t xml:space="preserve"> because legal protections are not in place and standard consumer protections a</w:t>
      </w:r>
      <w:r w:rsidRPr="003D28B8">
        <w:t>re often absent;</w:t>
      </w:r>
    </w:p>
    <w:p w:rsidR="00A50D8D" w:rsidRPr="00DC15D9" w:rsidRDefault="009E643B" w:rsidP="00A50D8D">
      <w:pPr>
        <w:pStyle w:val="NoSpacing"/>
        <w:numPr>
          <w:ilvl w:val="0"/>
          <w:numId w:val="29"/>
        </w:numPr>
      </w:pPr>
      <w:r w:rsidRPr="003D28B8">
        <w:t>the potential</w:t>
      </w:r>
      <w:r w:rsidRPr="00DC15D9">
        <w:t xml:space="preserve"> for</w:t>
      </w:r>
      <w:r w:rsidR="00A50D8D" w:rsidRPr="00DC15D9">
        <w:t xml:space="preserve"> greater sports integrity problems, </w:t>
      </w:r>
      <w:r w:rsidR="003D28B8">
        <w:t xml:space="preserve">as </w:t>
      </w:r>
      <w:r w:rsidR="00A50D8D" w:rsidRPr="00DC15D9">
        <w:t>relevant betting and transaction information</w:t>
      </w:r>
      <w:r w:rsidR="003D28B8">
        <w:t xml:space="preserve"> is not available</w:t>
      </w:r>
      <w:r w:rsidR="00A50D8D" w:rsidRPr="00DC15D9">
        <w:t>; and</w:t>
      </w:r>
    </w:p>
    <w:p w:rsidR="00A50D8D" w:rsidRPr="000F4216" w:rsidRDefault="00A50D8D" w:rsidP="00A50D8D">
      <w:pPr>
        <w:pStyle w:val="NoSpacing"/>
        <w:numPr>
          <w:ilvl w:val="0"/>
          <w:numId w:val="29"/>
        </w:numPr>
      </w:pPr>
      <w:r w:rsidRPr="00351A42">
        <w:t xml:space="preserve">less tax revenue for governments, </w:t>
      </w:r>
      <w:r w:rsidR="00CF64B4">
        <w:t xml:space="preserve">less </w:t>
      </w:r>
      <w:r w:rsidRPr="00351A42">
        <w:t>product and other fees for the racing and sports industries, and</w:t>
      </w:r>
      <w:r w:rsidR="00CF64B4">
        <w:t xml:space="preserve"> fewer</w:t>
      </w:r>
      <w:r w:rsidRPr="00351A42">
        <w:t xml:space="preserve"> jobs for Australians.</w:t>
      </w:r>
    </w:p>
    <w:p w:rsidR="00946C43" w:rsidRPr="00351A42" w:rsidRDefault="00946C43" w:rsidP="00B77738">
      <w:pPr>
        <w:pStyle w:val="NoSpacing"/>
      </w:pPr>
      <w:r w:rsidRPr="003D28B8">
        <w:t>Mr O’Farrell was given a broad terms of reference to conduct the Review to al</w:t>
      </w:r>
      <w:r w:rsidR="001420F1" w:rsidRPr="003D28B8">
        <w:t xml:space="preserve">low him to look at the problem </w:t>
      </w:r>
      <w:r w:rsidR="00B77738" w:rsidRPr="00E655F2">
        <w:t>holistically</w:t>
      </w:r>
      <w:r w:rsidR="001420F1" w:rsidRPr="00E655F2">
        <w:t xml:space="preserve">. </w:t>
      </w:r>
      <w:r w:rsidR="00FE341B" w:rsidRPr="00351A42">
        <w:t xml:space="preserve">Mr O’Farrell’s Report is available </w:t>
      </w:r>
      <w:r w:rsidRPr="00351A42">
        <w:t xml:space="preserve">at </w:t>
      </w:r>
      <w:hyperlink r:id="rId15" w:history="1">
        <w:r w:rsidR="001F370A">
          <w:rPr>
            <w:rStyle w:val="Hyperlink"/>
            <w:rFonts w:cs="Arial"/>
            <w:sz w:val="20"/>
            <w:szCs w:val="20"/>
            <w:lang w:val="en-US"/>
          </w:rPr>
          <w:t>www.dss.gov.au/communities-and-vulnerable-people/programmes-services/gambling</w:t>
        </w:r>
      </w:hyperlink>
    </w:p>
    <w:p w:rsidR="00B77738" w:rsidRPr="00DC15D9" w:rsidRDefault="00B77738" w:rsidP="00B77738">
      <w:pPr>
        <w:pStyle w:val="NoSpacing"/>
      </w:pPr>
      <w:r w:rsidRPr="00351A42">
        <w:t xml:space="preserve">The Review makes 19 recommendations and the </w:t>
      </w:r>
      <w:r w:rsidR="00734C77" w:rsidRPr="00351A42">
        <w:t>G</w:t>
      </w:r>
      <w:r w:rsidRPr="00351A42">
        <w:t xml:space="preserve">overnment has accepted </w:t>
      </w:r>
      <w:r w:rsidR="008621F0">
        <w:t>1</w:t>
      </w:r>
      <w:r w:rsidR="00E616F9">
        <w:t>4</w:t>
      </w:r>
      <w:r w:rsidR="008621F0">
        <w:t xml:space="preserve"> recommendations in full and four in-principle</w:t>
      </w:r>
      <w:r w:rsidRPr="00351A42">
        <w:t>.</w:t>
      </w:r>
    </w:p>
    <w:p w:rsidR="00946C43" w:rsidRPr="00351A42" w:rsidRDefault="00946C43" w:rsidP="00946C43">
      <w:pPr>
        <w:pStyle w:val="NoSpacing"/>
        <w:rPr>
          <w:b/>
        </w:rPr>
      </w:pPr>
    </w:p>
    <w:p w:rsidR="00666AF7" w:rsidRPr="00DC15D9" w:rsidRDefault="009039C4" w:rsidP="000E20D1">
      <w:pPr>
        <w:pStyle w:val="Heading2"/>
      </w:pPr>
      <w:r w:rsidRPr="00DC15D9">
        <w:t xml:space="preserve">OVERVIEW OF </w:t>
      </w:r>
      <w:r w:rsidR="00666AF7" w:rsidRPr="00DC15D9">
        <w:t xml:space="preserve">THE AUSTRALIAN MARKET </w:t>
      </w:r>
    </w:p>
    <w:p w:rsidR="0057714D" w:rsidRPr="00C92642" w:rsidRDefault="0057714D" w:rsidP="000E20D1">
      <w:pPr>
        <w:pStyle w:val="Heading3"/>
      </w:pPr>
      <w:r w:rsidRPr="00C92642">
        <w:t>The size and growth of the market</w:t>
      </w:r>
    </w:p>
    <w:p w:rsidR="00666AF7" w:rsidRPr="00351A42" w:rsidRDefault="00A50D8D">
      <w:pPr>
        <w:pStyle w:val="NoSpacing"/>
      </w:pPr>
      <w:r w:rsidRPr="003D28B8">
        <w:t xml:space="preserve">Australians are </w:t>
      </w:r>
      <w:r w:rsidR="00DF0C80" w:rsidRPr="000E20D1">
        <w:t xml:space="preserve">among </w:t>
      </w:r>
      <w:r w:rsidRPr="003D28B8">
        <w:t>the biggest gamblers in the world</w:t>
      </w:r>
      <w:r w:rsidR="00DF0C80" w:rsidRPr="000E20D1">
        <w:t>, spending</w:t>
      </w:r>
      <w:r w:rsidR="00DF0C80" w:rsidRPr="00351A42">
        <w:t xml:space="preserve"> </w:t>
      </w:r>
      <w:r w:rsidRPr="00351A42">
        <w:t>$1,245 per capita in 2014</w:t>
      </w:r>
      <w:r w:rsidRPr="001056A5">
        <w:rPr>
          <w:rStyle w:val="FootnoteReference"/>
        </w:rPr>
        <w:footnoteReference w:id="2"/>
      </w:r>
      <w:r w:rsidRPr="000E20D1">
        <w:rPr>
          <w:vertAlign w:val="superscript"/>
        </w:rPr>
        <w:t>.</w:t>
      </w:r>
    </w:p>
    <w:p w:rsidR="00A50D8D" w:rsidRPr="00DC15D9" w:rsidRDefault="00A50D8D" w:rsidP="00A50D8D">
      <w:pPr>
        <w:pStyle w:val="NoSpacing"/>
      </w:pPr>
      <w:r w:rsidRPr="00351A42">
        <w:t>Online wagering is presently a relatively small part of the overall gambling market in Australia but it is the fastest growing segment. In 2013-14, overall expenditure on gambling in Australia was $21.1 billion and wagering made up $3.4 billion of this. Just under half of all wagering expenditure was conducted online ($1.4 billion), and this is growing at a rate of 15 per</w:t>
      </w:r>
      <w:r w:rsidR="0074258C" w:rsidRPr="00351A42">
        <w:t xml:space="preserve"> </w:t>
      </w:r>
      <w:r w:rsidRPr="00351A42">
        <w:t>cent per</w:t>
      </w:r>
      <w:r w:rsidR="00DF6A27" w:rsidRPr="00351A42">
        <w:t> </w:t>
      </w:r>
      <w:r w:rsidRPr="00DC15D9">
        <w:t>annum.</w:t>
      </w:r>
    </w:p>
    <w:p w:rsidR="00E26233" w:rsidRPr="00351A42" w:rsidRDefault="00E26233" w:rsidP="00351A42">
      <w:pPr>
        <w:pStyle w:val="NoSpacing"/>
      </w:pPr>
      <w:r w:rsidRPr="00351A42">
        <w:t>The Review found that the number of active online wagering accounts in Australia has grown four</w:t>
      </w:r>
      <w:r w:rsidRPr="00351A42">
        <w:noBreakHyphen/>
        <w:t>fold during the period 2004 to 2014 from 200,000 to 800,000. Many peo</w:t>
      </w:r>
      <w:r w:rsidR="009E643B" w:rsidRPr="00351A42">
        <w:t>ple have more than one account</w:t>
      </w:r>
      <w:r w:rsidR="00ED3FBC" w:rsidRPr="00351A42">
        <w:t>.</w:t>
      </w:r>
    </w:p>
    <w:p w:rsidR="00E26233" w:rsidRPr="00DC15D9" w:rsidRDefault="00E26233" w:rsidP="00E26233">
      <w:pPr>
        <w:pStyle w:val="NoSpacing"/>
      </w:pPr>
      <w:r w:rsidRPr="00DC15D9">
        <w:t xml:space="preserve">Legal online wagering is growing due to the </w:t>
      </w:r>
      <w:r w:rsidR="00DF0C80" w:rsidRPr="00DC15D9">
        <w:t xml:space="preserve">ubiquity of mobile devices and changes in consumer behaviour, which </w:t>
      </w:r>
      <w:r w:rsidR="00E1747B" w:rsidRPr="00DC15D9">
        <w:t>have</w:t>
      </w:r>
      <w:r w:rsidR="00DF0C80" w:rsidRPr="00DC15D9">
        <w:t xml:space="preserve"> in part been driven by</w:t>
      </w:r>
      <w:r w:rsidR="00DF0C80" w:rsidRPr="00351A42">
        <w:t xml:space="preserve"> </w:t>
      </w:r>
      <w:r w:rsidRPr="00DC15D9">
        <w:t xml:space="preserve">intensive marketing from companies licensed in Australia. The market is highly competitive, largely consisting of internationally owned companies, </w:t>
      </w:r>
      <w:r w:rsidR="00D123EF" w:rsidRPr="00351A42">
        <w:t>licens</w:t>
      </w:r>
      <w:r w:rsidRPr="00351A42">
        <w:t>ed</w:t>
      </w:r>
      <w:r w:rsidRPr="00DC15D9">
        <w:t xml:space="preserve"> and operating in Australia.</w:t>
      </w:r>
    </w:p>
    <w:p w:rsidR="00666AF7" w:rsidRPr="00DC15D9" w:rsidRDefault="00907FE6" w:rsidP="00946C43">
      <w:pPr>
        <w:pStyle w:val="NoSpacing"/>
      </w:pPr>
      <w:r w:rsidRPr="000F4216">
        <w:t>The Review found that e</w:t>
      </w:r>
      <w:r w:rsidR="00594CA5" w:rsidRPr="000F4216">
        <w:t>stimating</w:t>
      </w:r>
      <w:r w:rsidR="00897A9C" w:rsidRPr="000F4216">
        <w:t xml:space="preserve"> gambling</w:t>
      </w:r>
      <w:r w:rsidR="00594CA5" w:rsidRPr="00A800EF">
        <w:t xml:space="preserve"> expenditure by Australians on illegal offshore sites is difficult as there is no single authoritative data set</w:t>
      </w:r>
      <w:r w:rsidR="00946C43" w:rsidRPr="003D28B8">
        <w:t>.</w:t>
      </w:r>
      <w:r w:rsidR="000070B1" w:rsidRPr="00351A42">
        <w:t xml:space="preserve"> </w:t>
      </w:r>
      <w:r w:rsidR="00594CA5" w:rsidRPr="00DC15D9">
        <w:t>The lower estimate suggests that it is only 5</w:t>
      </w:r>
      <w:r w:rsidR="00DF6A27" w:rsidRPr="00351A42">
        <w:t> </w:t>
      </w:r>
      <w:r w:rsidR="00594CA5" w:rsidRPr="00DC15D9">
        <w:t>per</w:t>
      </w:r>
      <w:r w:rsidR="008621F0">
        <w:t> </w:t>
      </w:r>
      <w:r w:rsidR="00594CA5" w:rsidRPr="00DC15D9">
        <w:t xml:space="preserve">cent of the total expenditure by Australians </w:t>
      </w:r>
      <w:r w:rsidR="00666AF7" w:rsidRPr="00DC15D9">
        <w:t>($64 million) and that this figure has declined mar</w:t>
      </w:r>
      <w:r w:rsidR="00666AF7" w:rsidRPr="00351A42">
        <w:t xml:space="preserve">kedly since 2004. </w:t>
      </w:r>
      <w:r w:rsidRPr="00DC15D9">
        <w:t>Based on this figure</w:t>
      </w:r>
      <w:r w:rsidR="00B77738" w:rsidRPr="00DC15D9">
        <w:t xml:space="preserve">, </w:t>
      </w:r>
      <w:r w:rsidR="00666AF7" w:rsidRPr="00DC15D9">
        <w:t>the ‘problem’ o</w:t>
      </w:r>
      <w:r w:rsidRPr="00DC15D9">
        <w:t>f illegal offshore gambling is relatively small</w:t>
      </w:r>
      <w:r w:rsidR="00666AF7" w:rsidRPr="00351A42">
        <w:t>.</w:t>
      </w:r>
      <w:r w:rsidRPr="00351A42">
        <w:t xml:space="preserve"> </w:t>
      </w:r>
      <w:r w:rsidR="00666AF7" w:rsidRPr="000F4216">
        <w:t xml:space="preserve">However, upper estimates quoted by </w:t>
      </w:r>
      <w:r w:rsidR="0057714D" w:rsidRPr="000F4216">
        <w:t>the Review</w:t>
      </w:r>
      <w:r w:rsidR="00666AF7" w:rsidRPr="000F4216">
        <w:t xml:space="preserve"> put the figur</w:t>
      </w:r>
      <w:r w:rsidR="007E2691" w:rsidRPr="00A800EF">
        <w:t>e at 26 per</w:t>
      </w:r>
      <w:r w:rsidR="00435142" w:rsidRPr="00A800EF">
        <w:t xml:space="preserve"> </w:t>
      </w:r>
      <w:r w:rsidR="007E2691" w:rsidRPr="00A800EF">
        <w:t>cent of the market (</w:t>
      </w:r>
      <w:r w:rsidR="00666AF7" w:rsidRPr="00A800EF">
        <w:t>$400</w:t>
      </w:r>
      <w:r w:rsidR="00734C77" w:rsidRPr="00351A42">
        <w:t> </w:t>
      </w:r>
      <w:r w:rsidR="00666AF7" w:rsidRPr="00DC15D9">
        <w:t>million) and growing.</w:t>
      </w:r>
    </w:p>
    <w:p w:rsidR="00B11F31" w:rsidRDefault="00B11F31">
      <w:pPr>
        <w:spacing w:after="200"/>
      </w:pPr>
      <w:r>
        <w:br w:type="page"/>
      </w:r>
    </w:p>
    <w:p w:rsidR="001F5D72" w:rsidRPr="00351A42" w:rsidRDefault="001F5D72" w:rsidP="00C92642">
      <w:pPr>
        <w:pStyle w:val="NoSpacing"/>
      </w:pPr>
      <w:r w:rsidRPr="00351A42">
        <w:lastRenderedPageBreak/>
        <w:t>The Review found that Australians bet on illegal offshore sites for many reasons including a broader product offering and better odds.</w:t>
      </w:r>
      <w:r w:rsidR="000070B1" w:rsidRPr="00351A42">
        <w:t xml:space="preserve"> </w:t>
      </w:r>
      <w:r w:rsidRPr="00DC15D9">
        <w:t xml:space="preserve">Illegal offshore sites offer a </w:t>
      </w:r>
      <w:r w:rsidR="008621F0">
        <w:t>wider</w:t>
      </w:r>
      <w:r w:rsidR="008621F0" w:rsidRPr="00DC15D9">
        <w:t xml:space="preserve"> </w:t>
      </w:r>
      <w:r w:rsidRPr="00DC15D9">
        <w:t xml:space="preserve">range of betting options including in-play and micro bets for sporting events which </w:t>
      </w:r>
      <w:r w:rsidR="00512421" w:rsidRPr="00DC15D9">
        <w:t>are not</w:t>
      </w:r>
      <w:r w:rsidR="00512421" w:rsidRPr="00351A42">
        <w:t xml:space="preserve"> </w:t>
      </w:r>
      <w:r w:rsidRPr="00DC15D9">
        <w:t>legally offered online to Australians</w:t>
      </w:r>
      <w:r w:rsidRPr="00351A42">
        <w:t>.</w:t>
      </w:r>
      <w:r w:rsidR="009E643B" w:rsidRPr="00351A42">
        <w:t xml:space="preserve"> </w:t>
      </w:r>
      <w:r w:rsidR="00512421" w:rsidRPr="00351A42">
        <w:t xml:space="preserve">Some </w:t>
      </w:r>
      <w:r w:rsidR="009E643B" w:rsidRPr="00351A42">
        <w:t xml:space="preserve">Illegal offshore operators </w:t>
      </w:r>
      <w:r w:rsidR="009E643B" w:rsidRPr="00DC15D9">
        <w:t>offer better odds as they are not paying taxes, licenc</w:t>
      </w:r>
      <w:r w:rsidR="00435142" w:rsidRPr="00351A42">
        <w:t>e</w:t>
      </w:r>
      <w:r w:rsidR="009E643B" w:rsidRPr="00DC15D9">
        <w:t xml:space="preserve"> fees, or product fees required to sustain the industry in Australia.</w:t>
      </w:r>
      <w:r w:rsidR="00DF6A27" w:rsidRPr="00351A42">
        <w:t> </w:t>
      </w:r>
      <w:r w:rsidR="00512421" w:rsidRPr="00DC15D9">
        <w:t>M</w:t>
      </w:r>
      <w:r w:rsidRPr="00DC15D9">
        <w:t>any</w:t>
      </w:r>
      <w:r w:rsidRPr="00351A42">
        <w:t xml:space="preserve"> Australians are </w:t>
      </w:r>
      <w:r w:rsidR="00512421" w:rsidRPr="00351A42">
        <w:t xml:space="preserve">also </w:t>
      </w:r>
      <w:r w:rsidRPr="00DC15D9">
        <w:t>unaware that the sites they are betting on are not licensed in Australia and that there is limited legal recourse if they run into any difficulties obtaining winnings or deposits</w:t>
      </w:r>
      <w:r w:rsidRPr="00351A42">
        <w:t>.</w:t>
      </w:r>
    </w:p>
    <w:p w:rsidR="00E26233" w:rsidRPr="00216A76" w:rsidRDefault="00DF0C80" w:rsidP="000E20D1">
      <w:pPr>
        <w:pStyle w:val="NoSpacing"/>
      </w:pPr>
      <w:r w:rsidRPr="000E20D1">
        <w:t>A number of countries have successfully tackled illegal offshore wagering by adopting a multifaceted approach to limiting access to unlicensed wagering sites.</w:t>
      </w:r>
      <w:r w:rsidR="00E26233" w:rsidRPr="000E20D1">
        <w:t xml:space="preserve"> France</w:t>
      </w:r>
      <w:r w:rsidR="009475CA" w:rsidRPr="000E20D1">
        <w:t>,</w:t>
      </w:r>
      <w:r w:rsidR="00E26233" w:rsidRPr="000E20D1">
        <w:t xml:space="preserve"> for example</w:t>
      </w:r>
      <w:r w:rsidR="009475CA" w:rsidRPr="000E20D1">
        <w:t>,</w:t>
      </w:r>
      <w:r w:rsidR="00E26233" w:rsidRPr="000E20D1">
        <w:t xml:space="preserve"> legislated to break local monopolies on online gambling and introduced Internet Service Provider (ISP) and transaction blocking. This resulted in unauthorised wagering dropping from 75</w:t>
      </w:r>
      <w:r w:rsidR="00734C77" w:rsidRPr="000E20D1">
        <w:t> </w:t>
      </w:r>
      <w:r w:rsidR="00E26233" w:rsidRPr="000E20D1">
        <w:t>per</w:t>
      </w:r>
      <w:r w:rsidR="00734C77" w:rsidRPr="000E20D1">
        <w:t> </w:t>
      </w:r>
      <w:r w:rsidR="00E26233" w:rsidRPr="000E20D1">
        <w:t>cent to 20 per</w:t>
      </w:r>
      <w:r w:rsidR="00435142" w:rsidRPr="000E20D1">
        <w:t xml:space="preserve"> </w:t>
      </w:r>
      <w:r w:rsidR="00E26233" w:rsidRPr="000E20D1">
        <w:t>cent of online gambling</w:t>
      </w:r>
      <w:r w:rsidR="00E26233" w:rsidRPr="00320FA2">
        <w:rPr>
          <w:rStyle w:val="FootnoteReference"/>
        </w:rPr>
        <w:footnoteReference w:id="3"/>
      </w:r>
      <w:r w:rsidR="00E26233" w:rsidRPr="00216A76">
        <w:t>.</w:t>
      </w:r>
    </w:p>
    <w:p w:rsidR="00666AF7" w:rsidRPr="00320FA2" w:rsidRDefault="00FA5234">
      <w:pPr>
        <w:pStyle w:val="NoSpacing"/>
      </w:pPr>
      <w:r w:rsidRPr="00320FA2">
        <w:t>N</w:t>
      </w:r>
      <w:r w:rsidR="00946C43" w:rsidRPr="00320FA2">
        <w:t xml:space="preserve">o </w:t>
      </w:r>
      <w:r w:rsidR="009E643B" w:rsidRPr="00320FA2">
        <w:t>country has</w:t>
      </w:r>
      <w:r w:rsidR="00946C43" w:rsidRPr="00320FA2">
        <w:t xml:space="preserve"> eradicated illegal offshore betting in its entirety.</w:t>
      </w:r>
    </w:p>
    <w:p w:rsidR="001F5D72" w:rsidRPr="003D28B8" w:rsidRDefault="001F5D72" w:rsidP="00946C43">
      <w:pPr>
        <w:pStyle w:val="NoSpacing"/>
      </w:pPr>
    </w:p>
    <w:p w:rsidR="00666AF7" w:rsidRPr="003D28B8" w:rsidRDefault="00666AF7" w:rsidP="000E20D1">
      <w:pPr>
        <w:pStyle w:val="Heading3"/>
      </w:pPr>
      <w:r w:rsidRPr="003D28B8">
        <w:t>The Australian regulatory regime</w:t>
      </w:r>
    </w:p>
    <w:p w:rsidR="00E26233" w:rsidRPr="00351A42" w:rsidRDefault="00E26233" w:rsidP="000E20D1">
      <w:pPr>
        <w:pStyle w:val="NoSpacing"/>
      </w:pPr>
      <w:r w:rsidRPr="00DC15D9">
        <w:t>Online gambling, including wagering, is regulated in Australia by a combination of state</w:t>
      </w:r>
      <w:r w:rsidR="009E643B" w:rsidRPr="00DC15D9">
        <w:t xml:space="preserve"> and territory,</w:t>
      </w:r>
      <w:r w:rsidRPr="00DC15D9">
        <w:t xml:space="preserve"> and </w:t>
      </w:r>
      <w:r w:rsidR="00245F3B">
        <w:t>Commonwealth</w:t>
      </w:r>
      <w:r w:rsidR="00245F3B" w:rsidRPr="00DC15D9">
        <w:t xml:space="preserve"> </w:t>
      </w:r>
      <w:r w:rsidRPr="00DC15D9">
        <w:t xml:space="preserve">laws. State and territory governments </w:t>
      </w:r>
      <w:r w:rsidR="00245F3B">
        <w:t xml:space="preserve">(states) </w:t>
      </w:r>
      <w:r w:rsidRPr="00DC15D9">
        <w:t>are responsible for the</w:t>
      </w:r>
      <w:r w:rsidRPr="00A800EF">
        <w:t xml:space="preserve"> regulation, licensing and </w:t>
      </w:r>
      <w:r w:rsidR="009E643B" w:rsidRPr="003D28B8">
        <w:t xml:space="preserve">most </w:t>
      </w:r>
      <w:r w:rsidRPr="003D28B8">
        <w:t>consumer protection measures of legal online gambling services. The</w:t>
      </w:r>
      <w:r w:rsidR="00A800EF" w:rsidRPr="00351A42">
        <w:t> </w:t>
      </w:r>
      <w:r w:rsidR="008621F0">
        <w:t xml:space="preserve">Commonwealth </w:t>
      </w:r>
      <w:r w:rsidR="00107EF7" w:rsidRPr="00351A42">
        <w:t>G</w:t>
      </w:r>
      <w:r w:rsidR="009E643B" w:rsidRPr="00DC15D9">
        <w:t xml:space="preserve">overnment’s </w:t>
      </w:r>
      <w:r w:rsidR="009E643B" w:rsidRPr="00351A42">
        <w:rPr>
          <w:i/>
        </w:rPr>
        <w:t xml:space="preserve">Interactive Gambling Act </w:t>
      </w:r>
      <w:r w:rsidR="00233E7F" w:rsidRPr="00351A42">
        <w:rPr>
          <w:i/>
        </w:rPr>
        <w:t>2001</w:t>
      </w:r>
      <w:r w:rsidR="00233E7F" w:rsidRPr="00DC15D9">
        <w:t xml:space="preserve"> (IGA)</w:t>
      </w:r>
      <w:r w:rsidRPr="00DC15D9">
        <w:t xml:space="preserve"> </w:t>
      </w:r>
      <w:r w:rsidR="00233E7F" w:rsidRPr="00351A42">
        <w:t>limits the types of online gambling products that can be offered to Australians.</w:t>
      </w:r>
    </w:p>
    <w:p w:rsidR="00E26233" w:rsidRPr="00A800EF" w:rsidRDefault="00E26233" w:rsidP="000E20D1">
      <w:pPr>
        <w:pStyle w:val="NoSpacing"/>
      </w:pPr>
      <w:r w:rsidRPr="000F4216">
        <w:t>Australia is home to nine jurisdictions that licence</w:t>
      </w:r>
      <w:r w:rsidRPr="00DC15D9">
        <w:t xml:space="preserve"> gambling with </w:t>
      </w:r>
      <w:r w:rsidR="00D11348" w:rsidRPr="00351A42">
        <w:t>more than 60</w:t>
      </w:r>
      <w:r w:rsidRPr="00351A42">
        <w:t xml:space="preserve"> </w:t>
      </w:r>
      <w:r w:rsidRPr="00DC15D9">
        <w:t xml:space="preserve">pieces of legislation underpinning </w:t>
      </w:r>
      <w:r w:rsidR="00107EF7" w:rsidRPr="00351A42">
        <w:t>the regulatory environment</w:t>
      </w:r>
      <w:r w:rsidRPr="00DC15D9">
        <w:t>. As a result Australia has a regulatory framework that is fragme</w:t>
      </w:r>
      <w:r w:rsidRPr="00351A42">
        <w:t>nted, inconsistent and leads to increased compliance</w:t>
      </w:r>
      <w:r w:rsidR="00233E7F" w:rsidRPr="00351A42">
        <w:t xml:space="preserve"> burdens</w:t>
      </w:r>
      <w:r w:rsidRPr="000F4216">
        <w:t xml:space="preserve"> for online operators who need to comply with differing rules </w:t>
      </w:r>
      <w:r w:rsidR="00233E7F" w:rsidRPr="00A800EF">
        <w:t>in</w:t>
      </w:r>
      <w:r w:rsidRPr="00A800EF">
        <w:t xml:space="preserve"> each state</w:t>
      </w:r>
      <w:r w:rsidR="00233E7F" w:rsidRPr="00A800EF">
        <w:t xml:space="preserve"> and territory</w:t>
      </w:r>
      <w:r w:rsidRPr="00A800EF">
        <w:t>.</w:t>
      </w:r>
    </w:p>
    <w:p w:rsidR="00233E7F" w:rsidRPr="00DC15D9" w:rsidRDefault="00E26233" w:rsidP="000E20D1">
      <w:pPr>
        <w:pStyle w:val="NoSpacing"/>
      </w:pPr>
      <w:r w:rsidRPr="003D28B8">
        <w:t>The IGA has become ineffective</w:t>
      </w:r>
      <w:r w:rsidR="003D28B8">
        <w:t xml:space="preserve"> and out</w:t>
      </w:r>
      <w:r w:rsidR="00343743">
        <w:t>-</w:t>
      </w:r>
      <w:r w:rsidR="003D28B8">
        <w:t>dated</w:t>
      </w:r>
      <w:r w:rsidR="00DF0C80" w:rsidRPr="00DC15D9">
        <w:t>, with considerable confusion among both</w:t>
      </w:r>
      <w:r w:rsidR="00DF0C80" w:rsidRPr="00351A42">
        <w:t xml:space="preserve"> licensed operators </w:t>
      </w:r>
      <w:r w:rsidR="00DF0C80" w:rsidRPr="00DC15D9">
        <w:t>and</w:t>
      </w:r>
      <w:r w:rsidR="00DF0C80" w:rsidRPr="00351A42">
        <w:t xml:space="preserve"> consumers </w:t>
      </w:r>
      <w:r w:rsidR="00DF0C80" w:rsidRPr="00DC15D9">
        <w:t xml:space="preserve">on </w:t>
      </w:r>
      <w:r w:rsidR="00DF0C80" w:rsidRPr="00351A42">
        <w:t xml:space="preserve">what is </w:t>
      </w:r>
      <w:r w:rsidR="00DF0C80" w:rsidRPr="00DC15D9">
        <w:t>permitted</w:t>
      </w:r>
      <w:r w:rsidR="00DF0C80" w:rsidRPr="00351A42">
        <w:t xml:space="preserve"> under the Act</w:t>
      </w:r>
      <w:r w:rsidRPr="00DC15D9">
        <w:t>.</w:t>
      </w:r>
      <w:r w:rsidR="000070B1" w:rsidRPr="00351A42">
        <w:t xml:space="preserve"> </w:t>
      </w:r>
      <w:r w:rsidR="00233E7F" w:rsidRPr="00DC15D9">
        <w:t>For example</w:t>
      </w:r>
      <w:r w:rsidR="00233E7F" w:rsidRPr="00351A42">
        <w:t xml:space="preserve">, </w:t>
      </w:r>
      <w:r w:rsidR="00233E7F" w:rsidRPr="00DC15D9">
        <w:t>some operators have</w:t>
      </w:r>
      <w:r w:rsidR="00AB33F5" w:rsidRPr="00351A42">
        <w:t xml:space="preserve"> </w:t>
      </w:r>
      <w:r w:rsidR="003D28B8">
        <w:t xml:space="preserve">relatively </w:t>
      </w:r>
      <w:r w:rsidR="007F455E" w:rsidRPr="00351A42">
        <w:t xml:space="preserve">recently </w:t>
      </w:r>
      <w:r w:rsidR="007F455E" w:rsidRPr="00DC15D9">
        <w:t>introduced</w:t>
      </w:r>
      <w:r w:rsidR="00233E7F" w:rsidRPr="00DC15D9">
        <w:t xml:space="preserve"> </w:t>
      </w:r>
      <w:r w:rsidRPr="00351A42">
        <w:t>‘click</w:t>
      </w:r>
      <w:r w:rsidR="00B445B5" w:rsidRPr="00351A42">
        <w:t>-</w:t>
      </w:r>
      <w:r w:rsidRPr="00DC15D9">
        <w:t>to</w:t>
      </w:r>
      <w:r w:rsidR="00B445B5" w:rsidRPr="00351A42">
        <w:t>-</w:t>
      </w:r>
      <w:r w:rsidRPr="00DC15D9">
        <w:t xml:space="preserve">call’ </w:t>
      </w:r>
      <w:r w:rsidR="00233E7F" w:rsidRPr="00DC15D9">
        <w:t xml:space="preserve">in-play betting services which have been developed to </w:t>
      </w:r>
      <w:r w:rsidR="007F455E" w:rsidRPr="00DC15D9">
        <w:t>circumvent</w:t>
      </w:r>
      <w:r w:rsidR="007F455E" w:rsidRPr="00351A42">
        <w:t xml:space="preserve"> </w:t>
      </w:r>
      <w:r w:rsidR="00233E7F" w:rsidRPr="00DC15D9">
        <w:t>the operation of the legislation.</w:t>
      </w:r>
    </w:p>
    <w:p w:rsidR="00666AF7" w:rsidRPr="00DC15D9" w:rsidRDefault="007F455E" w:rsidP="00946C43">
      <w:pPr>
        <w:pStyle w:val="NoSpacing"/>
      </w:pPr>
      <w:r w:rsidRPr="00DC15D9">
        <w:t>T</w:t>
      </w:r>
      <w:r w:rsidR="001F5D72" w:rsidRPr="00DC15D9">
        <w:t>here</w:t>
      </w:r>
      <w:r w:rsidR="001F5D72" w:rsidRPr="00351A42">
        <w:t xml:space="preserve"> is </w:t>
      </w:r>
      <w:r w:rsidRPr="00351A42">
        <w:t xml:space="preserve">also </w:t>
      </w:r>
      <w:r w:rsidR="001F5D72" w:rsidRPr="00DC15D9">
        <w:t xml:space="preserve">ambiguity about whether offshore providers are complying with Commonwealth, </w:t>
      </w:r>
      <w:r w:rsidR="00D11348" w:rsidRPr="00351A42">
        <w:t>s</w:t>
      </w:r>
      <w:r w:rsidR="001F5D72" w:rsidRPr="00DC15D9">
        <w:t xml:space="preserve">tate and </w:t>
      </w:r>
      <w:r w:rsidR="00D11348" w:rsidRPr="00351A42">
        <w:t>t</w:t>
      </w:r>
      <w:r w:rsidR="001F5D72" w:rsidRPr="00351A42">
        <w:t>erritory</w:t>
      </w:r>
      <w:r w:rsidR="001F5D72" w:rsidRPr="00DC15D9">
        <w:t xml:space="preserve"> law.</w:t>
      </w:r>
      <w:r w:rsidR="000070B1" w:rsidRPr="00351A42">
        <w:t xml:space="preserve"> </w:t>
      </w:r>
      <w:r w:rsidR="002D2269" w:rsidRPr="00351A42">
        <w:t>Enforcement of the IGA has also been difficult, as the ambiguity of many provisions and the difficulties in obtaining admissible evidence from overseas jurisdictions often hamper investigations.</w:t>
      </w:r>
    </w:p>
    <w:p w:rsidR="001F5D72" w:rsidRPr="00351A42" w:rsidRDefault="001F5D72" w:rsidP="00946C43">
      <w:pPr>
        <w:pStyle w:val="NoSpacing"/>
      </w:pPr>
    </w:p>
    <w:p w:rsidR="00666AF7" w:rsidRPr="000F4216" w:rsidRDefault="00666AF7" w:rsidP="000E20D1">
      <w:pPr>
        <w:pStyle w:val="Heading3"/>
      </w:pPr>
      <w:r w:rsidRPr="000F4216">
        <w:t>Problem gambling</w:t>
      </w:r>
    </w:p>
    <w:p w:rsidR="003B2086" w:rsidRPr="00351A42" w:rsidRDefault="00DF0C80" w:rsidP="00ED687B">
      <w:pPr>
        <w:pStyle w:val="NoSpacing"/>
      </w:pPr>
      <w:r w:rsidRPr="00DC15D9">
        <w:t>Rates</w:t>
      </w:r>
      <w:r w:rsidRPr="00351A42">
        <w:t xml:space="preserve"> of problem gambling among interactive gamblers</w:t>
      </w:r>
      <w:r w:rsidR="00630674">
        <w:t xml:space="preserve"> </w:t>
      </w:r>
      <w:r w:rsidRPr="00351A42">
        <w:t>is a concern to the Government.</w:t>
      </w:r>
      <w:r w:rsidR="000070B1" w:rsidRPr="00351A42">
        <w:t xml:space="preserve"> </w:t>
      </w:r>
      <w:r w:rsidRPr="00DC15D9">
        <w:t>It</w:t>
      </w:r>
      <w:r w:rsidRPr="00351A42">
        <w:t xml:space="preserve"> is </w:t>
      </w:r>
      <w:r w:rsidRPr="00DC15D9">
        <w:t xml:space="preserve">therefore important that </w:t>
      </w:r>
      <w:r w:rsidRPr="00351A42">
        <w:t xml:space="preserve">consumer protection </w:t>
      </w:r>
      <w:r w:rsidRPr="00DC15D9">
        <w:t xml:space="preserve">measures </w:t>
      </w:r>
      <w:r w:rsidRPr="00351A42">
        <w:t xml:space="preserve">are </w:t>
      </w:r>
      <w:r w:rsidRPr="00DC15D9">
        <w:t>monitored and updated when appropriate given the current and projected growth in online gambling.</w:t>
      </w:r>
    </w:p>
    <w:p w:rsidR="00234593" w:rsidRPr="000F4216" w:rsidRDefault="00234593" w:rsidP="000E20D1">
      <w:pPr>
        <w:pStyle w:val="NoSpacing"/>
      </w:pPr>
      <w:r w:rsidRPr="00DC15D9">
        <w:t xml:space="preserve">According to the Review, </w:t>
      </w:r>
      <w:r w:rsidR="00435142" w:rsidRPr="00DC15D9">
        <w:t xml:space="preserve">the </w:t>
      </w:r>
      <w:r w:rsidRPr="00351A42">
        <w:t>r</w:t>
      </w:r>
      <w:r w:rsidR="003B2086" w:rsidRPr="00351A42">
        <w:t>ate of problem gambling for online gamblers is 2.7 per</w:t>
      </w:r>
      <w:r w:rsidR="00435142" w:rsidRPr="000F4216">
        <w:t xml:space="preserve"> </w:t>
      </w:r>
      <w:r w:rsidR="003B2086" w:rsidRPr="000F4216">
        <w:t>cent</w:t>
      </w:r>
      <w:r w:rsidR="00273490" w:rsidRPr="000F4216">
        <w:t xml:space="preserve"> </w:t>
      </w:r>
      <w:r w:rsidR="009475CA">
        <w:t xml:space="preserve">with </w:t>
      </w:r>
      <w:r w:rsidRPr="00351A42">
        <w:t>41</w:t>
      </w:r>
      <w:r w:rsidR="00045E18">
        <w:t> </w:t>
      </w:r>
      <w:r w:rsidRPr="00351A42">
        <w:t>per</w:t>
      </w:r>
      <w:r w:rsidR="00435142" w:rsidRPr="00351A42">
        <w:t xml:space="preserve"> </w:t>
      </w:r>
      <w:r w:rsidRPr="000F4216">
        <w:t xml:space="preserve">cent of online gamblers considered to be ‘at-risk’ </w:t>
      </w:r>
      <w:r w:rsidR="00B10ACA" w:rsidRPr="000F4216">
        <w:t xml:space="preserve">gamblers </w:t>
      </w:r>
      <w:r w:rsidR="00273490" w:rsidRPr="000F4216">
        <w:t>(low</w:t>
      </w:r>
      <w:r w:rsidR="007C5E4B" w:rsidRPr="000F4216">
        <w:t>-risk</w:t>
      </w:r>
      <w:r w:rsidR="00273490" w:rsidRPr="000F4216">
        <w:t>, moderate</w:t>
      </w:r>
      <w:r w:rsidR="007C5E4B" w:rsidRPr="000F4216">
        <w:t>-risk</w:t>
      </w:r>
      <w:r w:rsidR="00273490" w:rsidRPr="000F4216">
        <w:t xml:space="preserve"> and problem gamblers)</w:t>
      </w:r>
      <w:r w:rsidRPr="000F4216">
        <w:t>.</w:t>
      </w:r>
      <w:r w:rsidR="000070B1" w:rsidRPr="000F4216">
        <w:t xml:space="preserve"> </w:t>
      </w:r>
      <w:r w:rsidRPr="00351A42">
        <w:t xml:space="preserve">This means they experience problems, to varying degrees, such as </w:t>
      </w:r>
      <w:r w:rsidR="009475CA">
        <w:t xml:space="preserve">to their </w:t>
      </w:r>
      <w:r w:rsidRPr="00351A42">
        <w:t>physical health like stress or anxiety</w:t>
      </w:r>
      <w:r w:rsidR="009475CA">
        <w:t>;</w:t>
      </w:r>
      <w:r w:rsidRPr="00351A42">
        <w:t xml:space="preserve"> financial problems cause</w:t>
      </w:r>
      <w:r w:rsidRPr="000F4216">
        <w:t>d by gambling, or chasing losses.</w:t>
      </w:r>
    </w:p>
    <w:p w:rsidR="00234593" w:rsidRPr="00DC15D9" w:rsidRDefault="003B2086" w:rsidP="000E20D1">
      <w:pPr>
        <w:pStyle w:val="NoSpacing"/>
      </w:pPr>
      <w:r w:rsidRPr="000F4216">
        <w:t xml:space="preserve">This compares to </w:t>
      </w:r>
      <w:r w:rsidR="00234593" w:rsidRPr="000F4216">
        <w:t>figures for all gamblers where 0.9 per</w:t>
      </w:r>
      <w:r w:rsidR="00435142" w:rsidRPr="000F4216">
        <w:t xml:space="preserve"> </w:t>
      </w:r>
      <w:r w:rsidR="00234593" w:rsidRPr="000F4216">
        <w:t xml:space="preserve">cent are problem gamblers and </w:t>
      </w:r>
      <w:r w:rsidR="00273490" w:rsidRPr="000F4216">
        <w:t xml:space="preserve">around </w:t>
      </w:r>
      <w:r w:rsidR="00234593" w:rsidRPr="00DC15D9">
        <w:t>20</w:t>
      </w:r>
      <w:r w:rsidR="00273490" w:rsidRPr="000F4216">
        <w:t> </w:t>
      </w:r>
      <w:r w:rsidR="00234593" w:rsidRPr="00DC15D9">
        <w:t>per</w:t>
      </w:r>
      <w:r w:rsidR="00435142" w:rsidRPr="00DC15D9">
        <w:t xml:space="preserve"> </w:t>
      </w:r>
      <w:r w:rsidR="00234593" w:rsidRPr="00351A42">
        <w:t xml:space="preserve">cent </w:t>
      </w:r>
      <w:r w:rsidR="00767FDC">
        <w:t>are</w:t>
      </w:r>
      <w:r w:rsidR="00A57DF0" w:rsidRPr="000F4216">
        <w:t xml:space="preserve"> </w:t>
      </w:r>
      <w:r w:rsidR="00234593" w:rsidRPr="00DC15D9">
        <w:t>‘at risk’</w:t>
      </w:r>
      <w:r w:rsidR="008621F0">
        <w:t xml:space="preserve"> </w:t>
      </w:r>
      <w:r w:rsidR="00234593" w:rsidRPr="000F4216">
        <w:t>gambler</w:t>
      </w:r>
      <w:r w:rsidR="008621F0">
        <w:t>s</w:t>
      </w:r>
      <w:r w:rsidR="00234593" w:rsidRPr="00DC15D9">
        <w:t>.</w:t>
      </w:r>
    </w:p>
    <w:p w:rsidR="002764AB" w:rsidRPr="000F4216" w:rsidRDefault="002764AB" w:rsidP="00946C43">
      <w:pPr>
        <w:pStyle w:val="NoSpacing"/>
      </w:pPr>
      <w:r w:rsidRPr="000F4216">
        <w:lastRenderedPageBreak/>
        <w:t>Online gambling combines a number of issues that are not universally present with other modes of gambling:</w:t>
      </w:r>
    </w:p>
    <w:p w:rsidR="002764AB" w:rsidRPr="00351A42" w:rsidRDefault="002764AB" w:rsidP="000E20D1">
      <w:pPr>
        <w:pStyle w:val="NoSpacing"/>
        <w:numPr>
          <w:ilvl w:val="0"/>
          <w:numId w:val="29"/>
        </w:numPr>
      </w:pPr>
      <w:r w:rsidRPr="000F4216">
        <w:t xml:space="preserve">the ability to gamble online, anywhere via </w:t>
      </w:r>
      <w:r w:rsidR="002E65E6" w:rsidRPr="00DC15D9">
        <w:t>mobile</w:t>
      </w:r>
      <w:r w:rsidR="002E65E6" w:rsidRPr="000F4216">
        <w:t xml:space="preserve"> </w:t>
      </w:r>
      <w:r w:rsidRPr="00DC15D9">
        <w:t>devices</w:t>
      </w:r>
      <w:r w:rsidR="00435142" w:rsidRPr="00DC15D9">
        <w:t>;</w:t>
      </w:r>
    </w:p>
    <w:p w:rsidR="002764AB" w:rsidRPr="000F4216" w:rsidRDefault="002764AB" w:rsidP="000E20D1">
      <w:pPr>
        <w:pStyle w:val="NoSpacing"/>
        <w:numPr>
          <w:ilvl w:val="0"/>
          <w:numId w:val="29"/>
        </w:numPr>
      </w:pPr>
      <w:r w:rsidRPr="00351A42">
        <w:t>the ability for gambling operators to target individual gamblers with offers and encouragements to bet</w:t>
      </w:r>
      <w:r w:rsidR="00435142" w:rsidRPr="000F4216">
        <w:t>;</w:t>
      </w:r>
    </w:p>
    <w:p w:rsidR="002764AB" w:rsidRPr="000F4216" w:rsidRDefault="002764AB" w:rsidP="000E20D1">
      <w:pPr>
        <w:pStyle w:val="NoSpacing"/>
        <w:numPr>
          <w:ilvl w:val="0"/>
          <w:numId w:val="29"/>
        </w:numPr>
      </w:pPr>
      <w:r w:rsidRPr="000F4216">
        <w:t>the ability to transfer large amounts electronically into online betting accounts</w:t>
      </w:r>
      <w:r w:rsidR="00435142" w:rsidRPr="000F4216">
        <w:t>; and</w:t>
      </w:r>
    </w:p>
    <w:p w:rsidR="002764AB" w:rsidRPr="00767FDC" w:rsidRDefault="002764AB" w:rsidP="000E20D1">
      <w:pPr>
        <w:pStyle w:val="NoSpacing"/>
        <w:numPr>
          <w:ilvl w:val="0"/>
          <w:numId w:val="29"/>
        </w:numPr>
      </w:pPr>
      <w:r w:rsidRPr="00A800EF">
        <w:t>the ability for gambling operators to offer lines of credit to gamblers</w:t>
      </w:r>
      <w:r w:rsidR="00435142" w:rsidRPr="00A800EF">
        <w:t>.</w:t>
      </w:r>
    </w:p>
    <w:p w:rsidR="00415E2C" w:rsidRPr="000F4216" w:rsidRDefault="002764AB" w:rsidP="00946C43">
      <w:pPr>
        <w:pStyle w:val="NoSpacing"/>
      </w:pPr>
      <w:r w:rsidRPr="000F4216">
        <w:t>Online, you can lose your house, in front of the TV, in a weekend.</w:t>
      </w:r>
    </w:p>
    <w:p w:rsidR="00415E2C" w:rsidRPr="000F4216" w:rsidRDefault="00415E2C" w:rsidP="00946C43">
      <w:pPr>
        <w:pStyle w:val="NoSpacing"/>
        <w:rPr>
          <w:b/>
        </w:rPr>
      </w:pPr>
    </w:p>
    <w:p w:rsidR="00946C43" w:rsidRPr="00DC15D9" w:rsidRDefault="0057714D" w:rsidP="000E20D1">
      <w:pPr>
        <w:pStyle w:val="Heading2"/>
      </w:pPr>
      <w:r w:rsidRPr="00DC15D9">
        <w:t xml:space="preserve">THE GOVERNMENT’S DIRECTION </w:t>
      </w:r>
    </w:p>
    <w:p w:rsidR="00E26233" w:rsidRPr="000F4216" w:rsidRDefault="005669EB" w:rsidP="000E20D1">
      <w:pPr>
        <w:pStyle w:val="NoSpacing"/>
      </w:pPr>
      <w:r w:rsidRPr="000F4216">
        <w:t>The Government has accepted in full or in</w:t>
      </w:r>
      <w:r w:rsidR="00D11348" w:rsidRPr="000F4216">
        <w:rPr>
          <w:rFonts w:eastAsia="Arial" w:cs="Arial"/>
        </w:rPr>
        <w:t>-</w:t>
      </w:r>
      <w:r w:rsidRPr="000F4216">
        <w:t xml:space="preserve">principle </w:t>
      </w:r>
      <w:r w:rsidR="00E616F9">
        <w:t xml:space="preserve">18 </w:t>
      </w:r>
      <w:r w:rsidRPr="000F4216">
        <w:t xml:space="preserve">of the Review’s </w:t>
      </w:r>
      <w:r w:rsidR="00E616F9">
        <w:t xml:space="preserve">19 </w:t>
      </w:r>
      <w:r w:rsidRPr="000F4216">
        <w:t xml:space="preserve">recommendations. </w:t>
      </w:r>
      <w:r w:rsidR="00433FBE" w:rsidRPr="000F4216">
        <w:t xml:space="preserve">(See the table attached). </w:t>
      </w:r>
      <w:r w:rsidRPr="000F4216">
        <w:t xml:space="preserve">As the Review notes, no single policy reform can deal conclusively with every aspect of </w:t>
      </w:r>
      <w:r w:rsidR="002764AB" w:rsidRPr="000F4216">
        <w:t>illegal offshore wagering</w:t>
      </w:r>
      <w:r w:rsidRPr="000F4216">
        <w:t xml:space="preserve">. </w:t>
      </w:r>
      <w:r w:rsidRPr="00DC15D9">
        <w:t>Consequently a multifaceted approach is required.</w:t>
      </w:r>
      <w:r w:rsidR="00782043" w:rsidRPr="000F4216">
        <w:t xml:space="preserve"> </w:t>
      </w:r>
      <w:r w:rsidRPr="00DC15D9">
        <w:t xml:space="preserve">Based on the Review’s recommendations, the Government proposes a </w:t>
      </w:r>
      <w:r w:rsidR="00FE7646" w:rsidRPr="00351A42">
        <w:t>three</w:t>
      </w:r>
      <w:r w:rsidR="009475CA">
        <w:t>-</w:t>
      </w:r>
      <w:r w:rsidRPr="000F4216">
        <w:t>staged approach</w:t>
      </w:r>
      <w:r w:rsidR="002764AB" w:rsidRPr="000F4216">
        <w:t xml:space="preserve">, which can be </w:t>
      </w:r>
      <w:r w:rsidR="00E26233" w:rsidRPr="000F4216">
        <w:t>concurrently implemented</w:t>
      </w:r>
      <w:r w:rsidR="008621F0">
        <w:t>.</w:t>
      </w:r>
    </w:p>
    <w:p w:rsidR="00E26233" w:rsidRPr="000F4216" w:rsidRDefault="00E26233" w:rsidP="00E26233">
      <w:pPr>
        <w:pStyle w:val="ListParagraph"/>
        <w:spacing w:line="240" w:lineRule="auto"/>
      </w:pPr>
    </w:p>
    <w:p w:rsidR="009039C4" w:rsidRPr="000E20D1" w:rsidRDefault="002764AB" w:rsidP="00C964C9">
      <w:pPr>
        <w:pStyle w:val="ListParagraph"/>
        <w:numPr>
          <w:ilvl w:val="0"/>
          <w:numId w:val="38"/>
        </w:numPr>
        <w:spacing w:after="120" w:line="240" w:lineRule="auto"/>
        <w:ind w:left="714" w:hanging="357"/>
        <w:contextualSpacing w:val="0"/>
        <w:rPr>
          <w:sz w:val="22"/>
        </w:rPr>
      </w:pPr>
      <w:r w:rsidRPr="000E20D1">
        <w:rPr>
          <w:sz w:val="22"/>
        </w:rPr>
        <w:t>The establishment of</w:t>
      </w:r>
      <w:r w:rsidR="009039C4" w:rsidRPr="000E20D1">
        <w:rPr>
          <w:sz w:val="22"/>
        </w:rPr>
        <w:t xml:space="preserve"> </w:t>
      </w:r>
      <w:r w:rsidR="005669EB" w:rsidRPr="000E20D1">
        <w:rPr>
          <w:sz w:val="22"/>
        </w:rPr>
        <w:t>a national consumer protection framework</w:t>
      </w:r>
      <w:r w:rsidR="00B11F31" w:rsidRPr="000E20D1">
        <w:rPr>
          <w:sz w:val="22"/>
        </w:rPr>
        <w:t xml:space="preserve"> (national framework)</w:t>
      </w:r>
      <w:r w:rsidR="005669EB" w:rsidRPr="000E20D1">
        <w:rPr>
          <w:b/>
          <w:sz w:val="22"/>
        </w:rPr>
        <w:t>.</w:t>
      </w:r>
      <w:r w:rsidR="005669EB" w:rsidRPr="000E20D1">
        <w:rPr>
          <w:sz w:val="22"/>
        </w:rPr>
        <w:t xml:space="preserve"> The aim is to empower individual gamblers to ensure that problem gambling is minimised.</w:t>
      </w:r>
    </w:p>
    <w:p w:rsidR="00D9526F" w:rsidRPr="000E20D1" w:rsidRDefault="002764AB" w:rsidP="00C964C9">
      <w:pPr>
        <w:pStyle w:val="ListParagraph"/>
        <w:numPr>
          <w:ilvl w:val="0"/>
          <w:numId w:val="38"/>
        </w:numPr>
        <w:spacing w:after="120" w:line="240" w:lineRule="auto"/>
        <w:ind w:left="714" w:hanging="357"/>
        <w:contextualSpacing w:val="0"/>
        <w:rPr>
          <w:sz w:val="22"/>
        </w:rPr>
      </w:pPr>
      <w:r w:rsidRPr="000E20D1">
        <w:rPr>
          <w:sz w:val="22"/>
        </w:rPr>
        <w:t>A</w:t>
      </w:r>
      <w:r w:rsidR="0028230E" w:rsidRPr="000E20D1">
        <w:rPr>
          <w:sz w:val="22"/>
        </w:rPr>
        <w:t>mend</w:t>
      </w:r>
      <w:r w:rsidR="00D9526F" w:rsidRPr="000E20D1">
        <w:rPr>
          <w:sz w:val="22"/>
        </w:rPr>
        <w:t xml:space="preserve"> the law to make it clear that it is illegal for unlicensed overseas gambling companies to offer gambling products to Australians. </w:t>
      </w:r>
      <w:r w:rsidRPr="000E20D1">
        <w:rPr>
          <w:sz w:val="22"/>
        </w:rPr>
        <w:t xml:space="preserve">The Australian Communications and Media </w:t>
      </w:r>
      <w:r w:rsidR="0028230E" w:rsidRPr="000E20D1">
        <w:rPr>
          <w:sz w:val="22"/>
        </w:rPr>
        <w:t>Authority (</w:t>
      </w:r>
      <w:r w:rsidR="00D9526F" w:rsidRPr="000E20D1">
        <w:rPr>
          <w:sz w:val="22"/>
        </w:rPr>
        <w:t>ACMA</w:t>
      </w:r>
      <w:r w:rsidR="0028230E" w:rsidRPr="000E20D1">
        <w:rPr>
          <w:sz w:val="22"/>
        </w:rPr>
        <w:t>)</w:t>
      </w:r>
      <w:r w:rsidR="00D9526F" w:rsidRPr="000E20D1">
        <w:rPr>
          <w:sz w:val="22"/>
        </w:rPr>
        <w:t xml:space="preserve"> will also be empowered to have stronger enforcement mechanisms.</w:t>
      </w:r>
    </w:p>
    <w:p w:rsidR="00D9526F" w:rsidRPr="000E20D1" w:rsidRDefault="0028230E" w:rsidP="00C964C9">
      <w:pPr>
        <w:pStyle w:val="ListParagraph"/>
        <w:numPr>
          <w:ilvl w:val="0"/>
          <w:numId w:val="38"/>
        </w:numPr>
        <w:spacing w:line="240" w:lineRule="auto"/>
        <w:ind w:left="714" w:hanging="357"/>
        <w:contextualSpacing w:val="0"/>
        <w:rPr>
          <w:sz w:val="22"/>
        </w:rPr>
      </w:pPr>
      <w:r w:rsidRPr="000E20D1">
        <w:rPr>
          <w:sz w:val="22"/>
        </w:rPr>
        <w:t>Introduce</w:t>
      </w:r>
      <w:r w:rsidR="00D9526F" w:rsidRPr="000E20D1">
        <w:rPr>
          <w:sz w:val="22"/>
        </w:rPr>
        <w:t xml:space="preserve"> other </w:t>
      </w:r>
      <w:r w:rsidR="00486DDE" w:rsidRPr="000E20D1">
        <w:rPr>
          <w:sz w:val="22"/>
        </w:rPr>
        <w:t xml:space="preserve">disruption </w:t>
      </w:r>
      <w:r w:rsidR="00D9526F" w:rsidRPr="000E20D1">
        <w:rPr>
          <w:sz w:val="22"/>
        </w:rPr>
        <w:t>measures to curb illegal offshore gambling activity.</w:t>
      </w:r>
    </w:p>
    <w:p w:rsidR="00D9526F" w:rsidRPr="00351A42" w:rsidRDefault="00D9526F" w:rsidP="000E20D1">
      <w:pPr>
        <w:pStyle w:val="NoSpacing"/>
      </w:pPr>
      <w:r w:rsidRPr="00A800EF">
        <w:t xml:space="preserve">No measure will completely eliminate the illegal offshore </w:t>
      </w:r>
      <w:r w:rsidR="0028230E" w:rsidRPr="00767FDC">
        <w:t>wagering</w:t>
      </w:r>
      <w:r w:rsidRPr="00767FDC">
        <w:t xml:space="preserve"> market, but the combination of clarifying the law combined with other disrupti</w:t>
      </w:r>
      <w:r w:rsidR="009475CA">
        <w:t>on</w:t>
      </w:r>
      <w:r w:rsidRPr="00767FDC">
        <w:t xml:space="preserve"> measures will make a significant difference, as has been demonstrated by other nations.</w:t>
      </w:r>
    </w:p>
    <w:p w:rsidR="00FC34F2" w:rsidRPr="00351A42" w:rsidRDefault="0016029E" w:rsidP="000E20D1">
      <w:pPr>
        <w:pStyle w:val="NoSpacing"/>
      </w:pPr>
      <w:r w:rsidRPr="000F4216">
        <w:t>The Government will clarify the existing law</w:t>
      </w:r>
      <w:r w:rsidR="0028230E" w:rsidRPr="000F4216">
        <w:t xml:space="preserve"> to respect the </w:t>
      </w:r>
      <w:r w:rsidR="00734C77" w:rsidRPr="000F4216">
        <w:t xml:space="preserve">provisions and </w:t>
      </w:r>
      <w:r w:rsidR="0028230E" w:rsidRPr="00DC15D9">
        <w:t>original intent of the IGA</w:t>
      </w:r>
      <w:r w:rsidR="0064493B" w:rsidRPr="00DC15D9">
        <w:t xml:space="preserve"> by moving to </w:t>
      </w:r>
      <w:r w:rsidR="0028230E" w:rsidRPr="00351A42">
        <w:t>prohibit ‘click</w:t>
      </w:r>
      <w:r w:rsidR="00B445B5" w:rsidRPr="000F4216">
        <w:t>-</w:t>
      </w:r>
      <w:r w:rsidR="0028230E" w:rsidRPr="00DC15D9">
        <w:t>to</w:t>
      </w:r>
      <w:r w:rsidR="00B445B5" w:rsidRPr="000F4216">
        <w:t>-</w:t>
      </w:r>
      <w:r w:rsidR="0028230E" w:rsidRPr="00DC15D9">
        <w:t>call’ in-play wagering services.</w:t>
      </w:r>
    </w:p>
    <w:p w:rsidR="009C37AD" w:rsidRPr="000E20D1" w:rsidRDefault="00435142" w:rsidP="000E20D1">
      <w:pPr>
        <w:pStyle w:val="NoSpacing"/>
        <w:rPr>
          <w:rStyle w:val="NoSpacingChar"/>
        </w:rPr>
      </w:pPr>
      <w:r w:rsidRPr="000F4216">
        <w:t>T</w:t>
      </w:r>
      <w:r w:rsidR="00FC34F2" w:rsidRPr="000F4216">
        <w:t xml:space="preserve">his </w:t>
      </w:r>
      <w:r w:rsidR="0028230E" w:rsidRPr="000F4216">
        <w:t xml:space="preserve">three-staged </w:t>
      </w:r>
      <w:r w:rsidR="00FC34F2" w:rsidRPr="000E20D1">
        <w:rPr>
          <w:rStyle w:val="NoSpacingChar"/>
        </w:rPr>
        <w:t xml:space="preserve">approach is </w:t>
      </w:r>
      <w:r w:rsidR="0028230E" w:rsidRPr="000E20D1">
        <w:rPr>
          <w:rStyle w:val="NoSpacingChar"/>
        </w:rPr>
        <w:t xml:space="preserve">outlined </w:t>
      </w:r>
      <w:r w:rsidRPr="000E20D1">
        <w:rPr>
          <w:rStyle w:val="NoSpacingChar"/>
        </w:rPr>
        <w:t xml:space="preserve">in detail </w:t>
      </w:r>
      <w:r w:rsidR="00FC34F2" w:rsidRPr="000E20D1">
        <w:rPr>
          <w:rStyle w:val="NoSpacingChar"/>
        </w:rPr>
        <w:t>below.</w:t>
      </w:r>
    </w:p>
    <w:p w:rsidR="009C37AD" w:rsidRPr="000F4216" w:rsidRDefault="009C37AD" w:rsidP="0052762C">
      <w:pPr>
        <w:spacing w:line="240" w:lineRule="auto"/>
        <w:contextualSpacing/>
      </w:pPr>
    </w:p>
    <w:p w:rsidR="0057714D" w:rsidRPr="00DD6F2F" w:rsidRDefault="008E2A56" w:rsidP="000E20D1">
      <w:pPr>
        <w:pStyle w:val="NoSpacing"/>
        <w:numPr>
          <w:ilvl w:val="0"/>
          <w:numId w:val="42"/>
        </w:numPr>
        <w:ind w:left="567" w:hanging="567"/>
        <w:rPr>
          <w:b/>
        </w:rPr>
      </w:pPr>
      <w:r w:rsidRPr="00DD6F2F">
        <w:rPr>
          <w:b/>
        </w:rPr>
        <w:t xml:space="preserve">A National Consumer </w:t>
      </w:r>
      <w:r w:rsidR="00277621" w:rsidRPr="00DD6F2F">
        <w:rPr>
          <w:b/>
        </w:rPr>
        <w:t>Protection Framework</w:t>
      </w:r>
    </w:p>
    <w:p w:rsidR="00AA5025" w:rsidRPr="0052762C" w:rsidRDefault="00064DFE" w:rsidP="000E20D1">
      <w:pPr>
        <w:pStyle w:val="NoSpacing"/>
      </w:pPr>
      <w:r w:rsidRPr="000F4216">
        <w:t xml:space="preserve">The Review made clear that the Australian consumer protection </w:t>
      </w:r>
      <w:r w:rsidR="00277621" w:rsidRPr="000F4216">
        <w:t>regime</w:t>
      </w:r>
      <w:r w:rsidRPr="000F4216">
        <w:t xml:space="preserve"> is weak and inconsistent across the nation. </w:t>
      </w:r>
      <w:r w:rsidR="00AA5025" w:rsidRPr="00A800EF">
        <w:t>Mr O’Farrell said “</w:t>
      </w:r>
      <w:r w:rsidR="00AA5025" w:rsidRPr="00A800EF">
        <w:rPr>
          <w:i/>
        </w:rPr>
        <w:t>a key concern of this review is the effectiveness o</w:t>
      </w:r>
      <w:r w:rsidR="00AA5025" w:rsidRPr="00767FDC">
        <w:rPr>
          <w:i/>
        </w:rPr>
        <w:t>f existing consumer protection measures for online wagering</w:t>
      </w:r>
      <w:r w:rsidR="008C4B25" w:rsidRPr="00767FDC">
        <w:rPr>
          <w:i/>
        </w:rPr>
        <w:t>”</w:t>
      </w:r>
      <w:r w:rsidR="00B31454" w:rsidRPr="003D28B8">
        <w:rPr>
          <w:i/>
        </w:rPr>
        <w:t>.</w:t>
      </w:r>
      <w:r w:rsidR="008C4B25" w:rsidRPr="003D28B8">
        <w:t xml:space="preserve"> </w:t>
      </w:r>
      <w:r w:rsidRPr="003D28B8">
        <w:t>This view was shared by</w:t>
      </w:r>
      <w:r w:rsidR="00FC34F2" w:rsidRPr="003D28B8">
        <w:t xml:space="preserve"> many in the gambling industry including by gambling providers. </w:t>
      </w:r>
      <w:r w:rsidRPr="003D28B8">
        <w:t>The largest wagering company in the world, Bet365, said that</w:t>
      </w:r>
      <w:r w:rsidR="00AA5025" w:rsidRPr="003D28B8">
        <w:t xml:space="preserve"> </w:t>
      </w:r>
      <w:r w:rsidR="008C4B25" w:rsidRPr="003D28B8">
        <w:t>“</w:t>
      </w:r>
      <w:r w:rsidR="00AA5025" w:rsidRPr="003D28B8">
        <w:rPr>
          <w:i/>
        </w:rPr>
        <w:t>Australia’s responsible gambling standards are inconsistent and fall a long way behind international best practice</w:t>
      </w:r>
      <w:r w:rsidR="008C4B25" w:rsidRPr="0052762C">
        <w:rPr>
          <w:i/>
        </w:rPr>
        <w:t>”</w:t>
      </w:r>
      <w:r w:rsidR="00AA5025" w:rsidRPr="0052762C">
        <w:t>.</w:t>
      </w:r>
    </w:p>
    <w:p w:rsidR="00064DFE" w:rsidRPr="00CF64B4" w:rsidRDefault="00064DFE" w:rsidP="00787F83">
      <w:pPr>
        <w:pStyle w:val="NoSpacing"/>
      </w:pPr>
      <w:r w:rsidRPr="00CF64B4">
        <w:t xml:space="preserve">With online </w:t>
      </w:r>
      <w:r w:rsidR="0028230E" w:rsidRPr="00CF64B4">
        <w:t>wagering</w:t>
      </w:r>
      <w:r w:rsidRPr="00CF64B4">
        <w:t xml:space="preserve"> growing at 15 per</w:t>
      </w:r>
      <w:r w:rsidR="00435142" w:rsidRPr="00CF64B4">
        <w:t xml:space="preserve"> </w:t>
      </w:r>
      <w:r w:rsidRPr="00CF64B4">
        <w:t>cent per annum, it is clear that a stronger consumer protection regime is required.</w:t>
      </w:r>
    </w:p>
    <w:p w:rsidR="00D94881" w:rsidRPr="000F4216" w:rsidRDefault="00064DFE" w:rsidP="000E20D1">
      <w:pPr>
        <w:pStyle w:val="NoSpacing"/>
      </w:pPr>
      <w:r w:rsidRPr="00DC15D9">
        <w:t xml:space="preserve">In line with the Review’s recommendations, the Government will work with the </w:t>
      </w:r>
      <w:r w:rsidR="00245F3B">
        <w:t>states</w:t>
      </w:r>
      <w:r w:rsidRPr="00DC15D9">
        <w:t xml:space="preserve"> to </w:t>
      </w:r>
      <w:r w:rsidR="0028230E" w:rsidRPr="00DC15D9">
        <w:t>establish</w:t>
      </w:r>
      <w:r w:rsidRPr="00DC15D9">
        <w:t xml:space="preserve"> a </w:t>
      </w:r>
      <w:r w:rsidR="00B11F31">
        <w:t>national framework</w:t>
      </w:r>
      <w:r w:rsidR="00610A96">
        <w:t xml:space="preserve"> </w:t>
      </w:r>
      <w:r w:rsidRPr="00DC15D9">
        <w:t xml:space="preserve">of agreed minimum standards. </w:t>
      </w:r>
      <w:r w:rsidR="00973A0B" w:rsidRPr="000F4216">
        <w:t xml:space="preserve">The Government </w:t>
      </w:r>
      <w:r w:rsidR="005E5193" w:rsidRPr="000F4216">
        <w:t>aim</w:t>
      </w:r>
      <w:r w:rsidR="00973A0B" w:rsidRPr="000F4216">
        <w:t>s</w:t>
      </w:r>
      <w:r w:rsidR="005E5193" w:rsidRPr="00DC15D9">
        <w:t xml:space="preserve"> to agree on a framework model within 12 months.</w:t>
      </w:r>
    </w:p>
    <w:p w:rsidR="002D23E6" w:rsidRDefault="002D23E6">
      <w:pPr>
        <w:spacing w:after="200"/>
        <w:rPr>
          <w:spacing w:val="5"/>
        </w:rPr>
      </w:pPr>
      <w:r>
        <w:rPr>
          <w:spacing w:val="5"/>
        </w:rPr>
        <w:br w:type="page"/>
      </w:r>
    </w:p>
    <w:p w:rsidR="00946C43" w:rsidRPr="00DC15D9" w:rsidRDefault="00D94881" w:rsidP="000E20D1">
      <w:pPr>
        <w:pStyle w:val="NoSpacing"/>
      </w:pPr>
      <w:r w:rsidRPr="00DC15D9">
        <w:lastRenderedPageBreak/>
        <w:t>At a minimum the framework</w:t>
      </w:r>
      <w:r w:rsidR="00946C43" w:rsidRPr="00DC15D9">
        <w:t xml:space="preserve"> should comprise of the following elements:</w:t>
      </w:r>
    </w:p>
    <w:p w:rsidR="00946C43" w:rsidRPr="000F4216" w:rsidRDefault="00D11348" w:rsidP="000E20D1">
      <w:pPr>
        <w:pStyle w:val="NoSpacing"/>
        <w:numPr>
          <w:ilvl w:val="0"/>
          <w:numId w:val="29"/>
        </w:numPr>
      </w:pPr>
      <w:r w:rsidRPr="000F4216">
        <w:t>a</w:t>
      </w:r>
      <w:r w:rsidR="00946C43" w:rsidRPr="000F4216">
        <w:t xml:space="preserve"> national self-exclusion register for online </w:t>
      </w:r>
      <w:r w:rsidR="00610A96">
        <w:t>wagering</w:t>
      </w:r>
      <w:r w:rsidR="00435142" w:rsidRPr="000F4216">
        <w:t>;</w:t>
      </w:r>
    </w:p>
    <w:p w:rsidR="00946C43" w:rsidRPr="000F4216" w:rsidRDefault="00D11348" w:rsidP="000E20D1">
      <w:pPr>
        <w:pStyle w:val="NoSpacing"/>
        <w:numPr>
          <w:ilvl w:val="0"/>
          <w:numId w:val="29"/>
        </w:numPr>
      </w:pPr>
      <w:r w:rsidRPr="000F4216">
        <w:t>a</w:t>
      </w:r>
      <w:r w:rsidR="00946C43" w:rsidRPr="000F4216">
        <w:t xml:space="preserve"> voluntary pre-commitment scheme for online </w:t>
      </w:r>
      <w:r w:rsidR="00610A96">
        <w:t>wagering</w:t>
      </w:r>
      <w:r w:rsidR="00435142" w:rsidRPr="000F4216">
        <w:t>;</w:t>
      </w:r>
    </w:p>
    <w:p w:rsidR="001B4045" w:rsidRPr="000F4216" w:rsidRDefault="00D11348" w:rsidP="000E20D1">
      <w:pPr>
        <w:pStyle w:val="NoSpacing"/>
        <w:numPr>
          <w:ilvl w:val="0"/>
          <w:numId w:val="29"/>
        </w:numPr>
      </w:pPr>
      <w:r w:rsidRPr="000F4216">
        <w:t>s</w:t>
      </w:r>
      <w:r w:rsidR="00946C43" w:rsidRPr="000F4216">
        <w:t>tandardised messaging and gambling counselling advice across the nation</w:t>
      </w:r>
      <w:r w:rsidR="00435142" w:rsidRPr="000F4216">
        <w:t>;</w:t>
      </w:r>
    </w:p>
    <w:p w:rsidR="00946C43" w:rsidRPr="000F4216" w:rsidRDefault="00D11348" w:rsidP="000E20D1">
      <w:pPr>
        <w:pStyle w:val="NoSpacing"/>
        <w:numPr>
          <w:ilvl w:val="0"/>
          <w:numId w:val="29"/>
        </w:numPr>
      </w:pPr>
      <w:r w:rsidRPr="000F4216">
        <w:t>t</w:t>
      </w:r>
      <w:r w:rsidR="00946C43" w:rsidRPr="000F4216">
        <w:t xml:space="preserve">he provision </w:t>
      </w:r>
      <w:r w:rsidR="001B4045" w:rsidRPr="000F4216">
        <w:t xml:space="preserve">for operators to provide </w:t>
      </w:r>
      <w:r w:rsidR="00946C43" w:rsidRPr="000F4216">
        <w:t xml:space="preserve">activity statements </w:t>
      </w:r>
      <w:r w:rsidR="00D94881" w:rsidRPr="000F4216">
        <w:t xml:space="preserve">for online </w:t>
      </w:r>
      <w:r w:rsidR="00AA67D3">
        <w:t>wagering</w:t>
      </w:r>
      <w:r w:rsidR="00AA67D3" w:rsidRPr="000F4216">
        <w:t xml:space="preserve"> </w:t>
      </w:r>
      <w:r w:rsidR="00D94881" w:rsidRPr="000F4216">
        <w:t>on demand and on a regular basis</w:t>
      </w:r>
      <w:r w:rsidR="00435142" w:rsidRPr="000F4216">
        <w:t>;</w:t>
      </w:r>
    </w:p>
    <w:p w:rsidR="00D94881" w:rsidRPr="000F4216" w:rsidRDefault="00D11348" w:rsidP="000E20D1">
      <w:pPr>
        <w:pStyle w:val="NoSpacing"/>
        <w:numPr>
          <w:ilvl w:val="0"/>
          <w:numId w:val="29"/>
        </w:numPr>
      </w:pPr>
      <w:r w:rsidRPr="000F4216">
        <w:t>o</w:t>
      </w:r>
      <w:r w:rsidR="00D94881" w:rsidRPr="000F4216">
        <w:t>perators to train staff in the responsible conduct of gambling through an accredited provider</w:t>
      </w:r>
      <w:r w:rsidR="00ED3FBC" w:rsidRPr="000F4216">
        <w:t xml:space="preserve">; </w:t>
      </w:r>
      <w:r w:rsidR="00435142" w:rsidRPr="000F4216">
        <w:t>and</w:t>
      </w:r>
    </w:p>
    <w:p w:rsidR="0028230E" w:rsidRPr="000F4216" w:rsidRDefault="00D11348" w:rsidP="000E20D1">
      <w:pPr>
        <w:pStyle w:val="NoSpacing"/>
        <w:numPr>
          <w:ilvl w:val="0"/>
          <w:numId w:val="29"/>
        </w:numPr>
      </w:pPr>
      <w:r w:rsidRPr="000F4216">
        <w:t>p</w:t>
      </w:r>
      <w:r w:rsidR="00A50D8D" w:rsidRPr="000F4216">
        <w:t>rohibit</w:t>
      </w:r>
      <w:r w:rsidR="001B4045" w:rsidRPr="000F4216">
        <w:t xml:space="preserve"> </w:t>
      </w:r>
      <w:r w:rsidR="00E26233" w:rsidRPr="000F4216">
        <w:t xml:space="preserve">lines of </w:t>
      </w:r>
      <w:r w:rsidR="00921A6C" w:rsidRPr="000F4216">
        <w:t>credit being offered</w:t>
      </w:r>
      <w:r w:rsidR="001B4045" w:rsidRPr="000F4216">
        <w:t xml:space="preserve"> </w:t>
      </w:r>
      <w:r w:rsidR="00921A6C" w:rsidRPr="000F4216">
        <w:t>by wagering providers</w:t>
      </w:r>
      <w:r w:rsidR="00435142" w:rsidRPr="000F4216">
        <w:t>.</w:t>
      </w:r>
    </w:p>
    <w:p w:rsidR="00FC34F2" w:rsidRPr="003D28B8" w:rsidRDefault="00D94881" w:rsidP="005669EB">
      <w:pPr>
        <w:pStyle w:val="NoSpacing"/>
      </w:pPr>
      <w:r w:rsidRPr="00DC15D9">
        <w:t>In line with its election commitment for prob</w:t>
      </w:r>
      <w:r w:rsidR="00FC34F2" w:rsidRPr="00DC15D9">
        <w:t>lem gambling, the Government is</w:t>
      </w:r>
      <w:r w:rsidRPr="00351A42">
        <w:t xml:space="preserve"> of the view that people should bet with money they already have and therefore will seek to ban</w:t>
      </w:r>
      <w:r w:rsidR="00435142" w:rsidRPr="00351A42">
        <w:t xml:space="preserve"> the provision of lines of</w:t>
      </w:r>
      <w:r w:rsidRPr="000F4216">
        <w:t xml:space="preserve"> credit for online </w:t>
      </w:r>
      <w:r w:rsidR="00AA67D3">
        <w:t>wagering</w:t>
      </w:r>
      <w:r w:rsidR="00AA67D3" w:rsidRPr="000F4216">
        <w:t xml:space="preserve"> </w:t>
      </w:r>
      <w:r w:rsidRPr="000F4216">
        <w:t>altogether.</w:t>
      </w:r>
      <w:r w:rsidR="00064DFE" w:rsidRPr="000F4216">
        <w:t xml:space="preserve"> This would bring Australia into line with </w:t>
      </w:r>
      <w:r w:rsidR="00FC34F2" w:rsidRPr="000F4216">
        <w:t>many other</w:t>
      </w:r>
      <w:r w:rsidR="00064DFE" w:rsidRPr="000F4216">
        <w:t xml:space="preserve"> countries and make it consistent with other channels of gambling where providing lines of credit is unlawful.</w:t>
      </w:r>
      <w:r w:rsidR="00B10ACA" w:rsidRPr="00A800EF">
        <w:t xml:space="preserve"> The Government will also consider a harmonised regulatory regime </w:t>
      </w:r>
      <w:r w:rsidR="00435142" w:rsidRPr="00A800EF">
        <w:t>to ensure that the offering of</w:t>
      </w:r>
      <w:r w:rsidR="00B10ACA" w:rsidRPr="00767FDC">
        <w:t xml:space="preserve"> inducements</w:t>
      </w:r>
      <w:r w:rsidR="00435142" w:rsidRPr="00767FDC">
        <w:t xml:space="preserve"> is consistent with responsibl</w:t>
      </w:r>
      <w:r w:rsidR="00435142" w:rsidRPr="003D28B8">
        <w:t>e gambling</w:t>
      </w:r>
      <w:r w:rsidR="00B10ACA" w:rsidRPr="003D28B8">
        <w:t>.</w:t>
      </w:r>
    </w:p>
    <w:p w:rsidR="00AA67D3" w:rsidRPr="00DC15D9" w:rsidRDefault="00FC34F2" w:rsidP="005669EB">
      <w:pPr>
        <w:pStyle w:val="NoSpacing"/>
      </w:pPr>
      <w:r w:rsidRPr="003D28B8">
        <w:t xml:space="preserve">A range of possible approaches to implement the national framework will be considered and discussed with the </w:t>
      </w:r>
      <w:r w:rsidR="00245F3B">
        <w:t>states</w:t>
      </w:r>
      <w:r w:rsidRPr="003D28B8">
        <w:t xml:space="preserve"> and stakeholders, including that adopted for the National </w:t>
      </w:r>
      <w:r w:rsidR="00AB33F5" w:rsidRPr="000F4216">
        <w:t>Policy on Match</w:t>
      </w:r>
      <w:r w:rsidR="00486DDE">
        <w:noBreakHyphen/>
      </w:r>
      <w:r w:rsidR="00AB33F5" w:rsidRPr="000F4216">
        <w:t>Fixing in Sport</w:t>
      </w:r>
      <w:r w:rsidRPr="00DC15D9">
        <w:t>, and a national regulatory approach.</w:t>
      </w:r>
      <w:r w:rsidR="00AA67D3">
        <w:t xml:space="preserve"> The implementation of a national framework may also have flow on benefits to sport and racing integrity, with the provision of more transparent betting and transaction information.</w:t>
      </w:r>
    </w:p>
    <w:p w:rsidR="00052DA4" w:rsidRPr="00351A42" w:rsidRDefault="00277621" w:rsidP="005669EB">
      <w:pPr>
        <w:pStyle w:val="NoSpacing"/>
      </w:pPr>
      <w:r w:rsidRPr="000F4216">
        <w:t xml:space="preserve">The Government will also introduce </w:t>
      </w:r>
      <w:r w:rsidR="00AC67B9" w:rsidRPr="000F4216">
        <w:t>nation-wide research</w:t>
      </w:r>
      <w:r w:rsidR="00610A96">
        <w:t xml:space="preserve"> on this issue</w:t>
      </w:r>
      <w:r w:rsidR="00AC67B9" w:rsidRPr="000F4216">
        <w:t xml:space="preserve"> to </w:t>
      </w:r>
      <w:r w:rsidR="0028230E" w:rsidRPr="000F4216">
        <w:t>assist</w:t>
      </w:r>
      <w:r w:rsidR="00AC67B9" w:rsidRPr="000F4216">
        <w:t xml:space="preserve"> with the development and evaluation of policy responses to gambling and its impact within Australia. </w:t>
      </w:r>
      <w:r w:rsidR="00052DA4" w:rsidRPr="00DC15D9">
        <w:t>We</w:t>
      </w:r>
      <w:r w:rsidR="00610A96">
        <w:t> </w:t>
      </w:r>
      <w:r w:rsidR="00052DA4" w:rsidRPr="00DC15D9">
        <w:t>need to understand the size of the problem and collect the data to make informed evidence</w:t>
      </w:r>
      <w:r w:rsidR="007C1E0A">
        <w:noBreakHyphen/>
      </w:r>
      <w:r w:rsidR="00052DA4" w:rsidRPr="00DC15D9">
        <w:t>based decisions.</w:t>
      </w:r>
    </w:p>
    <w:p w:rsidR="00AC67B9" w:rsidRPr="000F4216" w:rsidRDefault="00AC67B9" w:rsidP="005669EB">
      <w:pPr>
        <w:pStyle w:val="NoSpacing"/>
      </w:pPr>
      <w:r w:rsidRPr="000F4216">
        <w:t>The Government will work with the states and territories on a collaborative research effort, including developing</w:t>
      </w:r>
      <w:r w:rsidR="00B06FAD" w:rsidRPr="000F4216">
        <w:t xml:space="preserve"> an agreed research programme</w:t>
      </w:r>
      <w:r w:rsidRPr="000F4216">
        <w:t>.</w:t>
      </w:r>
    </w:p>
    <w:p w:rsidR="005669EB" w:rsidRPr="00A800EF" w:rsidRDefault="005669EB" w:rsidP="00946C43">
      <w:pPr>
        <w:spacing w:line="240" w:lineRule="auto"/>
        <w:rPr>
          <w:spacing w:val="5"/>
        </w:rPr>
      </w:pPr>
    </w:p>
    <w:p w:rsidR="005669EB" w:rsidRPr="000E20D1" w:rsidRDefault="0053071B" w:rsidP="000E20D1">
      <w:pPr>
        <w:pStyle w:val="NoSpacing"/>
        <w:numPr>
          <w:ilvl w:val="0"/>
          <w:numId w:val="42"/>
        </w:numPr>
        <w:ind w:left="567" w:hanging="567"/>
        <w:rPr>
          <w:b/>
        </w:rPr>
      </w:pPr>
      <w:r w:rsidRPr="000E20D1">
        <w:rPr>
          <w:b/>
        </w:rPr>
        <w:t xml:space="preserve">Clarify the </w:t>
      </w:r>
      <w:r w:rsidR="00FC34F2" w:rsidRPr="000E20D1">
        <w:rPr>
          <w:b/>
        </w:rPr>
        <w:t>law regarding illegal offshore gambling</w:t>
      </w:r>
      <w:r w:rsidR="004D05C8" w:rsidRPr="000E20D1">
        <w:rPr>
          <w:b/>
        </w:rPr>
        <w:t xml:space="preserve"> and empower </w:t>
      </w:r>
      <w:r w:rsidR="00921A6C" w:rsidRPr="000E20D1">
        <w:rPr>
          <w:b/>
        </w:rPr>
        <w:t>the</w:t>
      </w:r>
      <w:r w:rsidR="00630674">
        <w:rPr>
          <w:b/>
        </w:rPr>
        <w:t xml:space="preserve"> A</w:t>
      </w:r>
      <w:r w:rsidR="004D05C8" w:rsidRPr="000E20D1">
        <w:rPr>
          <w:b/>
        </w:rPr>
        <w:t>CMA</w:t>
      </w:r>
    </w:p>
    <w:p w:rsidR="004D05C8" w:rsidRPr="00DC15D9" w:rsidRDefault="004D05C8" w:rsidP="000E20D1">
      <w:pPr>
        <w:pStyle w:val="NoSpacing"/>
      </w:pPr>
      <w:r w:rsidRPr="003D28B8">
        <w:t xml:space="preserve">The Review found that there is a significant weakness in the </w:t>
      </w:r>
      <w:r w:rsidR="00921A6C" w:rsidRPr="003D28B8">
        <w:t>IGA</w:t>
      </w:r>
      <w:r w:rsidRPr="003D28B8">
        <w:t xml:space="preserve"> in that it does not expressly prohibit the provision of </w:t>
      </w:r>
      <w:r w:rsidR="00921A6C" w:rsidRPr="003D28B8">
        <w:t xml:space="preserve">gambling </w:t>
      </w:r>
      <w:r w:rsidRPr="003D28B8">
        <w:t xml:space="preserve">services </w:t>
      </w:r>
      <w:r w:rsidR="00921A6C" w:rsidRPr="003D28B8">
        <w:t>to Australians by offshore providers</w:t>
      </w:r>
      <w:r w:rsidRPr="003D28B8">
        <w:t>. Consequently</w:t>
      </w:r>
      <w:r w:rsidR="009475CA">
        <w:t>,</w:t>
      </w:r>
      <w:r w:rsidRPr="003D28B8">
        <w:t xml:space="preserve"> many offshore </w:t>
      </w:r>
      <w:r w:rsidR="00921A6C" w:rsidRPr="003D28B8">
        <w:t>providers</w:t>
      </w:r>
      <w:r w:rsidRPr="0052762C">
        <w:t xml:space="preserve"> offering gambling products to Australians</w:t>
      </w:r>
      <w:r w:rsidR="009475CA">
        <w:t xml:space="preserve"> </w:t>
      </w:r>
      <w:r w:rsidR="00586DFE" w:rsidRPr="000F4216">
        <w:t xml:space="preserve">may </w:t>
      </w:r>
      <w:r w:rsidR="009475CA">
        <w:t>stop</w:t>
      </w:r>
      <w:r w:rsidR="009475CA" w:rsidRPr="00DC15D9">
        <w:t xml:space="preserve"> </w:t>
      </w:r>
      <w:r w:rsidRPr="00DC15D9">
        <w:t xml:space="preserve">if the law was clearer. </w:t>
      </w:r>
    </w:p>
    <w:p w:rsidR="004D05C8" w:rsidRPr="00A800EF" w:rsidRDefault="004D05C8" w:rsidP="000E20D1">
      <w:pPr>
        <w:pStyle w:val="NoSpacing"/>
      </w:pPr>
      <w:r w:rsidRPr="00351A42">
        <w:t xml:space="preserve">For example, the gambling regulator in Gibraltar, a responsible regulator in the global market, </w:t>
      </w:r>
      <w:r w:rsidR="00921A6C" w:rsidRPr="000F4216">
        <w:t>informed</w:t>
      </w:r>
      <w:r w:rsidRPr="000F4216">
        <w:t xml:space="preserve"> the Review that labelling offshore operators as ‘illegal’ was not consistent with </w:t>
      </w:r>
      <w:r w:rsidR="00921A6C" w:rsidRPr="000F4216">
        <w:t>its</w:t>
      </w:r>
      <w:r w:rsidRPr="000F4216">
        <w:t xml:space="preserve"> understanding of the </w:t>
      </w:r>
      <w:r w:rsidR="00921A6C" w:rsidRPr="00A800EF">
        <w:t>IGA</w:t>
      </w:r>
      <w:r w:rsidRPr="00A800EF">
        <w:t>.</w:t>
      </w:r>
    </w:p>
    <w:p w:rsidR="004D05C8" w:rsidRPr="00A800EF" w:rsidRDefault="004D05C8" w:rsidP="000E20D1">
      <w:pPr>
        <w:pStyle w:val="NoSpacing"/>
      </w:pPr>
      <w:r w:rsidRPr="003D28B8">
        <w:t>The Government will</w:t>
      </w:r>
      <w:r w:rsidRPr="00DC15D9">
        <w:t xml:space="preserve"> amend the </w:t>
      </w:r>
      <w:r w:rsidR="00921A6C" w:rsidRPr="00DC15D9">
        <w:t>IGA</w:t>
      </w:r>
      <w:r w:rsidRPr="00351A42">
        <w:t xml:space="preserve"> to make it clear that the provision of </w:t>
      </w:r>
      <w:r w:rsidR="00921A6C" w:rsidRPr="00351A42">
        <w:t>gambling</w:t>
      </w:r>
      <w:r w:rsidRPr="000F4216">
        <w:t xml:space="preserve"> services </w:t>
      </w:r>
      <w:r w:rsidR="00921A6C" w:rsidRPr="000F4216">
        <w:t xml:space="preserve">to Australians </w:t>
      </w:r>
      <w:r w:rsidRPr="000F4216">
        <w:t>by of</w:t>
      </w:r>
      <w:r w:rsidR="00921A6C" w:rsidRPr="000F4216">
        <w:t>fshore providers is prohibited, unless they are licensed by a state or territory.</w:t>
      </w:r>
    </w:p>
    <w:p w:rsidR="00D34E37" w:rsidRPr="000F4216" w:rsidRDefault="002E65E6" w:rsidP="000E20D1">
      <w:pPr>
        <w:pStyle w:val="NoSpacing"/>
      </w:pPr>
      <w:r w:rsidRPr="00DC15D9">
        <w:t>Consistent</w:t>
      </w:r>
      <w:r w:rsidR="00D34E37" w:rsidRPr="00DC15D9">
        <w:t xml:space="preserve"> with the Review’s recomme</w:t>
      </w:r>
      <w:r w:rsidR="00D34E37" w:rsidRPr="00351A42">
        <w:t xml:space="preserve">ndations, the Government will give additional </w:t>
      </w:r>
      <w:r w:rsidR="00D34E37" w:rsidRPr="000F4216">
        <w:t xml:space="preserve">powers to </w:t>
      </w:r>
      <w:r w:rsidR="00921A6C" w:rsidRPr="000F4216">
        <w:t xml:space="preserve">the </w:t>
      </w:r>
      <w:r w:rsidR="00D34E37" w:rsidRPr="000F4216">
        <w:t xml:space="preserve">ACMA to notify relevant international regulators if an operator in their jurisdiction is </w:t>
      </w:r>
      <w:r w:rsidR="00D15F6A" w:rsidRPr="00DC15D9">
        <w:rPr>
          <w:spacing w:val="5"/>
        </w:rPr>
        <w:t>in breach of Australian</w:t>
      </w:r>
      <w:r w:rsidR="00D34E37" w:rsidRPr="000F4216">
        <w:t xml:space="preserve"> law</w:t>
      </w:r>
      <w:r w:rsidR="00D15F6A" w:rsidRPr="00DC15D9">
        <w:rPr>
          <w:spacing w:val="5"/>
        </w:rPr>
        <w:t>. T</w:t>
      </w:r>
      <w:r w:rsidR="00921A6C" w:rsidRPr="00DC15D9">
        <w:rPr>
          <w:spacing w:val="5"/>
        </w:rPr>
        <w:t>he</w:t>
      </w:r>
      <w:r w:rsidR="00921A6C" w:rsidRPr="000F4216">
        <w:t xml:space="preserve"> </w:t>
      </w:r>
      <w:r w:rsidR="00D34E37" w:rsidRPr="000F4216">
        <w:t>ACMA</w:t>
      </w:r>
      <w:r w:rsidR="00D34E37" w:rsidRPr="00DC15D9">
        <w:rPr>
          <w:spacing w:val="5"/>
        </w:rPr>
        <w:t xml:space="preserve"> </w:t>
      </w:r>
      <w:r w:rsidR="00D15F6A" w:rsidRPr="00DC15D9">
        <w:rPr>
          <w:spacing w:val="5"/>
        </w:rPr>
        <w:t>will also be granted powers</w:t>
      </w:r>
      <w:r w:rsidR="00D15F6A" w:rsidRPr="000F4216">
        <w:rPr>
          <w:spacing w:val="5"/>
        </w:rPr>
        <w:t xml:space="preserve"> </w:t>
      </w:r>
      <w:r w:rsidR="00D34E37" w:rsidRPr="000F4216">
        <w:t>to implement civil penalties.</w:t>
      </w:r>
    </w:p>
    <w:p w:rsidR="00D34E37" w:rsidRPr="000F4216" w:rsidRDefault="00D34E37" w:rsidP="000E20D1">
      <w:pPr>
        <w:pStyle w:val="NoSpacing"/>
      </w:pPr>
      <w:r w:rsidRPr="000F4216">
        <w:t>These actions will s</w:t>
      </w:r>
      <w:r w:rsidR="00921A6C" w:rsidRPr="000F4216">
        <w:t>end a clear message to gambling operators that the Government is serious about compliance with its gambling laws</w:t>
      </w:r>
      <w:r w:rsidR="00782043" w:rsidRPr="000F4216">
        <w:t>,</w:t>
      </w:r>
      <w:r w:rsidR="00921A6C" w:rsidRPr="000F4216">
        <w:t xml:space="preserve"> and should see responsible international gambling companies either obtaining a licence or ceasing</w:t>
      </w:r>
      <w:r w:rsidRPr="000F4216">
        <w:t xml:space="preserve"> to provide gambling products to Australians.</w:t>
      </w:r>
    </w:p>
    <w:p w:rsidR="00D34E37" w:rsidRPr="00DC15D9" w:rsidRDefault="00D34E37" w:rsidP="000E20D1">
      <w:pPr>
        <w:pStyle w:val="NoSpacing"/>
      </w:pPr>
      <w:r w:rsidRPr="00351A42">
        <w:t>Other countries take this approach</w:t>
      </w:r>
      <w:r w:rsidR="00FF7C80" w:rsidRPr="000F4216">
        <w:t xml:space="preserve"> and we will seek to replicate it</w:t>
      </w:r>
      <w:r w:rsidRPr="000F4216">
        <w:t>. France, for example, makes it clear that it is illegal</w:t>
      </w:r>
      <w:r w:rsidR="00AB33F5" w:rsidRPr="000F4216">
        <w:t xml:space="preserve">, based on a domain geolocation, </w:t>
      </w:r>
      <w:r w:rsidRPr="00DC15D9">
        <w:t xml:space="preserve">for </w:t>
      </w:r>
      <w:r w:rsidR="00435142" w:rsidRPr="00351A42">
        <w:t xml:space="preserve">a </w:t>
      </w:r>
      <w:r w:rsidRPr="00351A42">
        <w:t xml:space="preserve">foreign online betting company to offer gambling </w:t>
      </w:r>
      <w:r w:rsidR="009475CA">
        <w:t>products</w:t>
      </w:r>
      <w:r w:rsidR="009475CA" w:rsidRPr="00351A42">
        <w:t xml:space="preserve"> </w:t>
      </w:r>
      <w:r w:rsidRPr="00351A42">
        <w:t>to French</w:t>
      </w:r>
      <w:r w:rsidRPr="00DC15D9">
        <w:t xml:space="preserve"> nationals.</w:t>
      </w:r>
    </w:p>
    <w:p w:rsidR="00433FBE" w:rsidRPr="000F4216" w:rsidRDefault="00433FBE" w:rsidP="00D34E37">
      <w:pPr>
        <w:spacing w:line="240" w:lineRule="auto"/>
      </w:pPr>
    </w:p>
    <w:p w:rsidR="00D34E37" w:rsidRPr="000E20D1" w:rsidRDefault="00433FBE" w:rsidP="000E20D1">
      <w:pPr>
        <w:pStyle w:val="NoSpacing"/>
        <w:numPr>
          <w:ilvl w:val="0"/>
          <w:numId w:val="42"/>
        </w:numPr>
        <w:ind w:left="567" w:hanging="567"/>
        <w:rPr>
          <w:b/>
        </w:rPr>
      </w:pPr>
      <w:r w:rsidRPr="000F4216">
        <w:rPr>
          <w:b/>
        </w:rPr>
        <w:lastRenderedPageBreak/>
        <w:t xml:space="preserve">Introduce other </w:t>
      </w:r>
      <w:r w:rsidR="00447064" w:rsidRPr="000F4216">
        <w:rPr>
          <w:b/>
        </w:rPr>
        <w:t>disrupti</w:t>
      </w:r>
      <w:r w:rsidR="00447064">
        <w:rPr>
          <w:b/>
        </w:rPr>
        <w:t xml:space="preserve">on </w:t>
      </w:r>
      <w:r w:rsidRPr="000F4216">
        <w:rPr>
          <w:b/>
        </w:rPr>
        <w:t>measures to curb illegal offshore gambling activity</w:t>
      </w:r>
    </w:p>
    <w:p w:rsidR="004D05C8" w:rsidRPr="003D28B8" w:rsidRDefault="00433FBE" w:rsidP="000E20D1">
      <w:pPr>
        <w:pStyle w:val="NoSpacing"/>
      </w:pPr>
      <w:r w:rsidRPr="00A800EF">
        <w:t>In addition to clarifying the law, the Review recommended the i</w:t>
      </w:r>
      <w:r w:rsidRPr="00767FDC">
        <w:t xml:space="preserve">mplementation of a series of other mechanisms to disrupt the illegal offshore gambling market. The </w:t>
      </w:r>
      <w:r w:rsidR="00435142" w:rsidRPr="00767FDC">
        <w:t>term</w:t>
      </w:r>
      <w:r w:rsidRPr="003D28B8">
        <w:t xml:space="preserve"> ‘disrupt’ is carefully used as no single action will completely eliminate illegal offshore gambling. However the combination of greater legal clarity </w:t>
      </w:r>
      <w:r w:rsidR="00FF7C80" w:rsidRPr="003D28B8">
        <w:t xml:space="preserve">and stronger enforcement </w:t>
      </w:r>
      <w:r w:rsidRPr="003D28B8">
        <w:t>(as outlined above) in concert with the disruption measures will have a significant impact.</w:t>
      </w:r>
    </w:p>
    <w:p w:rsidR="00433FBE" w:rsidRPr="00CF64B4" w:rsidRDefault="00433FBE" w:rsidP="000E20D1">
      <w:pPr>
        <w:pStyle w:val="NoSpacing"/>
      </w:pPr>
      <w:r w:rsidRPr="003D28B8">
        <w:t xml:space="preserve">In line with the recommendations of the Review, the </w:t>
      </w:r>
      <w:r w:rsidR="00435142" w:rsidRPr="003D28B8">
        <w:t>G</w:t>
      </w:r>
      <w:r w:rsidRPr="003D28B8">
        <w:t xml:space="preserve">overnment will </w:t>
      </w:r>
      <w:r w:rsidR="00435142" w:rsidRPr="003D28B8">
        <w:t xml:space="preserve">pursue </w:t>
      </w:r>
      <w:r w:rsidRPr="003D28B8">
        <w:t>the following</w:t>
      </w:r>
      <w:r w:rsidR="00435142" w:rsidRPr="0052762C">
        <w:t xml:space="preserve"> responses</w:t>
      </w:r>
      <w:r w:rsidR="007C1E0A">
        <w:t>.</w:t>
      </w:r>
    </w:p>
    <w:p w:rsidR="00560D9D" w:rsidRPr="000F4216" w:rsidRDefault="002272EF" w:rsidP="000E20D1">
      <w:pPr>
        <w:pStyle w:val="NoSpacing"/>
        <w:numPr>
          <w:ilvl w:val="0"/>
          <w:numId w:val="29"/>
        </w:numPr>
      </w:pPr>
      <w:r w:rsidRPr="000F4216">
        <w:t>The creation of</w:t>
      </w:r>
      <w:r w:rsidR="00433FBE" w:rsidRPr="000F4216">
        <w:t xml:space="preserve"> name and shame lists to be published online to detail illegal sites and their directors and principals and the use</w:t>
      </w:r>
      <w:r w:rsidRPr="000F4216">
        <w:t xml:space="preserve"> of</w:t>
      </w:r>
      <w:r w:rsidR="00433FBE" w:rsidRPr="000F4216">
        <w:t xml:space="preserve"> instruments to disrupt travel to Australia by named individuals.</w:t>
      </w:r>
    </w:p>
    <w:p w:rsidR="00433FBE" w:rsidRPr="000F4216" w:rsidRDefault="00FF7C80" w:rsidP="000E20D1">
      <w:pPr>
        <w:pStyle w:val="NoSpacing"/>
        <w:numPr>
          <w:ilvl w:val="0"/>
          <w:numId w:val="29"/>
        </w:numPr>
      </w:pPr>
      <w:r w:rsidRPr="000F4216">
        <w:t xml:space="preserve">Work with the </w:t>
      </w:r>
      <w:r w:rsidR="00245F3B">
        <w:t>states</w:t>
      </w:r>
      <w:r w:rsidRPr="000F4216">
        <w:t xml:space="preserve"> to restrict unlicensed </w:t>
      </w:r>
      <w:r w:rsidR="00B70F47" w:rsidRPr="000F4216">
        <w:t>offshore operators</w:t>
      </w:r>
      <w:r w:rsidR="00447064">
        <w:t xml:space="preserve"> that</w:t>
      </w:r>
      <w:r w:rsidR="00B70F47" w:rsidRPr="000F4216">
        <w:t xml:space="preserve"> continue to provide gambling services to Australian consumers</w:t>
      </w:r>
      <w:r w:rsidR="00447064">
        <w:t>,</w:t>
      </w:r>
      <w:r w:rsidR="00B70F47" w:rsidRPr="000F4216">
        <w:t xml:space="preserve"> from obtaining an Australian licence for a specified period.</w:t>
      </w:r>
    </w:p>
    <w:p w:rsidR="002272EF" w:rsidRPr="000F4216" w:rsidRDefault="00435142" w:rsidP="000E20D1">
      <w:pPr>
        <w:pStyle w:val="NoSpacing"/>
        <w:numPr>
          <w:ilvl w:val="0"/>
          <w:numId w:val="29"/>
        </w:numPr>
      </w:pPr>
      <w:r w:rsidRPr="000F4216">
        <w:t>Consultation</w:t>
      </w:r>
      <w:r w:rsidR="00FF7C80" w:rsidRPr="000F4216">
        <w:t xml:space="preserve"> with Internet Service Providers to assess the potential options and practicality of voluntarily disrupting access to overseas based online </w:t>
      </w:r>
      <w:r w:rsidR="00AA67D3">
        <w:t xml:space="preserve">wagering </w:t>
      </w:r>
      <w:r w:rsidR="00FF7C80" w:rsidRPr="000F4216">
        <w:t xml:space="preserve">providers who are not </w:t>
      </w:r>
      <w:r w:rsidR="00D123EF" w:rsidRPr="000F4216">
        <w:t>licens</w:t>
      </w:r>
      <w:r w:rsidR="00B70F47" w:rsidRPr="000F4216">
        <w:t xml:space="preserve">ed in Australia through the use of blocking or pop-up warning pages. </w:t>
      </w:r>
      <w:r w:rsidRPr="00DC15D9">
        <w:t>Consultation</w:t>
      </w:r>
      <w:r w:rsidR="002272EF" w:rsidRPr="00351A42">
        <w:t xml:space="preserve"> with the banks and credit card providers to assess the potential options and practicality of payment blocking strategies to address illegal offshore </w:t>
      </w:r>
      <w:r w:rsidR="00B70F47" w:rsidRPr="000F4216">
        <w:t>gambling</w:t>
      </w:r>
      <w:r w:rsidR="002272EF" w:rsidRPr="000F4216">
        <w:t>.</w:t>
      </w:r>
    </w:p>
    <w:p w:rsidR="00485E70" w:rsidRPr="000F4216" w:rsidRDefault="00485E70" w:rsidP="005669EB">
      <w:pPr>
        <w:spacing w:line="240" w:lineRule="auto"/>
      </w:pPr>
    </w:p>
    <w:p w:rsidR="0030384D" w:rsidRPr="00351A42" w:rsidRDefault="00E616F9" w:rsidP="000E20D1">
      <w:pPr>
        <w:pStyle w:val="Heading3"/>
      </w:pPr>
      <w:r>
        <w:t>Expansion</w:t>
      </w:r>
      <w:r w:rsidRPr="00DC15D9">
        <w:t xml:space="preserve"> </w:t>
      </w:r>
      <w:r w:rsidR="002272EF" w:rsidRPr="00DC15D9">
        <w:t xml:space="preserve">of the </w:t>
      </w:r>
      <w:r w:rsidR="00A85959" w:rsidRPr="00DC15D9">
        <w:t xml:space="preserve">online </w:t>
      </w:r>
      <w:r w:rsidR="002272EF" w:rsidRPr="00351A42">
        <w:t>betting market</w:t>
      </w:r>
    </w:p>
    <w:p w:rsidR="00B70F47" w:rsidRPr="000F4216" w:rsidRDefault="00F35844" w:rsidP="000E20D1">
      <w:pPr>
        <w:pStyle w:val="NoSpacing"/>
      </w:pPr>
      <w:r w:rsidRPr="000F4216">
        <w:t xml:space="preserve">The Government </w:t>
      </w:r>
      <w:r w:rsidR="00E616F9">
        <w:t>notes</w:t>
      </w:r>
      <w:r w:rsidR="00E616F9" w:rsidRPr="000F4216">
        <w:t xml:space="preserve"> </w:t>
      </w:r>
      <w:r w:rsidRPr="000F4216">
        <w:t xml:space="preserve">the </w:t>
      </w:r>
      <w:r w:rsidRPr="00C964C9">
        <w:t>Review</w:t>
      </w:r>
      <w:r w:rsidR="00D15F6A" w:rsidRPr="00C964C9">
        <w:t>’s finding</w:t>
      </w:r>
      <w:r w:rsidRPr="000F4216">
        <w:t xml:space="preserve"> that</w:t>
      </w:r>
      <w:r w:rsidR="00504ED9" w:rsidRPr="000F4216">
        <w:t xml:space="preserve"> the introduction of</w:t>
      </w:r>
      <w:r w:rsidRPr="000F4216">
        <w:t xml:space="preserve"> </w:t>
      </w:r>
      <w:r w:rsidR="00504ED9" w:rsidRPr="000F4216">
        <w:t xml:space="preserve">a strong national framework is </w:t>
      </w:r>
      <w:r w:rsidR="00D15F6A" w:rsidRPr="00C964C9">
        <w:t xml:space="preserve">required </w:t>
      </w:r>
      <w:r w:rsidR="00504ED9" w:rsidRPr="000F4216">
        <w:t xml:space="preserve">before considering any </w:t>
      </w:r>
      <w:r w:rsidR="00B70F47" w:rsidRPr="000F4216">
        <w:t>expansion of products in the online gambling market.</w:t>
      </w:r>
    </w:p>
    <w:p w:rsidR="003A5689" w:rsidRPr="000F4216" w:rsidRDefault="003A5689" w:rsidP="000E20D1">
      <w:pPr>
        <w:pStyle w:val="NoSpacing"/>
      </w:pPr>
      <w:r w:rsidRPr="000F4216">
        <w:t>T</w:t>
      </w:r>
      <w:r w:rsidR="00A50D8D" w:rsidRPr="000F4216">
        <w:t xml:space="preserve">he Government </w:t>
      </w:r>
      <w:r w:rsidRPr="000F4216">
        <w:t>does not</w:t>
      </w:r>
      <w:r w:rsidR="00D15F6A" w:rsidRPr="00C964C9">
        <w:t xml:space="preserve"> </w:t>
      </w:r>
      <w:r w:rsidRPr="000F4216">
        <w:t>intend to</w:t>
      </w:r>
      <w:r w:rsidR="00B70F47" w:rsidRPr="000F4216">
        <w:t xml:space="preserve"> </w:t>
      </w:r>
      <w:r w:rsidR="00E616F9">
        <w:t xml:space="preserve">further </w:t>
      </w:r>
      <w:r w:rsidR="00D15F6A" w:rsidRPr="00C964C9">
        <w:t xml:space="preserve">expand the </w:t>
      </w:r>
      <w:r w:rsidR="00B70F47" w:rsidRPr="00C964C9">
        <w:t xml:space="preserve">online </w:t>
      </w:r>
      <w:r w:rsidR="00D15F6A" w:rsidRPr="00C964C9">
        <w:t xml:space="preserve">betting market in Australia by legalising online </w:t>
      </w:r>
      <w:r w:rsidR="00B70F47" w:rsidRPr="000F4216">
        <w:t>in-play betting</w:t>
      </w:r>
      <w:r w:rsidR="00767FDC">
        <w:t>.</w:t>
      </w:r>
    </w:p>
    <w:p w:rsidR="00A54115" w:rsidRPr="00351A42" w:rsidRDefault="00A50D8D" w:rsidP="000E20D1">
      <w:pPr>
        <w:pStyle w:val="NoSpacing"/>
      </w:pPr>
      <w:r w:rsidRPr="000F4216">
        <w:t xml:space="preserve">The Government </w:t>
      </w:r>
      <w:r w:rsidR="00166B52" w:rsidRPr="00DC15D9">
        <w:t>considers</w:t>
      </w:r>
      <w:r w:rsidR="00A800EF">
        <w:t xml:space="preserve"> </w:t>
      </w:r>
      <w:r w:rsidRPr="00DC15D9">
        <w:t>‘click</w:t>
      </w:r>
      <w:r w:rsidR="00EE6377" w:rsidRPr="000F4216">
        <w:noBreakHyphen/>
      </w:r>
      <w:r w:rsidRPr="00DC15D9">
        <w:t>to</w:t>
      </w:r>
      <w:r w:rsidR="00EE6377" w:rsidRPr="000F4216">
        <w:noBreakHyphen/>
      </w:r>
      <w:r w:rsidRPr="00DC15D9">
        <w:t xml:space="preserve">call’ in-play betting services are breaching the </w:t>
      </w:r>
      <w:r w:rsidR="00560D9D" w:rsidRPr="000F4216">
        <w:t xml:space="preserve">provisions and </w:t>
      </w:r>
      <w:r w:rsidRPr="00DC15D9">
        <w:t xml:space="preserve">intent of the IGA. </w:t>
      </w:r>
      <w:r w:rsidR="00166B52" w:rsidRPr="00DC15D9">
        <w:t>The</w:t>
      </w:r>
      <w:r w:rsidR="00A54115" w:rsidRPr="00DC15D9">
        <w:t xml:space="preserve"> Government will </w:t>
      </w:r>
      <w:r w:rsidR="00166B52" w:rsidRPr="00351A42">
        <w:t xml:space="preserve">therefore </w:t>
      </w:r>
      <w:r w:rsidR="001F5D72" w:rsidRPr="00351A42">
        <w:t>introduce legislation to clarify the IGA as soon as possible</w:t>
      </w:r>
      <w:r w:rsidR="001F5D72" w:rsidRPr="000F4216">
        <w:t>.</w:t>
      </w:r>
    </w:p>
    <w:p w:rsidR="00946C43" w:rsidRPr="000F4216" w:rsidRDefault="00946C43" w:rsidP="00946C43">
      <w:pPr>
        <w:pStyle w:val="NoSpacing"/>
        <w:rPr>
          <w:b/>
        </w:rPr>
      </w:pPr>
    </w:p>
    <w:p w:rsidR="00946C43" w:rsidRPr="00351A42" w:rsidRDefault="00052DA4" w:rsidP="000E20D1">
      <w:pPr>
        <w:pStyle w:val="Heading2"/>
      </w:pPr>
      <w:r w:rsidRPr="00DC15D9">
        <w:t>CONCLUSION</w:t>
      </w:r>
    </w:p>
    <w:p w:rsidR="00946C43" w:rsidRPr="00A800EF" w:rsidRDefault="00E26233" w:rsidP="000E20D1">
      <w:pPr>
        <w:pStyle w:val="NoSpacing"/>
      </w:pPr>
      <w:r w:rsidRPr="000F4216">
        <w:t xml:space="preserve">The Government’s approach draws on the experience of overseas regulators, where the most effective reforms brought online gambling within regulatory boundaries, </w:t>
      </w:r>
      <w:r w:rsidR="00E040BF" w:rsidRPr="000F4216">
        <w:t xml:space="preserve">but not without </w:t>
      </w:r>
      <w:r w:rsidR="00946C43" w:rsidRPr="000F4216">
        <w:t xml:space="preserve">robust approaches to protect consumers and sport, and discourage illegal </w:t>
      </w:r>
      <w:r w:rsidR="00946C43" w:rsidRPr="00A800EF">
        <w:t>operators.</w:t>
      </w:r>
    </w:p>
    <w:p w:rsidR="00946C43" w:rsidRPr="000F4216" w:rsidRDefault="00946C43" w:rsidP="000E20D1">
      <w:pPr>
        <w:pStyle w:val="NoSpacing"/>
      </w:pPr>
      <w:r w:rsidRPr="00767FDC">
        <w:t>The Government extends its gratitude to the Hon Barry O’Farrell for his leadership in conducting the Review and thanks all those who contributed through meetings, research and submissions.</w:t>
      </w:r>
    </w:p>
    <w:p w:rsidR="00A800EF" w:rsidRPr="00A800EF" w:rsidRDefault="00A800EF" w:rsidP="000E20D1">
      <w:pPr>
        <w:pStyle w:val="NoSpacing"/>
      </w:pPr>
      <w:r>
        <w:t xml:space="preserve">We look forward to engaging with the </w:t>
      </w:r>
      <w:r w:rsidR="00245F3B">
        <w:t>states</w:t>
      </w:r>
      <w:r>
        <w:t>, the wagering sector, researchers and the community to progress these measures.</w:t>
      </w:r>
    </w:p>
    <w:p w:rsidR="00225962" w:rsidRPr="00743147" w:rsidRDefault="00225962" w:rsidP="00743147">
      <w:pPr>
        <w:spacing w:after="200" w:line="240" w:lineRule="auto"/>
        <w:jc w:val="both"/>
        <w:rPr>
          <w:rStyle w:val="BookTitle"/>
          <w:i/>
          <w:smallCaps w:val="0"/>
          <w:sz w:val="23"/>
        </w:rPr>
        <w:sectPr w:rsidR="00225962" w:rsidRPr="00743147" w:rsidSect="00415E2C">
          <w:footerReference w:type="default" r:id="rId16"/>
          <w:pgSz w:w="11906" w:h="16838"/>
          <w:pgMar w:top="993" w:right="1440" w:bottom="1276" w:left="1440" w:header="708" w:footer="708" w:gutter="0"/>
          <w:cols w:space="708"/>
          <w:docGrid w:linePitch="360"/>
        </w:sectPr>
      </w:pPr>
    </w:p>
    <w:p w:rsidR="00782043" w:rsidRDefault="00782043" w:rsidP="00782043">
      <w:pPr>
        <w:tabs>
          <w:tab w:val="left" w:pos="5920"/>
          <w:tab w:val="left" w:pos="6487"/>
          <w:tab w:val="left" w:pos="7338"/>
        </w:tabs>
        <w:spacing w:line="240" w:lineRule="auto"/>
      </w:pPr>
    </w:p>
    <w:tbl>
      <w:tblPr>
        <w:tblStyle w:val="TableGrid"/>
        <w:tblW w:w="14148" w:type="dxa"/>
        <w:tblLayout w:type="fixed"/>
        <w:tblLook w:val="0420" w:firstRow="1" w:lastRow="0" w:firstColumn="0" w:lastColumn="0" w:noHBand="0" w:noVBand="1"/>
        <w:tblDescription w:val="Summary of Government Responses. "/>
      </w:tblPr>
      <w:tblGrid>
        <w:gridCol w:w="5920"/>
        <w:gridCol w:w="1276"/>
        <w:gridCol w:w="6952"/>
      </w:tblGrid>
      <w:tr w:rsidR="00B75FDF" w:rsidRPr="0061376F" w:rsidTr="000E20D1">
        <w:trPr>
          <w:tblHeader/>
        </w:trPr>
        <w:tc>
          <w:tcPr>
            <w:tcW w:w="5920" w:type="dxa"/>
            <w:shd w:val="clear" w:color="auto" w:fill="B8CCE4" w:themeFill="accent1" w:themeFillTint="66"/>
          </w:tcPr>
          <w:p w:rsidR="00B75FDF" w:rsidRPr="000E20D1" w:rsidRDefault="00B75FDF" w:rsidP="00351A42">
            <w:pPr>
              <w:rPr>
                <w:rStyle w:val="BookTitle"/>
                <w:i/>
                <w:smallCaps w:val="0"/>
                <w:spacing w:val="0"/>
              </w:rPr>
            </w:pPr>
            <w:r w:rsidRPr="000E20D1">
              <w:rPr>
                <w:rStyle w:val="BookTitle"/>
                <w:smallCaps w:val="0"/>
                <w:spacing w:val="0"/>
              </w:rPr>
              <w:t>Recommendation</w:t>
            </w:r>
          </w:p>
        </w:tc>
        <w:tc>
          <w:tcPr>
            <w:tcW w:w="1276" w:type="dxa"/>
            <w:shd w:val="clear" w:color="auto" w:fill="B8CCE4" w:themeFill="accent1" w:themeFillTint="66"/>
          </w:tcPr>
          <w:p w:rsidR="00B75FDF" w:rsidRPr="000E20D1" w:rsidRDefault="00B75FDF" w:rsidP="00351A42">
            <w:pPr>
              <w:jc w:val="center"/>
              <w:rPr>
                <w:rStyle w:val="BookTitle"/>
                <w:i/>
                <w:smallCaps w:val="0"/>
                <w:spacing w:val="0"/>
              </w:rPr>
            </w:pPr>
            <w:r w:rsidRPr="000E20D1">
              <w:rPr>
                <w:rStyle w:val="BookTitle"/>
                <w:smallCaps w:val="0"/>
                <w:spacing w:val="0"/>
              </w:rPr>
              <w:t>Position</w:t>
            </w:r>
          </w:p>
        </w:tc>
        <w:tc>
          <w:tcPr>
            <w:tcW w:w="6952" w:type="dxa"/>
            <w:shd w:val="clear" w:color="auto" w:fill="B8CCE4" w:themeFill="accent1" w:themeFillTint="66"/>
          </w:tcPr>
          <w:p w:rsidR="00B75FDF" w:rsidRPr="000E20D1" w:rsidRDefault="00D9432D" w:rsidP="00351A42">
            <w:pPr>
              <w:spacing w:after="120"/>
              <w:rPr>
                <w:rStyle w:val="BookTitle"/>
                <w:smallCaps w:val="0"/>
                <w:spacing w:val="0"/>
              </w:rPr>
            </w:pPr>
            <w:r w:rsidRPr="000E20D1">
              <w:rPr>
                <w:rStyle w:val="BookTitle"/>
                <w:smallCaps w:val="0"/>
                <w:spacing w:val="0"/>
              </w:rPr>
              <w:t>Comments</w:t>
            </w:r>
          </w:p>
        </w:tc>
      </w:tr>
      <w:tr w:rsidR="00B75FDF" w:rsidRPr="0061376F" w:rsidTr="000E20D1">
        <w:tc>
          <w:tcPr>
            <w:tcW w:w="5920" w:type="dxa"/>
          </w:tcPr>
          <w:p w:rsidR="00B75FDF" w:rsidRPr="000E20D1" w:rsidRDefault="00B75FDF" w:rsidP="00351A42">
            <w:pPr>
              <w:rPr>
                <w:rStyle w:val="BookTitle"/>
                <w:i/>
                <w:smallCaps w:val="0"/>
                <w:spacing w:val="0"/>
              </w:rPr>
            </w:pPr>
            <w:r w:rsidRPr="000E20D1">
              <w:rPr>
                <w:sz w:val="22"/>
              </w:rPr>
              <w:t>1: Commonwealth, State and Territory governments should recommit to Gambling Research Australia to ensure that research funds are directed towards maximising the information available to policy makers, academics, the community and industry about the nature, prevalence and impact of gambling across Australia.</w:t>
            </w:r>
          </w:p>
        </w:tc>
        <w:tc>
          <w:tcPr>
            <w:tcW w:w="1276" w:type="dxa"/>
            <w:shd w:val="clear" w:color="auto" w:fill="D6E3BC" w:themeFill="accent3" w:themeFillTint="66"/>
          </w:tcPr>
          <w:p w:rsidR="00B75FDF" w:rsidRPr="000E20D1" w:rsidRDefault="00B75FDF" w:rsidP="00351A42">
            <w:pPr>
              <w:jc w:val="center"/>
              <w:rPr>
                <w:rStyle w:val="BookTitle"/>
                <w:i/>
                <w:smallCaps w:val="0"/>
                <w:spacing w:val="0"/>
              </w:rPr>
            </w:pPr>
            <w:r w:rsidRPr="000E20D1">
              <w:rPr>
                <w:rStyle w:val="BookTitle"/>
                <w:smallCaps w:val="0"/>
                <w:spacing w:val="0"/>
              </w:rPr>
              <w:t>Agree in</w:t>
            </w:r>
            <w:r w:rsidRPr="000E20D1">
              <w:rPr>
                <w:rStyle w:val="BookTitle"/>
                <w:smallCaps w:val="0"/>
                <w:spacing w:val="0"/>
              </w:rPr>
              <w:noBreakHyphen/>
              <w:t>principle</w:t>
            </w:r>
          </w:p>
        </w:tc>
        <w:tc>
          <w:tcPr>
            <w:tcW w:w="6952" w:type="dxa"/>
            <w:shd w:val="clear" w:color="auto" w:fill="auto"/>
          </w:tcPr>
          <w:p w:rsidR="00485E70" w:rsidRPr="000E20D1" w:rsidRDefault="00B75FDF" w:rsidP="00351A42">
            <w:pPr>
              <w:spacing w:after="200"/>
              <w:rPr>
                <w:sz w:val="22"/>
              </w:rPr>
            </w:pPr>
            <w:r w:rsidRPr="000E20D1">
              <w:rPr>
                <w:sz w:val="22"/>
              </w:rPr>
              <w:t>Focused, strategic and nation-wide research is essential to developing and evaluating policy responses to gambling and its impact within Australia. Gambling Research Australia is currently being evaluated. The Commonwealth and the states and territories are considering which research model best meets the goal of maximising understanding of the nature, prevalence and impact of gambling.</w:t>
            </w:r>
          </w:p>
          <w:p w:rsidR="00B75FDF" w:rsidRPr="000E20D1" w:rsidRDefault="00B75FDF" w:rsidP="00351A42">
            <w:pPr>
              <w:spacing w:after="200"/>
              <w:rPr>
                <w:rStyle w:val="BookTitle"/>
                <w:i/>
                <w:smallCaps w:val="0"/>
                <w:spacing w:val="0"/>
              </w:rPr>
            </w:pPr>
            <w:r w:rsidRPr="000E20D1">
              <w:rPr>
                <w:sz w:val="22"/>
              </w:rPr>
              <w:t>The Government will work with the states and territories on a collaborative research effort, including developing an agreed research program and allocating funding to an appropriate research body or bodies.</w:t>
            </w:r>
          </w:p>
        </w:tc>
      </w:tr>
      <w:tr w:rsidR="00B75FDF" w:rsidRPr="0061376F" w:rsidTr="000E20D1">
        <w:tc>
          <w:tcPr>
            <w:tcW w:w="5920" w:type="dxa"/>
          </w:tcPr>
          <w:p w:rsidR="00B75FDF" w:rsidRPr="000E20D1" w:rsidRDefault="00B75FDF" w:rsidP="00351A42">
            <w:pPr>
              <w:rPr>
                <w:rStyle w:val="BookTitle"/>
                <w:i/>
                <w:smallCaps w:val="0"/>
                <w:spacing w:val="0"/>
              </w:rPr>
            </w:pPr>
            <w:r w:rsidRPr="000E20D1">
              <w:rPr>
                <w:sz w:val="22"/>
              </w:rPr>
              <w:t>2: A national policy framework, comprising agreed minimum standards, be established to provide consistency in the regulation of online wagering and to improve the effectiveness of consumer protection and harm minimisation measures across the nation.</w:t>
            </w:r>
          </w:p>
        </w:tc>
        <w:tc>
          <w:tcPr>
            <w:tcW w:w="1276" w:type="dxa"/>
            <w:shd w:val="clear" w:color="auto" w:fill="92D050"/>
          </w:tcPr>
          <w:p w:rsidR="00B75FDF" w:rsidRPr="000E20D1" w:rsidRDefault="00B75FDF" w:rsidP="00351A42">
            <w:pPr>
              <w:jc w:val="center"/>
              <w:rPr>
                <w:rStyle w:val="BookTitle"/>
                <w:i/>
                <w:smallCaps w:val="0"/>
                <w:spacing w:val="0"/>
              </w:rPr>
            </w:pPr>
            <w:r w:rsidRPr="000E20D1">
              <w:rPr>
                <w:rStyle w:val="BookTitle"/>
                <w:smallCaps w:val="0"/>
                <w:spacing w:val="0"/>
              </w:rPr>
              <w:t xml:space="preserve">Agree </w:t>
            </w:r>
          </w:p>
        </w:tc>
        <w:tc>
          <w:tcPr>
            <w:tcW w:w="6952" w:type="dxa"/>
            <w:shd w:val="clear" w:color="auto" w:fill="auto"/>
          </w:tcPr>
          <w:p w:rsidR="00B75FDF" w:rsidRPr="000E20D1" w:rsidRDefault="00B75FDF" w:rsidP="000E20D1">
            <w:pPr>
              <w:spacing w:after="200"/>
              <w:rPr>
                <w:sz w:val="22"/>
              </w:rPr>
            </w:pPr>
            <w:r w:rsidRPr="000E20D1">
              <w:rPr>
                <w:sz w:val="22"/>
              </w:rPr>
              <w:t>The Government agrees that there should be a nationally consistent framework for gambling regulation and consumer protection, in line with the Government’s gambling policy. National consistency is particularly important in this area given that the product crosses jurisdictional boundaries.</w:t>
            </w:r>
          </w:p>
          <w:p w:rsidR="00B75FDF" w:rsidRPr="000E20D1" w:rsidRDefault="00B75FDF" w:rsidP="000E20D1">
            <w:pPr>
              <w:spacing w:after="200"/>
              <w:rPr>
                <w:sz w:val="22"/>
              </w:rPr>
            </w:pPr>
            <w:r w:rsidRPr="000E20D1">
              <w:rPr>
                <w:sz w:val="22"/>
              </w:rPr>
              <w:t>The Government will work closely with the states and territories, industry and other stakeholders, to develop a national policy and regulatory framework. This will include the specific role(s) that each stakeholder will play.</w:t>
            </w:r>
          </w:p>
          <w:p w:rsidR="00B75FDF" w:rsidRPr="000E20D1" w:rsidRDefault="00CA09B0" w:rsidP="000E20D1">
            <w:pPr>
              <w:spacing w:after="200"/>
              <w:rPr>
                <w:rStyle w:val="BookTitle"/>
                <w:i/>
                <w:iCs w:val="0"/>
                <w:smallCaps w:val="0"/>
                <w:spacing w:val="0"/>
              </w:rPr>
            </w:pPr>
            <w:r w:rsidRPr="000E20D1">
              <w:rPr>
                <w:sz w:val="22"/>
              </w:rPr>
              <w:t>A range of possible approaches to implement the national framework will be considered and discussed with the states and territories and stakeholders, including</w:t>
            </w:r>
            <w:r w:rsidR="006A6508" w:rsidRPr="000E20D1">
              <w:rPr>
                <w:sz w:val="22"/>
              </w:rPr>
              <w:t>:</w:t>
            </w:r>
            <w:r w:rsidRPr="000E20D1">
              <w:rPr>
                <w:sz w:val="22"/>
              </w:rPr>
              <w:t xml:space="preserve"> that adopted for the National </w:t>
            </w:r>
            <w:r w:rsidR="00AB33F5" w:rsidRPr="000E20D1">
              <w:rPr>
                <w:sz w:val="22"/>
              </w:rPr>
              <w:t>Policy on Match-Fixing in Sport</w:t>
            </w:r>
            <w:r w:rsidRPr="000E20D1">
              <w:rPr>
                <w:sz w:val="22"/>
              </w:rPr>
              <w:t>, and a national regulatory approach.</w:t>
            </w:r>
          </w:p>
        </w:tc>
      </w:tr>
      <w:tr w:rsidR="00B75FDF" w:rsidRPr="0061376F" w:rsidTr="000E20D1">
        <w:trPr>
          <w:cantSplit/>
        </w:trPr>
        <w:tc>
          <w:tcPr>
            <w:tcW w:w="5920" w:type="dxa"/>
            <w:shd w:val="clear" w:color="auto" w:fill="auto"/>
          </w:tcPr>
          <w:p w:rsidR="00B75FDF" w:rsidRPr="000E20D1" w:rsidRDefault="00B75FDF" w:rsidP="00351A42">
            <w:pPr>
              <w:rPr>
                <w:rStyle w:val="BookTitle"/>
                <w:i/>
                <w:smallCaps w:val="0"/>
                <w:spacing w:val="0"/>
              </w:rPr>
            </w:pPr>
            <w:r w:rsidRPr="000E20D1">
              <w:rPr>
                <w:sz w:val="22"/>
              </w:rPr>
              <w:t xml:space="preserve">3: Until the proposed national framework is established and operating, consideration of additional in-play betting products should be deferred and legislative steps taken to respect the original intent of the </w:t>
            </w:r>
            <w:r w:rsidRPr="000E20D1">
              <w:rPr>
                <w:i/>
                <w:sz w:val="22"/>
              </w:rPr>
              <w:t>Interactive Gambling Act 2001</w:t>
            </w:r>
            <w:r w:rsidRPr="000E20D1">
              <w:rPr>
                <w:sz w:val="22"/>
              </w:rPr>
              <w:t>.</w:t>
            </w:r>
          </w:p>
        </w:tc>
        <w:tc>
          <w:tcPr>
            <w:tcW w:w="1276" w:type="dxa"/>
            <w:shd w:val="clear" w:color="auto" w:fill="BFBFBF" w:themeFill="background1" w:themeFillShade="BF"/>
          </w:tcPr>
          <w:p w:rsidR="00B75FDF" w:rsidRPr="000E20D1" w:rsidRDefault="00E616F9" w:rsidP="00351A42">
            <w:pPr>
              <w:jc w:val="center"/>
              <w:rPr>
                <w:rStyle w:val="BookTitle"/>
                <w:i/>
                <w:smallCaps w:val="0"/>
                <w:spacing w:val="0"/>
              </w:rPr>
            </w:pPr>
            <w:r w:rsidRPr="000E20D1">
              <w:rPr>
                <w:rStyle w:val="BookTitle"/>
                <w:smallCaps w:val="0"/>
                <w:spacing w:val="0"/>
              </w:rPr>
              <w:t>Noted</w:t>
            </w:r>
          </w:p>
        </w:tc>
        <w:tc>
          <w:tcPr>
            <w:tcW w:w="6952" w:type="dxa"/>
            <w:shd w:val="clear" w:color="auto" w:fill="auto"/>
          </w:tcPr>
          <w:p w:rsidR="0064493B" w:rsidRPr="000E20D1" w:rsidRDefault="0064493B" w:rsidP="000E20D1">
            <w:pPr>
              <w:spacing w:after="200"/>
              <w:rPr>
                <w:sz w:val="22"/>
              </w:rPr>
            </w:pPr>
            <w:r w:rsidRPr="000E20D1">
              <w:rPr>
                <w:sz w:val="22"/>
              </w:rPr>
              <w:t xml:space="preserve">The Government does not intend to further </w:t>
            </w:r>
            <w:r w:rsidR="00E616F9" w:rsidRPr="000E20D1">
              <w:rPr>
                <w:sz w:val="22"/>
              </w:rPr>
              <w:t xml:space="preserve">expand </w:t>
            </w:r>
            <w:r w:rsidRPr="000E20D1">
              <w:rPr>
                <w:sz w:val="22"/>
              </w:rPr>
              <w:t>the Australian gambling market through enabling the offering of online in-play betting</w:t>
            </w:r>
            <w:r w:rsidR="00E616F9" w:rsidRPr="000E20D1">
              <w:rPr>
                <w:sz w:val="22"/>
              </w:rPr>
              <w:t>.</w:t>
            </w:r>
          </w:p>
          <w:p w:rsidR="00B75FDF" w:rsidRPr="000E20D1" w:rsidRDefault="005E5193" w:rsidP="00157FDB">
            <w:pPr>
              <w:spacing w:after="200"/>
              <w:rPr>
                <w:sz w:val="22"/>
              </w:rPr>
            </w:pPr>
            <w:r w:rsidRPr="001511DA">
              <w:rPr>
                <w:sz w:val="22"/>
              </w:rPr>
              <w:t>The Government is of the view that the Australian online wagering agencies offering</w:t>
            </w:r>
            <w:r w:rsidR="00B445B5" w:rsidRPr="001511DA">
              <w:rPr>
                <w:sz w:val="22"/>
              </w:rPr>
              <w:t xml:space="preserve"> </w:t>
            </w:r>
            <w:r w:rsidRPr="001511DA">
              <w:rPr>
                <w:sz w:val="22"/>
              </w:rPr>
              <w:t>‘click</w:t>
            </w:r>
            <w:r w:rsidR="00B445B5" w:rsidRPr="001511DA">
              <w:rPr>
                <w:sz w:val="22"/>
              </w:rPr>
              <w:t>-</w:t>
            </w:r>
            <w:r w:rsidRPr="001511DA">
              <w:rPr>
                <w:sz w:val="22"/>
              </w:rPr>
              <w:t>to</w:t>
            </w:r>
            <w:r w:rsidR="00B445B5" w:rsidRPr="001511DA">
              <w:rPr>
                <w:sz w:val="22"/>
              </w:rPr>
              <w:t>-</w:t>
            </w:r>
            <w:r w:rsidRPr="001511DA">
              <w:rPr>
                <w:sz w:val="22"/>
              </w:rPr>
              <w:t>call’ type in-play betting services are breaching the</w:t>
            </w:r>
            <w:r w:rsidR="006A6508" w:rsidRPr="001511DA">
              <w:rPr>
                <w:sz w:val="22"/>
              </w:rPr>
              <w:t xml:space="preserve"> </w:t>
            </w:r>
            <w:r w:rsidR="00560D9D" w:rsidRPr="001511DA">
              <w:rPr>
                <w:sz w:val="22"/>
              </w:rPr>
              <w:t>provisions and</w:t>
            </w:r>
            <w:r w:rsidRPr="001511DA">
              <w:rPr>
                <w:sz w:val="22"/>
              </w:rPr>
              <w:t xml:space="preserve"> intent of the IGA. The Government will introduce legislation as soon as possible to give effect </w:t>
            </w:r>
            <w:r w:rsidR="0064493B" w:rsidRPr="001511DA">
              <w:rPr>
                <w:sz w:val="22"/>
              </w:rPr>
              <w:t>to</w:t>
            </w:r>
            <w:r w:rsidRPr="001511DA">
              <w:rPr>
                <w:sz w:val="22"/>
              </w:rPr>
              <w:t xml:space="preserve"> the intent of the IGA</w:t>
            </w:r>
            <w:r w:rsidR="006A6508" w:rsidRPr="001511DA">
              <w:rPr>
                <w:sz w:val="22"/>
              </w:rPr>
              <w:t>.</w:t>
            </w:r>
          </w:p>
        </w:tc>
      </w:tr>
      <w:tr w:rsidR="00B75FDF" w:rsidRPr="0061376F" w:rsidTr="000E20D1">
        <w:trPr>
          <w:cantSplit/>
        </w:trPr>
        <w:tc>
          <w:tcPr>
            <w:tcW w:w="5920" w:type="dxa"/>
          </w:tcPr>
          <w:p w:rsidR="00B75FDF" w:rsidRPr="000E20D1" w:rsidRDefault="00B75FDF" w:rsidP="00351A42">
            <w:pPr>
              <w:rPr>
                <w:rStyle w:val="BookTitle"/>
                <w:i/>
                <w:smallCaps w:val="0"/>
                <w:spacing w:val="0"/>
              </w:rPr>
            </w:pPr>
            <w:r w:rsidRPr="000E20D1">
              <w:rPr>
                <w:sz w:val="22"/>
              </w:rPr>
              <w:lastRenderedPageBreak/>
              <w:br w:type="page"/>
            </w:r>
            <w:r w:rsidRPr="000E20D1">
              <w:rPr>
                <w:sz w:val="22"/>
              </w:rPr>
              <w:br w:type="page"/>
              <w:t>4: A national self-exclusion register that applies across all online operators should be developed, either by an expansion of the Northern Territory register or through a new national system. The costs associated with such a register should be borne by online operators.</w:t>
            </w:r>
          </w:p>
        </w:tc>
        <w:tc>
          <w:tcPr>
            <w:tcW w:w="1276" w:type="dxa"/>
            <w:shd w:val="clear" w:color="auto" w:fill="92D050"/>
          </w:tcPr>
          <w:p w:rsidR="00B75FDF" w:rsidRPr="000E20D1" w:rsidRDefault="00B75FDF" w:rsidP="00351A42">
            <w:pPr>
              <w:jc w:val="center"/>
              <w:rPr>
                <w:rStyle w:val="BookTitle"/>
                <w:i/>
                <w:smallCaps w:val="0"/>
                <w:spacing w:val="0"/>
              </w:rPr>
            </w:pPr>
            <w:r w:rsidRPr="000E20D1">
              <w:rPr>
                <w:rStyle w:val="BookTitle"/>
                <w:smallCaps w:val="0"/>
                <w:spacing w:val="0"/>
              </w:rPr>
              <w:t xml:space="preserve">Agree </w:t>
            </w:r>
          </w:p>
        </w:tc>
        <w:tc>
          <w:tcPr>
            <w:tcW w:w="6952" w:type="dxa"/>
            <w:shd w:val="clear" w:color="auto" w:fill="auto"/>
          </w:tcPr>
          <w:p w:rsidR="00B75FDF" w:rsidRPr="000E20D1" w:rsidRDefault="00B75FDF" w:rsidP="00351A42">
            <w:pPr>
              <w:spacing w:after="200"/>
              <w:rPr>
                <w:sz w:val="22"/>
              </w:rPr>
            </w:pPr>
            <w:r w:rsidRPr="000E20D1">
              <w:rPr>
                <w:sz w:val="22"/>
              </w:rPr>
              <w:t>A nationwide, self</w:t>
            </w:r>
            <w:r w:rsidRPr="000E20D1">
              <w:rPr>
                <w:sz w:val="22"/>
              </w:rPr>
              <w:noBreakHyphen/>
              <w:t>exclusion capability to be offered by all providers to all consumers will be developed as part of the national framework in consultation with the states and territories, and other stakeholders (as per recommendation 2).</w:t>
            </w:r>
          </w:p>
          <w:p w:rsidR="00B75FDF" w:rsidRPr="000E20D1" w:rsidRDefault="00B75FDF" w:rsidP="00351A42">
            <w:pPr>
              <w:spacing w:after="200"/>
              <w:rPr>
                <w:sz w:val="22"/>
              </w:rPr>
            </w:pPr>
            <w:r w:rsidRPr="000E20D1">
              <w:rPr>
                <w:sz w:val="22"/>
              </w:rPr>
              <w:t>A number of states and territories and wagering providers already have voluntary self</w:t>
            </w:r>
            <w:r w:rsidRPr="000E20D1">
              <w:rPr>
                <w:sz w:val="22"/>
              </w:rPr>
              <w:noBreakHyphen/>
              <w:t>exclusion and pre</w:t>
            </w:r>
            <w:r w:rsidRPr="000E20D1">
              <w:rPr>
                <w:sz w:val="22"/>
              </w:rPr>
              <w:noBreakHyphen/>
              <w:t>commitment systems available, and a national register should ideally leverage existing architecture.</w:t>
            </w:r>
          </w:p>
        </w:tc>
      </w:tr>
      <w:tr w:rsidR="00F41B08" w:rsidRPr="00654B05" w:rsidTr="000E20D1">
        <w:trPr>
          <w:tblHeader/>
        </w:trPr>
        <w:tc>
          <w:tcPr>
            <w:tcW w:w="5920" w:type="dxa"/>
          </w:tcPr>
          <w:p w:rsidR="00F41B08" w:rsidRPr="000E20D1" w:rsidRDefault="00F41B08" w:rsidP="00351A42">
            <w:pPr>
              <w:rPr>
                <w:rStyle w:val="BookTitle"/>
                <w:i/>
                <w:smallCaps w:val="0"/>
                <w:spacing w:val="0"/>
              </w:rPr>
            </w:pPr>
            <w:r w:rsidRPr="000E20D1">
              <w:rPr>
                <w:sz w:val="22"/>
              </w:rPr>
              <w:t>5: Operators should be required to offer customers an opportunity to set voluntary limits on their wagering activities. Consumers should be prompted about setting or reviewing limits on a regular basis.</w:t>
            </w:r>
          </w:p>
        </w:tc>
        <w:tc>
          <w:tcPr>
            <w:tcW w:w="1276" w:type="dxa"/>
            <w:shd w:val="clear" w:color="auto" w:fill="92D050"/>
          </w:tcPr>
          <w:p w:rsidR="00F41B08" w:rsidRPr="000E20D1" w:rsidRDefault="00F41B08" w:rsidP="00351A42">
            <w:pPr>
              <w:jc w:val="center"/>
              <w:rPr>
                <w:rStyle w:val="BookTitle"/>
                <w:i/>
                <w:smallCaps w:val="0"/>
                <w:spacing w:val="0"/>
              </w:rPr>
            </w:pPr>
            <w:r w:rsidRPr="000E20D1">
              <w:rPr>
                <w:rStyle w:val="BookTitle"/>
                <w:smallCaps w:val="0"/>
                <w:spacing w:val="0"/>
              </w:rPr>
              <w:t>Agree</w:t>
            </w:r>
          </w:p>
        </w:tc>
        <w:tc>
          <w:tcPr>
            <w:tcW w:w="6952" w:type="dxa"/>
            <w:shd w:val="clear" w:color="auto" w:fill="auto"/>
          </w:tcPr>
          <w:p w:rsidR="00F41B08" w:rsidRPr="000E20D1" w:rsidRDefault="00F41B08" w:rsidP="00351A42">
            <w:pPr>
              <w:spacing w:after="200"/>
              <w:rPr>
                <w:sz w:val="22"/>
              </w:rPr>
            </w:pPr>
            <w:r w:rsidRPr="000E20D1">
              <w:rPr>
                <w:sz w:val="22"/>
              </w:rPr>
              <w:t>The national framework will incorporate standards for making voluntary pre</w:t>
            </w:r>
            <w:r w:rsidRPr="000E20D1">
              <w:rPr>
                <w:sz w:val="22"/>
              </w:rPr>
              <w:noBreakHyphen/>
              <w:t>commitment limits available to all consumers. These will be developed in consultation with the states and territories, and other stakeholders (as per recommendation 2).</w:t>
            </w:r>
          </w:p>
          <w:p w:rsidR="00F41B08" w:rsidRPr="000E20D1" w:rsidRDefault="00F41B08">
            <w:pPr>
              <w:spacing w:after="200"/>
              <w:rPr>
                <w:sz w:val="22"/>
              </w:rPr>
            </w:pPr>
            <w:r w:rsidRPr="000E20D1">
              <w:rPr>
                <w:sz w:val="22"/>
              </w:rPr>
              <w:t>The standards will consider elements such as visibility, transparency and periodic prompting empowering consumers to reconsider their betting limits.</w:t>
            </w:r>
          </w:p>
        </w:tc>
      </w:tr>
      <w:tr w:rsidR="00F41B08" w:rsidRPr="00654B05" w:rsidTr="000E20D1">
        <w:trPr>
          <w:tblHeader/>
        </w:trPr>
        <w:tc>
          <w:tcPr>
            <w:tcW w:w="5920" w:type="dxa"/>
          </w:tcPr>
          <w:p w:rsidR="00F41B08" w:rsidRPr="000E20D1" w:rsidRDefault="00F41B08" w:rsidP="00351A42">
            <w:pPr>
              <w:rPr>
                <w:rStyle w:val="BookTitle"/>
                <w:i/>
                <w:smallCaps w:val="0"/>
                <w:spacing w:val="0"/>
              </w:rPr>
            </w:pPr>
            <w:r w:rsidRPr="000E20D1">
              <w:rPr>
                <w:sz w:val="22"/>
              </w:rPr>
              <w:br w:type="page"/>
              <w:t>6: Operators should be required to apply additional consumer protections where ‘credit’ or deferred settlement betting is available.</w:t>
            </w:r>
          </w:p>
        </w:tc>
        <w:tc>
          <w:tcPr>
            <w:tcW w:w="1276" w:type="dxa"/>
            <w:shd w:val="clear" w:color="auto" w:fill="92D050"/>
          </w:tcPr>
          <w:p w:rsidR="00F41B08" w:rsidRPr="000E20D1" w:rsidRDefault="00F41B08" w:rsidP="00351A42">
            <w:pPr>
              <w:jc w:val="center"/>
              <w:rPr>
                <w:rStyle w:val="BookTitle"/>
                <w:i/>
                <w:smallCaps w:val="0"/>
                <w:spacing w:val="0"/>
              </w:rPr>
            </w:pPr>
            <w:r w:rsidRPr="000E20D1">
              <w:rPr>
                <w:rStyle w:val="BookTitle"/>
                <w:smallCaps w:val="0"/>
                <w:spacing w:val="0"/>
              </w:rPr>
              <w:t xml:space="preserve">Agree </w:t>
            </w:r>
          </w:p>
        </w:tc>
        <w:tc>
          <w:tcPr>
            <w:tcW w:w="6952" w:type="dxa"/>
            <w:shd w:val="clear" w:color="auto" w:fill="auto"/>
          </w:tcPr>
          <w:p w:rsidR="00F41B08" w:rsidRPr="000E20D1" w:rsidRDefault="00F41B08" w:rsidP="00351A42">
            <w:pPr>
              <w:spacing w:after="200"/>
              <w:rPr>
                <w:sz w:val="22"/>
              </w:rPr>
            </w:pPr>
            <w:r w:rsidRPr="000E20D1">
              <w:rPr>
                <w:sz w:val="22"/>
              </w:rPr>
              <w:t>Gamblers should only bet with the money they have. This policy exists for most other gambling products, such as pokies and casinos. It should also occur with the rapidly growing online wagering segment.</w:t>
            </w:r>
          </w:p>
          <w:p w:rsidR="00F41B08" w:rsidRPr="000E20D1" w:rsidRDefault="00F41B08" w:rsidP="00351A42">
            <w:pPr>
              <w:spacing w:after="200"/>
              <w:rPr>
                <w:sz w:val="22"/>
              </w:rPr>
            </w:pPr>
            <w:r w:rsidRPr="000E20D1">
              <w:rPr>
                <w:sz w:val="22"/>
              </w:rPr>
              <w:t>A number of jurisdictions already prohibit online operators from offering lines of credit.</w:t>
            </w:r>
          </w:p>
          <w:p w:rsidR="00F41B08" w:rsidRPr="000E20D1" w:rsidRDefault="00F41B08" w:rsidP="00351A42">
            <w:pPr>
              <w:spacing w:after="200"/>
              <w:rPr>
                <w:sz w:val="22"/>
              </w:rPr>
            </w:pPr>
            <w:r w:rsidRPr="000E20D1">
              <w:rPr>
                <w:sz w:val="22"/>
              </w:rPr>
              <w:t>The Government’s response goes further than the Review, and consistent with our election commitment, will seek to ban lines of credit being offered for online betting altogether. The Government will work with the states and territories to achieve this.</w:t>
            </w:r>
          </w:p>
          <w:p w:rsidR="00F41B08" w:rsidRPr="000E20D1" w:rsidRDefault="00F41B08" w:rsidP="00351A42">
            <w:pPr>
              <w:spacing w:after="200"/>
              <w:rPr>
                <w:sz w:val="22"/>
              </w:rPr>
            </w:pPr>
            <w:r w:rsidRPr="000E20D1">
              <w:rPr>
                <w:sz w:val="22"/>
              </w:rPr>
              <w:t>The Government will also consider a harmonised regulatory regime to ensure that the offering of inducements is consistent with responsible gambling.</w:t>
            </w:r>
          </w:p>
        </w:tc>
      </w:tr>
    </w:tbl>
    <w:p w:rsidR="00BE1931" w:rsidRDefault="00BE1931" w:rsidP="00351A42">
      <w:pPr>
        <w:rPr>
          <w:sz w:val="22"/>
        </w:rPr>
        <w:sectPr w:rsidR="00BE1931" w:rsidSect="00A06104">
          <w:pgSz w:w="16838" w:h="11906" w:orient="landscape"/>
          <w:pgMar w:top="720" w:right="720" w:bottom="720" w:left="720" w:header="708" w:footer="708" w:gutter="0"/>
          <w:cols w:space="708"/>
          <w:docGrid w:linePitch="360"/>
        </w:sectPr>
      </w:pPr>
    </w:p>
    <w:tbl>
      <w:tblPr>
        <w:tblStyle w:val="TableGrid"/>
        <w:tblW w:w="14148" w:type="dxa"/>
        <w:tblLayout w:type="fixed"/>
        <w:tblLook w:val="0420" w:firstRow="1" w:lastRow="0" w:firstColumn="0" w:lastColumn="0" w:noHBand="0" w:noVBand="1"/>
        <w:tblDescription w:val="Summary of Government Responses. "/>
      </w:tblPr>
      <w:tblGrid>
        <w:gridCol w:w="5920"/>
        <w:gridCol w:w="1276"/>
        <w:gridCol w:w="6952"/>
      </w:tblGrid>
      <w:tr w:rsidR="00BE1931" w:rsidRPr="007C1C62" w:rsidTr="009851BD">
        <w:trPr>
          <w:tblHeader/>
        </w:trPr>
        <w:tc>
          <w:tcPr>
            <w:tcW w:w="5920" w:type="dxa"/>
            <w:shd w:val="clear" w:color="auto" w:fill="B8CCE4" w:themeFill="accent1" w:themeFillTint="66"/>
          </w:tcPr>
          <w:p w:rsidR="00BE1931" w:rsidRPr="007C1C62" w:rsidRDefault="00BE1931" w:rsidP="009851BD">
            <w:pPr>
              <w:rPr>
                <w:rStyle w:val="BookTitle"/>
                <w:i/>
                <w:smallCaps w:val="0"/>
                <w:spacing w:val="0"/>
              </w:rPr>
            </w:pPr>
            <w:r w:rsidRPr="007C1C62">
              <w:rPr>
                <w:rStyle w:val="BookTitle"/>
                <w:smallCaps w:val="0"/>
                <w:spacing w:val="0"/>
              </w:rPr>
              <w:lastRenderedPageBreak/>
              <w:t>Recommendation</w:t>
            </w:r>
          </w:p>
        </w:tc>
        <w:tc>
          <w:tcPr>
            <w:tcW w:w="1276" w:type="dxa"/>
            <w:shd w:val="clear" w:color="auto" w:fill="B8CCE4" w:themeFill="accent1" w:themeFillTint="66"/>
          </w:tcPr>
          <w:p w:rsidR="00BE1931" w:rsidRPr="007C1C62" w:rsidRDefault="00BE1931" w:rsidP="009851BD">
            <w:pPr>
              <w:jc w:val="center"/>
              <w:rPr>
                <w:rStyle w:val="BookTitle"/>
                <w:i/>
                <w:smallCaps w:val="0"/>
                <w:spacing w:val="0"/>
              </w:rPr>
            </w:pPr>
            <w:r w:rsidRPr="007C1C62">
              <w:rPr>
                <w:rStyle w:val="BookTitle"/>
                <w:smallCaps w:val="0"/>
                <w:spacing w:val="0"/>
              </w:rPr>
              <w:t>Position</w:t>
            </w:r>
          </w:p>
        </w:tc>
        <w:tc>
          <w:tcPr>
            <w:tcW w:w="6952" w:type="dxa"/>
            <w:shd w:val="clear" w:color="auto" w:fill="B8CCE4" w:themeFill="accent1" w:themeFillTint="66"/>
          </w:tcPr>
          <w:p w:rsidR="00BE1931" w:rsidRPr="007C1C62" w:rsidRDefault="00BE1931" w:rsidP="009851BD">
            <w:pPr>
              <w:spacing w:after="120"/>
              <w:rPr>
                <w:rStyle w:val="BookTitle"/>
                <w:smallCaps w:val="0"/>
                <w:spacing w:val="0"/>
              </w:rPr>
            </w:pPr>
            <w:r w:rsidRPr="007C1C62">
              <w:rPr>
                <w:rStyle w:val="BookTitle"/>
                <w:smallCaps w:val="0"/>
                <w:spacing w:val="0"/>
              </w:rPr>
              <w:t>Comments</w:t>
            </w:r>
          </w:p>
        </w:tc>
      </w:tr>
      <w:tr w:rsidR="00F41B08" w:rsidRPr="00654B05" w:rsidTr="000E20D1">
        <w:tc>
          <w:tcPr>
            <w:tcW w:w="5920" w:type="dxa"/>
          </w:tcPr>
          <w:p w:rsidR="00F41B08" w:rsidRPr="000E20D1" w:rsidRDefault="00F41B08" w:rsidP="00351A42">
            <w:pPr>
              <w:rPr>
                <w:rStyle w:val="BookTitle"/>
                <w:i/>
                <w:smallCaps w:val="0"/>
                <w:spacing w:val="0"/>
              </w:rPr>
            </w:pPr>
            <w:r w:rsidRPr="000E20D1">
              <w:rPr>
                <w:sz w:val="22"/>
              </w:rPr>
              <w:t>7: Links between online wagering operators and payday and other lenders should be discouraged.</w:t>
            </w:r>
          </w:p>
        </w:tc>
        <w:tc>
          <w:tcPr>
            <w:tcW w:w="1276" w:type="dxa"/>
            <w:shd w:val="clear" w:color="auto" w:fill="92D050"/>
          </w:tcPr>
          <w:p w:rsidR="00F41B08" w:rsidRPr="000E20D1" w:rsidRDefault="00F41B08" w:rsidP="00351A42">
            <w:pPr>
              <w:jc w:val="center"/>
              <w:rPr>
                <w:rStyle w:val="BookTitle"/>
                <w:i/>
                <w:smallCaps w:val="0"/>
                <w:spacing w:val="0"/>
              </w:rPr>
            </w:pPr>
            <w:r w:rsidRPr="000E20D1">
              <w:rPr>
                <w:rStyle w:val="BookTitle"/>
                <w:smallCaps w:val="0"/>
                <w:spacing w:val="0"/>
              </w:rPr>
              <w:t>Agree</w:t>
            </w:r>
          </w:p>
        </w:tc>
        <w:tc>
          <w:tcPr>
            <w:tcW w:w="6952" w:type="dxa"/>
            <w:shd w:val="clear" w:color="auto" w:fill="auto"/>
          </w:tcPr>
          <w:p w:rsidR="004410F4" w:rsidRDefault="00F41B08" w:rsidP="00F41B08">
            <w:pPr>
              <w:rPr>
                <w:sz w:val="22"/>
              </w:rPr>
            </w:pPr>
            <w:r w:rsidRPr="000E20D1">
              <w:rPr>
                <w:sz w:val="22"/>
              </w:rPr>
              <w:t>Concerns were raised to the Review about links between payday lenders and online betting operators. The Government will work with the industry, state and territory governments and the counselling sector to investigate ways to discourage the link between payday lenders and online wagering.</w:t>
            </w:r>
          </w:p>
          <w:p w:rsidR="001511DA" w:rsidRPr="000E20D1" w:rsidRDefault="001511DA" w:rsidP="00F41B08">
            <w:pPr>
              <w:rPr>
                <w:sz w:val="22"/>
              </w:rPr>
            </w:pPr>
          </w:p>
        </w:tc>
      </w:tr>
      <w:tr w:rsidR="00F41B08" w:rsidRPr="00654B05" w:rsidTr="000E20D1">
        <w:trPr>
          <w:tblHeader/>
        </w:trPr>
        <w:tc>
          <w:tcPr>
            <w:tcW w:w="5920" w:type="dxa"/>
          </w:tcPr>
          <w:p w:rsidR="00F41B08" w:rsidRPr="000E20D1" w:rsidRDefault="00F41B08" w:rsidP="00351A42">
            <w:pPr>
              <w:rPr>
                <w:rStyle w:val="BookTitle"/>
                <w:i/>
                <w:smallCaps w:val="0"/>
                <w:spacing w:val="0"/>
              </w:rPr>
            </w:pPr>
            <w:r w:rsidRPr="000E20D1">
              <w:rPr>
                <w:sz w:val="22"/>
              </w:rPr>
              <w:br w:type="page"/>
            </w:r>
            <w:r w:rsidRPr="000E20D1">
              <w:rPr>
                <w:sz w:val="22"/>
              </w:rPr>
              <w:br w:type="page"/>
              <w:t>8: Users should be regularly sent online statements detailing their wagering activity including total wagered, winnings and losses. These statements should also be readily accessible through the operator’s website.</w:t>
            </w:r>
          </w:p>
        </w:tc>
        <w:tc>
          <w:tcPr>
            <w:tcW w:w="1276" w:type="dxa"/>
            <w:shd w:val="clear" w:color="auto" w:fill="92D050"/>
          </w:tcPr>
          <w:p w:rsidR="00F41B08" w:rsidRPr="000E20D1" w:rsidRDefault="00F41B08" w:rsidP="00351A42">
            <w:pPr>
              <w:jc w:val="center"/>
              <w:rPr>
                <w:rStyle w:val="BookTitle"/>
                <w:i/>
                <w:smallCaps w:val="0"/>
                <w:spacing w:val="0"/>
              </w:rPr>
            </w:pPr>
            <w:r w:rsidRPr="000E20D1">
              <w:rPr>
                <w:rStyle w:val="BookTitle"/>
                <w:smallCaps w:val="0"/>
                <w:spacing w:val="0"/>
              </w:rPr>
              <w:t xml:space="preserve">Agree </w:t>
            </w:r>
          </w:p>
        </w:tc>
        <w:tc>
          <w:tcPr>
            <w:tcW w:w="6952" w:type="dxa"/>
            <w:shd w:val="clear" w:color="auto" w:fill="auto"/>
          </w:tcPr>
          <w:p w:rsidR="00F41B08" w:rsidRPr="000E20D1" w:rsidRDefault="00F41B08" w:rsidP="000E20D1">
            <w:pPr>
              <w:spacing w:after="200"/>
              <w:rPr>
                <w:sz w:val="22"/>
              </w:rPr>
            </w:pPr>
            <w:r w:rsidRPr="000E20D1">
              <w:rPr>
                <w:sz w:val="22"/>
              </w:rPr>
              <w:t>The Government will work with the states and territories to develop a universal and nationally consistent approach to empower gamblers to monitor and manage their expenditure as part of the national framework (as per recommendation 2). A number of wagering service providers already provide their consumers with activity statements.</w:t>
            </w:r>
          </w:p>
          <w:p w:rsidR="00F41B08" w:rsidRPr="000E20D1" w:rsidRDefault="00F41B08" w:rsidP="000E20D1">
            <w:pPr>
              <w:spacing w:after="200"/>
              <w:rPr>
                <w:sz w:val="22"/>
              </w:rPr>
            </w:pPr>
            <w:r w:rsidRPr="000E20D1">
              <w:rPr>
                <w:sz w:val="22"/>
              </w:rPr>
              <w:t>These statements should be transparent and easy to understand. Minimum information requirements will be part of the national framework.</w:t>
            </w:r>
          </w:p>
        </w:tc>
      </w:tr>
      <w:tr w:rsidR="00F41B08" w:rsidRPr="00654B05" w:rsidTr="000E20D1">
        <w:trPr>
          <w:tblHeader/>
        </w:trPr>
        <w:tc>
          <w:tcPr>
            <w:tcW w:w="5920" w:type="dxa"/>
          </w:tcPr>
          <w:p w:rsidR="00F41B08" w:rsidRPr="000E20D1" w:rsidRDefault="00F41B08" w:rsidP="00351A42">
            <w:pPr>
              <w:rPr>
                <w:rStyle w:val="BookTitle"/>
                <w:i/>
                <w:smallCaps w:val="0"/>
                <w:spacing w:val="0"/>
              </w:rPr>
            </w:pPr>
            <w:r w:rsidRPr="000E20D1">
              <w:rPr>
                <w:sz w:val="22"/>
              </w:rPr>
              <w:t>9: As part of the national policy framework, the current 90 day verification period should be reduced to at least 45 days.</w:t>
            </w:r>
          </w:p>
        </w:tc>
        <w:tc>
          <w:tcPr>
            <w:tcW w:w="1276" w:type="dxa"/>
            <w:shd w:val="clear" w:color="auto" w:fill="92D050"/>
          </w:tcPr>
          <w:p w:rsidR="00F41B08" w:rsidRPr="000E20D1" w:rsidRDefault="00F41B08" w:rsidP="00351A42">
            <w:pPr>
              <w:jc w:val="center"/>
              <w:rPr>
                <w:rStyle w:val="BookTitle"/>
                <w:i/>
                <w:smallCaps w:val="0"/>
                <w:spacing w:val="0"/>
              </w:rPr>
            </w:pPr>
            <w:r w:rsidRPr="000E20D1">
              <w:rPr>
                <w:rStyle w:val="BookTitle"/>
                <w:smallCaps w:val="0"/>
                <w:spacing w:val="0"/>
              </w:rPr>
              <w:t xml:space="preserve">Agree </w:t>
            </w:r>
          </w:p>
        </w:tc>
        <w:tc>
          <w:tcPr>
            <w:tcW w:w="6952" w:type="dxa"/>
            <w:shd w:val="clear" w:color="auto" w:fill="auto"/>
          </w:tcPr>
          <w:p w:rsidR="00F41B08" w:rsidRPr="000E20D1" w:rsidRDefault="00F41B08" w:rsidP="00351A42">
            <w:pPr>
              <w:spacing w:after="200"/>
              <w:rPr>
                <w:sz w:val="22"/>
              </w:rPr>
            </w:pPr>
            <w:r w:rsidRPr="000E20D1">
              <w:rPr>
                <w:sz w:val="22"/>
              </w:rPr>
              <w:t>The Government will work with the states and territories and industry to significantly reduce the current verification periods and to ensure appropriate safeguards are in place to protect young and vulnerable consumers.</w:t>
            </w:r>
          </w:p>
          <w:p w:rsidR="00F41B08" w:rsidRPr="000E20D1" w:rsidRDefault="00F41B08" w:rsidP="00351A42">
            <w:pPr>
              <w:spacing w:after="200"/>
              <w:rPr>
                <w:sz w:val="22"/>
              </w:rPr>
            </w:pPr>
            <w:r w:rsidRPr="000E20D1">
              <w:rPr>
                <w:sz w:val="22"/>
              </w:rPr>
              <w:t>International experience suggests verification can be completed more quickly, so the Government will pursue a target of less than 45 days, with the target to be included in the national framework (as per recommendation 2).</w:t>
            </w:r>
            <w:r w:rsidR="00630674">
              <w:rPr>
                <w:sz w:val="22"/>
              </w:rPr>
              <w:t xml:space="preserve"> </w:t>
            </w:r>
          </w:p>
        </w:tc>
      </w:tr>
      <w:tr w:rsidR="00B75FDF" w:rsidRPr="00654B05" w:rsidTr="00351A42">
        <w:tblPrEx>
          <w:tblLook w:val="04A0" w:firstRow="1" w:lastRow="0" w:firstColumn="1" w:lastColumn="0" w:noHBand="0" w:noVBand="1"/>
        </w:tblPrEx>
        <w:tc>
          <w:tcPr>
            <w:tcW w:w="5920" w:type="dxa"/>
            <w:tcBorders>
              <w:bottom w:val="single" w:sz="4" w:space="0" w:color="auto"/>
            </w:tcBorders>
          </w:tcPr>
          <w:p w:rsidR="00B75FDF" w:rsidRPr="000E20D1" w:rsidRDefault="00B75FDF" w:rsidP="00351A42">
            <w:pPr>
              <w:rPr>
                <w:rStyle w:val="BookTitle"/>
                <w:i/>
                <w:smallCaps w:val="0"/>
                <w:spacing w:val="0"/>
              </w:rPr>
            </w:pPr>
            <w:r w:rsidRPr="000E20D1">
              <w:rPr>
                <w:sz w:val="22"/>
              </w:rPr>
              <w:br w:type="page"/>
              <w:t>10: All staff involved with online users must undertake appropriate training in the responsible conduct of gambling – provided through an accredited provider.</w:t>
            </w:r>
          </w:p>
        </w:tc>
        <w:tc>
          <w:tcPr>
            <w:tcW w:w="1276" w:type="dxa"/>
            <w:tcBorders>
              <w:bottom w:val="single" w:sz="4" w:space="0" w:color="auto"/>
            </w:tcBorders>
            <w:shd w:val="clear" w:color="auto" w:fill="92D050"/>
          </w:tcPr>
          <w:p w:rsidR="00B75FDF" w:rsidRPr="000E20D1" w:rsidRDefault="00B75FDF" w:rsidP="00351A42">
            <w:pPr>
              <w:jc w:val="center"/>
              <w:rPr>
                <w:rStyle w:val="BookTitle"/>
                <w:i/>
                <w:smallCaps w:val="0"/>
                <w:spacing w:val="0"/>
              </w:rPr>
            </w:pPr>
            <w:r w:rsidRPr="000E20D1">
              <w:rPr>
                <w:rStyle w:val="BookTitle"/>
                <w:smallCaps w:val="0"/>
                <w:spacing w:val="0"/>
              </w:rPr>
              <w:t xml:space="preserve">Agree </w:t>
            </w:r>
          </w:p>
        </w:tc>
        <w:tc>
          <w:tcPr>
            <w:tcW w:w="6952" w:type="dxa"/>
            <w:tcBorders>
              <w:bottom w:val="single" w:sz="4" w:space="0" w:color="auto"/>
            </w:tcBorders>
            <w:shd w:val="clear" w:color="auto" w:fill="auto"/>
          </w:tcPr>
          <w:p w:rsidR="00B75FDF" w:rsidRPr="000E20D1" w:rsidRDefault="00B75FDF" w:rsidP="00351A42">
            <w:pPr>
              <w:spacing w:after="200"/>
              <w:rPr>
                <w:rFonts w:ascii="Arial" w:hAnsi="Arial"/>
                <w:sz w:val="22"/>
              </w:rPr>
            </w:pPr>
            <w:r w:rsidRPr="000E20D1">
              <w:rPr>
                <w:sz w:val="22"/>
              </w:rPr>
              <w:t xml:space="preserve">The Government will work with the states and territories, the industry, community sector and training providers on mandatory training requirements. Wagering service providers are well placed to identify and support problem gamblers in the responsible conduct of gambling, similar to the responsible service of alcohol requirements. </w:t>
            </w:r>
          </w:p>
        </w:tc>
      </w:tr>
    </w:tbl>
    <w:p w:rsidR="00654B05" w:rsidRDefault="00654B05" w:rsidP="00351A42">
      <w:pPr>
        <w:rPr>
          <w:sz w:val="22"/>
        </w:rPr>
        <w:sectPr w:rsidR="00654B05" w:rsidSect="00A06104">
          <w:pgSz w:w="16838" w:h="11906" w:orient="landscape"/>
          <w:pgMar w:top="720" w:right="720" w:bottom="720" w:left="720" w:header="708" w:footer="708" w:gutter="0"/>
          <w:cols w:space="708"/>
          <w:docGrid w:linePitch="360"/>
        </w:sectPr>
      </w:pPr>
    </w:p>
    <w:tbl>
      <w:tblPr>
        <w:tblStyle w:val="TableGrid"/>
        <w:tblW w:w="14148" w:type="dxa"/>
        <w:tblLayout w:type="fixed"/>
        <w:tblLook w:val="0420" w:firstRow="1" w:lastRow="0" w:firstColumn="0" w:lastColumn="0" w:noHBand="0" w:noVBand="1"/>
        <w:tblDescription w:val="Summary of Government Responses. "/>
      </w:tblPr>
      <w:tblGrid>
        <w:gridCol w:w="5920"/>
        <w:gridCol w:w="1276"/>
        <w:gridCol w:w="6952"/>
      </w:tblGrid>
      <w:tr w:rsidR="00654B05" w:rsidRPr="007C1C62" w:rsidTr="007C1C62">
        <w:trPr>
          <w:tblHeader/>
        </w:trPr>
        <w:tc>
          <w:tcPr>
            <w:tcW w:w="5920" w:type="dxa"/>
            <w:shd w:val="clear" w:color="auto" w:fill="B8CCE4" w:themeFill="accent1" w:themeFillTint="66"/>
          </w:tcPr>
          <w:p w:rsidR="00654B05" w:rsidRPr="007C1C62" w:rsidRDefault="00654B05" w:rsidP="007C1C62">
            <w:pPr>
              <w:rPr>
                <w:rStyle w:val="BookTitle"/>
                <w:i/>
                <w:smallCaps w:val="0"/>
                <w:spacing w:val="0"/>
              </w:rPr>
            </w:pPr>
            <w:r w:rsidRPr="007C1C62">
              <w:rPr>
                <w:rStyle w:val="BookTitle"/>
                <w:smallCaps w:val="0"/>
                <w:spacing w:val="0"/>
              </w:rPr>
              <w:lastRenderedPageBreak/>
              <w:t>Recommendation</w:t>
            </w:r>
          </w:p>
        </w:tc>
        <w:tc>
          <w:tcPr>
            <w:tcW w:w="1276" w:type="dxa"/>
            <w:shd w:val="clear" w:color="auto" w:fill="B8CCE4" w:themeFill="accent1" w:themeFillTint="66"/>
          </w:tcPr>
          <w:p w:rsidR="00654B05" w:rsidRPr="007C1C62" w:rsidRDefault="00654B05" w:rsidP="007C1C62">
            <w:pPr>
              <w:jc w:val="center"/>
              <w:rPr>
                <w:rStyle w:val="BookTitle"/>
                <w:i/>
                <w:smallCaps w:val="0"/>
                <w:spacing w:val="0"/>
              </w:rPr>
            </w:pPr>
            <w:r w:rsidRPr="007C1C62">
              <w:rPr>
                <w:rStyle w:val="BookTitle"/>
                <w:smallCaps w:val="0"/>
                <w:spacing w:val="0"/>
              </w:rPr>
              <w:t>Position</w:t>
            </w:r>
          </w:p>
        </w:tc>
        <w:tc>
          <w:tcPr>
            <w:tcW w:w="6952" w:type="dxa"/>
            <w:shd w:val="clear" w:color="auto" w:fill="B8CCE4" w:themeFill="accent1" w:themeFillTint="66"/>
          </w:tcPr>
          <w:p w:rsidR="00654B05" w:rsidRPr="007C1C62" w:rsidRDefault="00654B05" w:rsidP="007C1C62">
            <w:pPr>
              <w:spacing w:after="120"/>
              <w:rPr>
                <w:rStyle w:val="BookTitle"/>
                <w:smallCaps w:val="0"/>
                <w:spacing w:val="0"/>
              </w:rPr>
            </w:pPr>
            <w:r w:rsidRPr="007C1C62">
              <w:rPr>
                <w:rStyle w:val="BookTitle"/>
                <w:smallCaps w:val="0"/>
                <w:spacing w:val="0"/>
              </w:rPr>
              <w:t>Comments</w:t>
            </w:r>
          </w:p>
        </w:tc>
      </w:tr>
      <w:tr w:rsidR="00B75FDF" w:rsidRPr="00654B05" w:rsidTr="00351A42">
        <w:tblPrEx>
          <w:tblLook w:val="04A0" w:firstRow="1" w:lastRow="0" w:firstColumn="1" w:lastColumn="0" w:noHBand="0" w:noVBand="1"/>
        </w:tblPrEx>
        <w:tc>
          <w:tcPr>
            <w:tcW w:w="5920" w:type="dxa"/>
            <w:shd w:val="clear" w:color="auto" w:fill="auto"/>
          </w:tcPr>
          <w:p w:rsidR="00B75FDF" w:rsidRPr="000E20D1" w:rsidRDefault="00B75FDF" w:rsidP="00351A42">
            <w:pPr>
              <w:rPr>
                <w:rStyle w:val="BookTitle"/>
                <w:i/>
                <w:smallCaps w:val="0"/>
                <w:spacing w:val="0"/>
              </w:rPr>
            </w:pPr>
            <w:r w:rsidRPr="000E20D1">
              <w:rPr>
                <w:sz w:val="22"/>
              </w:rPr>
              <w:br w:type="page"/>
              <w:t>11: That the national policy framework include consistent, enforceable rules about advertising of online gambling.</w:t>
            </w:r>
          </w:p>
        </w:tc>
        <w:tc>
          <w:tcPr>
            <w:tcW w:w="1276" w:type="dxa"/>
            <w:shd w:val="clear" w:color="auto" w:fill="92D050"/>
          </w:tcPr>
          <w:p w:rsidR="00B75FDF" w:rsidRPr="000E20D1" w:rsidRDefault="00B75FDF" w:rsidP="00351A42">
            <w:pPr>
              <w:jc w:val="center"/>
              <w:rPr>
                <w:rStyle w:val="BookTitle"/>
                <w:i/>
                <w:smallCaps w:val="0"/>
                <w:spacing w:val="0"/>
              </w:rPr>
            </w:pPr>
            <w:r w:rsidRPr="000E20D1">
              <w:rPr>
                <w:rStyle w:val="BookTitle"/>
                <w:smallCaps w:val="0"/>
                <w:spacing w:val="0"/>
              </w:rPr>
              <w:t>Agree</w:t>
            </w:r>
          </w:p>
        </w:tc>
        <w:tc>
          <w:tcPr>
            <w:tcW w:w="6952" w:type="dxa"/>
            <w:shd w:val="clear" w:color="auto" w:fill="auto"/>
          </w:tcPr>
          <w:p w:rsidR="00B75FDF" w:rsidRPr="000E20D1" w:rsidRDefault="00B75FDF" w:rsidP="000E20D1">
            <w:pPr>
              <w:spacing w:after="200"/>
              <w:rPr>
                <w:sz w:val="22"/>
              </w:rPr>
            </w:pPr>
            <w:r w:rsidRPr="000E20D1">
              <w:rPr>
                <w:sz w:val="22"/>
              </w:rPr>
              <w:t xml:space="preserve">The Government agrees there is scope to make the rules that apply to the advertising of online wagering in </w:t>
            </w:r>
            <w:r w:rsidR="00447064" w:rsidRPr="000E20D1">
              <w:rPr>
                <w:sz w:val="22"/>
              </w:rPr>
              <w:t>s</w:t>
            </w:r>
            <w:r w:rsidRPr="000E20D1">
              <w:rPr>
                <w:sz w:val="22"/>
              </w:rPr>
              <w:t xml:space="preserve">tates and </w:t>
            </w:r>
            <w:r w:rsidR="00447064" w:rsidRPr="000E20D1">
              <w:rPr>
                <w:sz w:val="22"/>
              </w:rPr>
              <w:t>t</w:t>
            </w:r>
            <w:r w:rsidRPr="000E20D1">
              <w:rPr>
                <w:sz w:val="22"/>
              </w:rPr>
              <w:t>erritories more consistent as part of the national policy framework, and welcomes proposals by industry to develop national guidelines applying to advertisements on different media.</w:t>
            </w:r>
          </w:p>
          <w:p w:rsidR="00B75FDF" w:rsidRPr="000E20D1" w:rsidRDefault="00B75FDF" w:rsidP="000E20D1">
            <w:pPr>
              <w:spacing w:after="200"/>
              <w:rPr>
                <w:rFonts w:ascii="Arial" w:hAnsi="Arial"/>
                <w:sz w:val="22"/>
              </w:rPr>
            </w:pPr>
            <w:r w:rsidRPr="000E20D1">
              <w:rPr>
                <w:sz w:val="22"/>
              </w:rPr>
              <w:t>The Government notes that there are also a range of regulations applying to distributors of content, such as television and radio broadcasters, which apply nationally to sectors of the industry. These rules have in most cases been developed with extensive consultation and therefore already reflect community views, but there will be differences between media platforms consistent with the way people consume different types of media. These existing frameworks will be taken into account in any national approach.</w:t>
            </w:r>
          </w:p>
        </w:tc>
      </w:tr>
      <w:tr w:rsidR="00B75FDF" w:rsidRPr="00654B05" w:rsidTr="00351A42">
        <w:tblPrEx>
          <w:tblLook w:val="04A0" w:firstRow="1" w:lastRow="0" w:firstColumn="1" w:lastColumn="0" w:noHBand="0" w:noVBand="1"/>
        </w:tblPrEx>
        <w:tc>
          <w:tcPr>
            <w:tcW w:w="5920" w:type="dxa"/>
            <w:shd w:val="clear" w:color="auto" w:fill="auto"/>
          </w:tcPr>
          <w:p w:rsidR="00B75FDF" w:rsidRPr="000E20D1" w:rsidRDefault="00B75FDF" w:rsidP="00351A42">
            <w:pPr>
              <w:rPr>
                <w:rStyle w:val="BookTitle"/>
                <w:i/>
                <w:smallCaps w:val="0"/>
                <w:spacing w:val="0"/>
              </w:rPr>
            </w:pPr>
            <w:r w:rsidRPr="000E20D1">
              <w:rPr>
                <w:sz w:val="22"/>
              </w:rPr>
              <w:t>12: The national policy framework should ensure that advertising of online services using social or digital media platforms is subject to similar regulatory controls as other media.</w:t>
            </w:r>
          </w:p>
        </w:tc>
        <w:tc>
          <w:tcPr>
            <w:tcW w:w="1276" w:type="dxa"/>
            <w:shd w:val="clear" w:color="auto" w:fill="92D050"/>
          </w:tcPr>
          <w:p w:rsidR="00B75FDF" w:rsidRPr="000E20D1" w:rsidRDefault="00B75FDF" w:rsidP="00351A42">
            <w:pPr>
              <w:jc w:val="center"/>
              <w:rPr>
                <w:rStyle w:val="BookTitle"/>
                <w:i/>
                <w:smallCaps w:val="0"/>
                <w:spacing w:val="0"/>
              </w:rPr>
            </w:pPr>
            <w:r w:rsidRPr="000E20D1">
              <w:rPr>
                <w:rStyle w:val="BookTitle"/>
                <w:smallCaps w:val="0"/>
                <w:spacing w:val="0"/>
              </w:rPr>
              <w:t xml:space="preserve">Agree </w:t>
            </w:r>
          </w:p>
        </w:tc>
        <w:tc>
          <w:tcPr>
            <w:tcW w:w="6952" w:type="dxa"/>
            <w:shd w:val="clear" w:color="auto" w:fill="auto"/>
          </w:tcPr>
          <w:p w:rsidR="00B75FDF" w:rsidRPr="000E20D1" w:rsidRDefault="00B75FDF" w:rsidP="00351A42">
            <w:pPr>
              <w:spacing w:after="200"/>
              <w:rPr>
                <w:sz w:val="22"/>
              </w:rPr>
            </w:pPr>
            <w:r w:rsidRPr="000E20D1">
              <w:rPr>
                <w:sz w:val="22"/>
              </w:rPr>
              <w:t xml:space="preserve">The Government agrees that the national framework should also apply to advertising of online </w:t>
            </w:r>
            <w:r w:rsidR="007679A0" w:rsidRPr="000E20D1">
              <w:rPr>
                <w:sz w:val="22"/>
              </w:rPr>
              <w:t xml:space="preserve">wagering </w:t>
            </w:r>
            <w:r w:rsidRPr="000E20D1">
              <w:rPr>
                <w:sz w:val="22"/>
              </w:rPr>
              <w:t>services using social or digital media platforms. To the extent that general rules applying to the content of advertisements are developed, these should apply to advertising on social or digital media that carry those advertisements. The regulatory controls for licensing of wagering providers should require compliance with the advertising rules in the national framework.</w:t>
            </w:r>
          </w:p>
          <w:p w:rsidR="00B75FDF" w:rsidRPr="000E20D1" w:rsidRDefault="00B75FDF" w:rsidP="00351A42">
            <w:pPr>
              <w:spacing w:after="200"/>
              <w:rPr>
                <w:sz w:val="22"/>
              </w:rPr>
            </w:pPr>
            <w:r w:rsidRPr="000E20D1">
              <w:rPr>
                <w:sz w:val="22"/>
              </w:rPr>
              <w:t xml:space="preserve">In general social media platforms have </w:t>
            </w:r>
            <w:r w:rsidR="007679A0" w:rsidRPr="000E20D1">
              <w:rPr>
                <w:sz w:val="22"/>
              </w:rPr>
              <w:t xml:space="preserve">good </w:t>
            </w:r>
            <w:r w:rsidRPr="000E20D1">
              <w:rPr>
                <w:sz w:val="22"/>
              </w:rPr>
              <w:t xml:space="preserve">self-regulatory frameworks in place for content, and the Government will work with such providers to ensure these offer appropriate controls in relation to advertising of </w:t>
            </w:r>
            <w:r w:rsidR="007679A0" w:rsidRPr="000E20D1">
              <w:rPr>
                <w:sz w:val="22"/>
              </w:rPr>
              <w:t xml:space="preserve">wagering </w:t>
            </w:r>
            <w:r w:rsidRPr="000E20D1">
              <w:rPr>
                <w:sz w:val="22"/>
              </w:rPr>
              <w:t>services and products.</w:t>
            </w:r>
          </w:p>
        </w:tc>
      </w:tr>
      <w:tr w:rsidR="00B75FDF" w:rsidRPr="00654B05" w:rsidTr="00351A42">
        <w:tblPrEx>
          <w:tblLook w:val="04A0" w:firstRow="1" w:lastRow="0" w:firstColumn="1" w:lastColumn="0" w:noHBand="0" w:noVBand="1"/>
        </w:tblPrEx>
        <w:tc>
          <w:tcPr>
            <w:tcW w:w="5920" w:type="dxa"/>
          </w:tcPr>
          <w:p w:rsidR="00B75FDF" w:rsidRPr="000E20D1" w:rsidRDefault="00B75FDF" w:rsidP="00351A42">
            <w:pPr>
              <w:rPr>
                <w:sz w:val="22"/>
              </w:rPr>
            </w:pPr>
            <w:r w:rsidRPr="000E20D1">
              <w:rPr>
                <w:sz w:val="22"/>
              </w:rPr>
              <w:br w:type="page"/>
              <w:t>13: The national policy framework should introduce a system to allow for the development and use of nationally consistent and standardised messaging to</w:t>
            </w:r>
            <w:r w:rsidR="001511DA">
              <w:rPr>
                <w:sz w:val="22"/>
              </w:rPr>
              <w:t xml:space="preserve"> </w:t>
            </w:r>
            <w:bookmarkStart w:id="0" w:name="_GoBack"/>
            <w:bookmarkEnd w:id="0"/>
            <w:r w:rsidRPr="000E20D1">
              <w:rPr>
                <w:sz w:val="22"/>
              </w:rPr>
              <w:t>assist efforts to ensure responsible gambling.</w:t>
            </w:r>
          </w:p>
          <w:p w:rsidR="00B75FDF" w:rsidRPr="000E20D1" w:rsidRDefault="00B75FDF" w:rsidP="00351A42">
            <w:pPr>
              <w:rPr>
                <w:rStyle w:val="BookTitle"/>
                <w:i/>
                <w:smallCaps w:val="0"/>
                <w:spacing w:val="0"/>
              </w:rPr>
            </w:pPr>
          </w:p>
        </w:tc>
        <w:tc>
          <w:tcPr>
            <w:tcW w:w="1276" w:type="dxa"/>
            <w:shd w:val="clear" w:color="auto" w:fill="92D050"/>
          </w:tcPr>
          <w:p w:rsidR="00B75FDF" w:rsidRPr="000E20D1" w:rsidRDefault="00B75FDF" w:rsidP="00351A42">
            <w:pPr>
              <w:jc w:val="center"/>
              <w:rPr>
                <w:rStyle w:val="BookTitle"/>
                <w:i/>
                <w:smallCaps w:val="0"/>
                <w:spacing w:val="0"/>
              </w:rPr>
            </w:pPr>
            <w:r w:rsidRPr="000E20D1">
              <w:rPr>
                <w:rStyle w:val="BookTitle"/>
                <w:smallCaps w:val="0"/>
                <w:spacing w:val="0"/>
              </w:rPr>
              <w:t xml:space="preserve">Agree </w:t>
            </w:r>
          </w:p>
        </w:tc>
        <w:tc>
          <w:tcPr>
            <w:tcW w:w="6952" w:type="dxa"/>
            <w:shd w:val="clear" w:color="auto" w:fill="auto"/>
          </w:tcPr>
          <w:p w:rsidR="00B75FDF" w:rsidRPr="000E20D1" w:rsidRDefault="00B75FDF" w:rsidP="007351BD">
            <w:pPr>
              <w:spacing w:after="120"/>
              <w:rPr>
                <w:sz w:val="22"/>
              </w:rPr>
            </w:pPr>
            <w:r w:rsidRPr="000E20D1">
              <w:rPr>
                <w:sz w:val="22"/>
              </w:rPr>
              <w:t>The Government will work with the states and territories, and other stakeholders to include standardised messaging about responsible gambling in the national framework (as per recommendation 2).</w:t>
            </w:r>
          </w:p>
        </w:tc>
      </w:tr>
      <w:tr w:rsidR="00B75FDF" w:rsidRPr="00654B05" w:rsidTr="000E20D1">
        <w:trPr>
          <w:cantSplit/>
        </w:trPr>
        <w:tc>
          <w:tcPr>
            <w:tcW w:w="5920" w:type="dxa"/>
          </w:tcPr>
          <w:p w:rsidR="00B75FDF" w:rsidRPr="000E20D1" w:rsidRDefault="00B75FDF" w:rsidP="00351A42">
            <w:pPr>
              <w:rPr>
                <w:rStyle w:val="BookTitle"/>
                <w:i/>
                <w:smallCaps w:val="0"/>
                <w:spacing w:val="0"/>
              </w:rPr>
            </w:pPr>
            <w:r w:rsidRPr="000E20D1">
              <w:rPr>
                <w:sz w:val="22"/>
              </w:rPr>
              <w:lastRenderedPageBreak/>
              <w:t>14: The current single national telephone number and web portal – Gambling Help Online – should be refocused to operate more consistently across all States and Territories, and provide a stronger pathway to other support services for problem gamblers and their families.</w:t>
            </w:r>
          </w:p>
        </w:tc>
        <w:tc>
          <w:tcPr>
            <w:tcW w:w="1276" w:type="dxa"/>
            <w:shd w:val="clear" w:color="auto" w:fill="D6E3BC" w:themeFill="accent3" w:themeFillTint="66"/>
          </w:tcPr>
          <w:p w:rsidR="00B75FDF" w:rsidRPr="000E20D1" w:rsidRDefault="00B75FDF" w:rsidP="00351A42">
            <w:pPr>
              <w:jc w:val="center"/>
              <w:rPr>
                <w:rStyle w:val="BookTitle"/>
                <w:i/>
                <w:smallCaps w:val="0"/>
                <w:spacing w:val="0"/>
              </w:rPr>
            </w:pPr>
            <w:r w:rsidRPr="000E20D1">
              <w:rPr>
                <w:rStyle w:val="BookTitle"/>
                <w:smallCaps w:val="0"/>
                <w:spacing w:val="0"/>
              </w:rPr>
              <w:t>Agree in</w:t>
            </w:r>
            <w:r w:rsidRPr="000E20D1">
              <w:rPr>
                <w:rStyle w:val="BookTitle"/>
                <w:smallCaps w:val="0"/>
                <w:spacing w:val="0"/>
              </w:rPr>
              <w:noBreakHyphen/>
              <w:t>principle</w:t>
            </w:r>
          </w:p>
        </w:tc>
        <w:tc>
          <w:tcPr>
            <w:tcW w:w="6952" w:type="dxa"/>
            <w:shd w:val="clear" w:color="auto" w:fill="auto"/>
          </w:tcPr>
          <w:p w:rsidR="00B75FDF" w:rsidRPr="000E20D1" w:rsidRDefault="00B75FDF">
            <w:pPr>
              <w:spacing w:after="200"/>
              <w:rPr>
                <w:sz w:val="22"/>
              </w:rPr>
            </w:pPr>
            <w:r w:rsidRPr="000E20D1">
              <w:rPr>
                <w:sz w:val="22"/>
              </w:rPr>
              <w:t>The Gambling Help Online service is a joint Commonwealth and state and territory partnership. It is currently undergoing formal evaluation to assess its effectiveness and to identify areas for service improvement. The Government will work with state and territory governments to ensure information to assist problem gamblers and their families is consistent and easy to access.</w:t>
            </w:r>
          </w:p>
        </w:tc>
      </w:tr>
      <w:tr w:rsidR="00B75FDF" w:rsidRPr="00654B05" w:rsidTr="00351A42">
        <w:tblPrEx>
          <w:tblLook w:val="04A0" w:firstRow="1" w:lastRow="0" w:firstColumn="1" w:lastColumn="0" w:noHBand="0" w:noVBand="1"/>
        </w:tblPrEx>
        <w:tc>
          <w:tcPr>
            <w:tcW w:w="5920" w:type="dxa"/>
          </w:tcPr>
          <w:p w:rsidR="00B75FDF" w:rsidRPr="000E20D1" w:rsidRDefault="00B75FDF" w:rsidP="00351A42">
            <w:pPr>
              <w:rPr>
                <w:rStyle w:val="BookTitle"/>
                <w:i/>
                <w:smallCaps w:val="0"/>
                <w:spacing w:val="0"/>
              </w:rPr>
            </w:pPr>
            <w:r w:rsidRPr="000E20D1">
              <w:rPr>
                <w:sz w:val="22"/>
              </w:rPr>
              <w:t>15: Further research should be undertaken on the impact of betting restrictions on illegal offshore wagering and the identification of options to improve the situation.</w:t>
            </w:r>
          </w:p>
        </w:tc>
        <w:tc>
          <w:tcPr>
            <w:tcW w:w="1276" w:type="dxa"/>
            <w:shd w:val="clear" w:color="auto" w:fill="92D050"/>
          </w:tcPr>
          <w:p w:rsidR="00B75FDF" w:rsidRPr="000E20D1" w:rsidRDefault="00B75FDF" w:rsidP="00351A42">
            <w:pPr>
              <w:jc w:val="center"/>
              <w:rPr>
                <w:rStyle w:val="BookTitle"/>
                <w:i/>
                <w:smallCaps w:val="0"/>
                <w:spacing w:val="0"/>
              </w:rPr>
            </w:pPr>
            <w:r w:rsidRPr="000E20D1">
              <w:rPr>
                <w:rStyle w:val="BookTitle"/>
                <w:smallCaps w:val="0"/>
                <w:spacing w:val="0"/>
              </w:rPr>
              <w:t>Agree</w:t>
            </w:r>
          </w:p>
        </w:tc>
        <w:tc>
          <w:tcPr>
            <w:tcW w:w="6952" w:type="dxa"/>
            <w:shd w:val="clear" w:color="auto" w:fill="auto"/>
          </w:tcPr>
          <w:p w:rsidR="00B75FDF" w:rsidRPr="000E20D1" w:rsidRDefault="00B75FDF">
            <w:pPr>
              <w:spacing w:after="200"/>
              <w:rPr>
                <w:sz w:val="22"/>
              </w:rPr>
            </w:pPr>
            <w:r w:rsidRPr="000E20D1">
              <w:rPr>
                <w:sz w:val="22"/>
              </w:rPr>
              <w:t>The Government will examine the existing literature base on betting limits, commission further research, and undertake further consultations to explore options to address the impact of betting restrictions imposed by Australian licensed bookmakers, which have been cited as a factor in decisions to gamble offshore.</w:t>
            </w:r>
          </w:p>
        </w:tc>
      </w:tr>
      <w:tr w:rsidR="00B75FDF" w:rsidRPr="00654B05" w:rsidTr="000E20D1">
        <w:tblPrEx>
          <w:tblLook w:val="04A0" w:firstRow="1" w:lastRow="0" w:firstColumn="1" w:lastColumn="0" w:noHBand="0" w:noVBand="1"/>
        </w:tblPrEx>
        <w:tc>
          <w:tcPr>
            <w:tcW w:w="5920" w:type="dxa"/>
          </w:tcPr>
          <w:p w:rsidR="00B75FDF" w:rsidRPr="000E20D1" w:rsidRDefault="00B75FDF" w:rsidP="00351A42">
            <w:pPr>
              <w:rPr>
                <w:rStyle w:val="BookTitle"/>
                <w:i/>
                <w:smallCaps w:val="0"/>
                <w:spacing w:val="0"/>
              </w:rPr>
            </w:pPr>
            <w:r w:rsidRPr="000E20D1">
              <w:rPr>
                <w:sz w:val="22"/>
              </w:rPr>
              <w:br w:type="page"/>
              <w:t>16: A national policy framework that leverages off existing Commonwealth, State and Territory agencies should be implemented and enforced in a similar vein to the National Policy on Match-Fixing in Sport.</w:t>
            </w:r>
          </w:p>
        </w:tc>
        <w:tc>
          <w:tcPr>
            <w:tcW w:w="1276" w:type="dxa"/>
            <w:tcBorders>
              <w:bottom w:val="single" w:sz="4" w:space="0" w:color="auto"/>
            </w:tcBorders>
            <w:shd w:val="clear" w:color="auto" w:fill="D6E3BC" w:themeFill="accent3" w:themeFillTint="66"/>
          </w:tcPr>
          <w:p w:rsidR="00B75FDF" w:rsidRPr="000E20D1" w:rsidRDefault="00B75FDF" w:rsidP="00351A42">
            <w:pPr>
              <w:jc w:val="center"/>
              <w:rPr>
                <w:rStyle w:val="BookTitle"/>
                <w:i/>
                <w:smallCaps w:val="0"/>
                <w:spacing w:val="0"/>
              </w:rPr>
            </w:pPr>
            <w:r w:rsidRPr="000E20D1">
              <w:rPr>
                <w:rStyle w:val="BookTitle"/>
                <w:smallCaps w:val="0"/>
                <w:spacing w:val="0"/>
              </w:rPr>
              <w:t>Agree in</w:t>
            </w:r>
            <w:r w:rsidRPr="000E20D1">
              <w:rPr>
                <w:rStyle w:val="BookTitle"/>
                <w:smallCaps w:val="0"/>
                <w:spacing w:val="0"/>
              </w:rPr>
              <w:noBreakHyphen/>
              <w:t>principle</w:t>
            </w:r>
          </w:p>
        </w:tc>
        <w:tc>
          <w:tcPr>
            <w:tcW w:w="6952" w:type="dxa"/>
            <w:shd w:val="clear" w:color="auto" w:fill="auto"/>
          </w:tcPr>
          <w:p w:rsidR="00B75FDF" w:rsidRPr="000E20D1" w:rsidRDefault="00B75FDF" w:rsidP="001C1CED">
            <w:pPr>
              <w:spacing w:after="200"/>
              <w:rPr>
                <w:rFonts w:ascii="Arial" w:hAnsi="Arial"/>
                <w:sz w:val="22"/>
              </w:rPr>
            </w:pPr>
            <w:r w:rsidRPr="000E20D1">
              <w:rPr>
                <w:sz w:val="22"/>
              </w:rPr>
              <w:t>In line with recommendation 2, the Government will develop national policy and regulatory frameworks, in consultation with the states and territories. This might be implemented and enforced in a similar manner to the National Policy on Match-Fixing in Sport, but the Government will also discuss with the states and territories other mechanisms for implementation.</w:t>
            </w:r>
          </w:p>
        </w:tc>
      </w:tr>
    </w:tbl>
    <w:p w:rsidR="00654B05" w:rsidRDefault="00654B05" w:rsidP="007C1C62">
      <w:pPr>
        <w:rPr>
          <w:rStyle w:val="BookTitle"/>
          <w:smallCaps w:val="0"/>
          <w:spacing w:val="0"/>
        </w:rPr>
        <w:sectPr w:rsidR="00654B05" w:rsidSect="00A06104">
          <w:pgSz w:w="16838" w:h="11906" w:orient="landscape"/>
          <w:pgMar w:top="720" w:right="720" w:bottom="720" w:left="720" w:header="708" w:footer="708" w:gutter="0"/>
          <w:cols w:space="708"/>
          <w:docGrid w:linePitch="360"/>
        </w:sectPr>
      </w:pPr>
    </w:p>
    <w:tbl>
      <w:tblPr>
        <w:tblStyle w:val="TableGrid"/>
        <w:tblW w:w="14148" w:type="dxa"/>
        <w:tblLayout w:type="fixed"/>
        <w:tblLook w:val="0420" w:firstRow="1" w:lastRow="0" w:firstColumn="0" w:lastColumn="0" w:noHBand="0" w:noVBand="1"/>
        <w:tblDescription w:val="Summary of Government Responses. "/>
      </w:tblPr>
      <w:tblGrid>
        <w:gridCol w:w="5920"/>
        <w:gridCol w:w="1276"/>
        <w:gridCol w:w="6952"/>
      </w:tblGrid>
      <w:tr w:rsidR="00654B05" w:rsidRPr="007C1C62" w:rsidTr="007C1C62">
        <w:trPr>
          <w:tblHeader/>
        </w:trPr>
        <w:tc>
          <w:tcPr>
            <w:tcW w:w="5920" w:type="dxa"/>
            <w:shd w:val="clear" w:color="auto" w:fill="B8CCE4" w:themeFill="accent1" w:themeFillTint="66"/>
          </w:tcPr>
          <w:p w:rsidR="00654B05" w:rsidRPr="007C1C62" w:rsidRDefault="00654B05" w:rsidP="007C1C62">
            <w:pPr>
              <w:rPr>
                <w:rStyle w:val="BookTitle"/>
                <w:i/>
                <w:smallCaps w:val="0"/>
                <w:spacing w:val="0"/>
              </w:rPr>
            </w:pPr>
            <w:r w:rsidRPr="007C1C62">
              <w:rPr>
                <w:rStyle w:val="BookTitle"/>
                <w:smallCaps w:val="0"/>
                <w:spacing w:val="0"/>
              </w:rPr>
              <w:lastRenderedPageBreak/>
              <w:t>Recommendation</w:t>
            </w:r>
          </w:p>
        </w:tc>
        <w:tc>
          <w:tcPr>
            <w:tcW w:w="1276" w:type="dxa"/>
            <w:shd w:val="clear" w:color="auto" w:fill="B8CCE4" w:themeFill="accent1" w:themeFillTint="66"/>
          </w:tcPr>
          <w:p w:rsidR="00654B05" w:rsidRPr="007C1C62" w:rsidRDefault="00654B05" w:rsidP="007C1C62">
            <w:pPr>
              <w:jc w:val="center"/>
              <w:rPr>
                <w:rStyle w:val="BookTitle"/>
                <w:i/>
                <w:smallCaps w:val="0"/>
                <w:spacing w:val="0"/>
              </w:rPr>
            </w:pPr>
            <w:r w:rsidRPr="007C1C62">
              <w:rPr>
                <w:rStyle w:val="BookTitle"/>
                <w:smallCaps w:val="0"/>
                <w:spacing w:val="0"/>
              </w:rPr>
              <w:t>Position</w:t>
            </w:r>
          </w:p>
        </w:tc>
        <w:tc>
          <w:tcPr>
            <w:tcW w:w="6952" w:type="dxa"/>
            <w:shd w:val="clear" w:color="auto" w:fill="B8CCE4" w:themeFill="accent1" w:themeFillTint="66"/>
          </w:tcPr>
          <w:p w:rsidR="00654B05" w:rsidRPr="007C1C62" w:rsidRDefault="00654B05" w:rsidP="007C1C62">
            <w:pPr>
              <w:spacing w:after="120"/>
              <w:rPr>
                <w:rStyle w:val="BookTitle"/>
                <w:smallCaps w:val="0"/>
                <w:spacing w:val="0"/>
              </w:rPr>
            </w:pPr>
            <w:r w:rsidRPr="007C1C62">
              <w:rPr>
                <w:rStyle w:val="BookTitle"/>
                <w:smallCaps w:val="0"/>
                <w:spacing w:val="0"/>
              </w:rPr>
              <w:t>Comments</w:t>
            </w:r>
          </w:p>
        </w:tc>
      </w:tr>
      <w:tr w:rsidR="00B75FDF" w:rsidRPr="00654B05" w:rsidTr="000E20D1">
        <w:tc>
          <w:tcPr>
            <w:tcW w:w="5920" w:type="dxa"/>
            <w:shd w:val="clear" w:color="auto" w:fill="FFFFFF" w:themeFill="background1"/>
          </w:tcPr>
          <w:p w:rsidR="00B75FDF" w:rsidRPr="000E20D1" w:rsidRDefault="00B75FDF" w:rsidP="00351A42">
            <w:pPr>
              <w:shd w:val="clear" w:color="auto" w:fill="FFFFFF" w:themeFill="background1"/>
              <w:rPr>
                <w:sz w:val="22"/>
              </w:rPr>
            </w:pPr>
            <w:r w:rsidRPr="000E20D1">
              <w:rPr>
                <w:sz w:val="22"/>
              </w:rPr>
              <w:br w:type="page"/>
              <w:t>17: The Act should be amended to:</w:t>
            </w:r>
          </w:p>
          <w:p w:rsidR="00B75FDF" w:rsidRPr="000E20D1" w:rsidRDefault="00B75FDF" w:rsidP="00351A42">
            <w:pPr>
              <w:pStyle w:val="ListParagraph"/>
              <w:numPr>
                <w:ilvl w:val="0"/>
                <w:numId w:val="1"/>
              </w:numPr>
              <w:shd w:val="clear" w:color="auto" w:fill="FFFFFF" w:themeFill="background1"/>
              <w:spacing w:before="120" w:after="120"/>
              <w:rPr>
                <w:sz w:val="22"/>
              </w:rPr>
            </w:pPr>
            <w:r w:rsidRPr="000E20D1">
              <w:rPr>
                <w:sz w:val="22"/>
              </w:rPr>
              <w:t>improve and simplify the definition of prohibited activities</w:t>
            </w:r>
          </w:p>
          <w:p w:rsidR="00B75FDF" w:rsidRPr="000E20D1" w:rsidRDefault="00B75FDF" w:rsidP="00351A42">
            <w:pPr>
              <w:pStyle w:val="ListParagraph"/>
              <w:numPr>
                <w:ilvl w:val="0"/>
                <w:numId w:val="1"/>
              </w:numPr>
              <w:shd w:val="clear" w:color="auto" w:fill="FFFFFF" w:themeFill="background1"/>
              <w:spacing w:before="120" w:after="120"/>
              <w:rPr>
                <w:sz w:val="22"/>
              </w:rPr>
            </w:pPr>
            <w:r w:rsidRPr="000E20D1">
              <w:rPr>
                <w:sz w:val="22"/>
              </w:rPr>
              <w:t>extend the ambit of enforcement to affiliates, agents and the like</w:t>
            </w:r>
          </w:p>
          <w:p w:rsidR="00B75FDF" w:rsidRPr="000E20D1" w:rsidRDefault="00B75FDF" w:rsidP="00351A42">
            <w:pPr>
              <w:pStyle w:val="ListParagraph"/>
              <w:numPr>
                <w:ilvl w:val="0"/>
                <w:numId w:val="1"/>
              </w:numPr>
              <w:shd w:val="clear" w:color="auto" w:fill="FFFFFF" w:themeFill="background1"/>
              <w:spacing w:before="120" w:after="120"/>
              <w:rPr>
                <w:sz w:val="22"/>
              </w:rPr>
            </w:pPr>
            <w:r w:rsidRPr="000E20D1">
              <w:rPr>
                <w:sz w:val="22"/>
              </w:rPr>
              <w:t>include the use of name and shame lists published online to detail illegal sites and their directors and principals and to include the use of other Commonwealth instruments to disrupt travel to Australia by those named</w:t>
            </w:r>
          </w:p>
          <w:p w:rsidR="00B75FDF" w:rsidRPr="000E20D1" w:rsidRDefault="00B75FDF" w:rsidP="00351A42">
            <w:pPr>
              <w:pStyle w:val="ListParagraph"/>
              <w:numPr>
                <w:ilvl w:val="0"/>
                <w:numId w:val="1"/>
              </w:numPr>
              <w:shd w:val="clear" w:color="auto" w:fill="FFFFFF" w:themeFill="background1"/>
              <w:spacing w:before="120" w:after="120"/>
              <w:rPr>
                <w:sz w:val="22"/>
              </w:rPr>
            </w:pPr>
            <w:r w:rsidRPr="000E20D1">
              <w:rPr>
                <w:sz w:val="22"/>
              </w:rPr>
              <w:t>allow ACMA, where appropriate, to notify in writing any relevant international regulator in the jurisdiction where the site is licensed</w:t>
            </w:r>
          </w:p>
          <w:p w:rsidR="00B75FDF" w:rsidRPr="000E20D1" w:rsidRDefault="00B75FDF" w:rsidP="00351A42">
            <w:pPr>
              <w:pStyle w:val="ListParagraph"/>
              <w:numPr>
                <w:ilvl w:val="0"/>
                <w:numId w:val="1"/>
              </w:numPr>
              <w:shd w:val="clear" w:color="auto" w:fill="FFFFFF" w:themeFill="background1"/>
              <w:spacing w:before="120" w:after="120"/>
              <w:rPr>
                <w:sz w:val="22"/>
              </w:rPr>
            </w:pPr>
            <w:r w:rsidRPr="000E20D1">
              <w:rPr>
                <w:sz w:val="22"/>
              </w:rPr>
              <w:t>allow ACMA to implement new (civil) penalties as proposed by the 2012 review</w:t>
            </w:r>
          </w:p>
          <w:p w:rsidR="00B75FDF" w:rsidRPr="003B6698" w:rsidRDefault="00B75FDF" w:rsidP="00767FDC">
            <w:pPr>
              <w:pStyle w:val="ListParagraph"/>
              <w:numPr>
                <w:ilvl w:val="0"/>
                <w:numId w:val="1"/>
              </w:numPr>
              <w:shd w:val="clear" w:color="auto" w:fill="FFFFFF" w:themeFill="background1"/>
              <w:spacing w:before="120" w:after="120"/>
              <w:rPr>
                <w:rStyle w:val="BookTitle"/>
                <w:i/>
                <w:smallCaps w:val="0"/>
                <w:spacing w:val="0"/>
              </w:rPr>
            </w:pPr>
            <w:r w:rsidRPr="000E20D1">
              <w:rPr>
                <w:sz w:val="22"/>
              </w:rPr>
              <w:t>include a provision that restricts an operator providing illegal services to Australian consumers from obtaining a licence in any Australian jurisdiction for a specified future time period</w:t>
            </w:r>
          </w:p>
        </w:tc>
        <w:tc>
          <w:tcPr>
            <w:tcW w:w="1276" w:type="dxa"/>
            <w:shd w:val="clear" w:color="auto" w:fill="92D050"/>
          </w:tcPr>
          <w:p w:rsidR="00B75FDF" w:rsidRPr="000E20D1" w:rsidRDefault="00B75FDF" w:rsidP="00351A42">
            <w:pPr>
              <w:jc w:val="center"/>
              <w:rPr>
                <w:rStyle w:val="BookTitle"/>
                <w:i/>
                <w:smallCaps w:val="0"/>
                <w:spacing w:val="0"/>
              </w:rPr>
            </w:pPr>
            <w:r w:rsidRPr="000E20D1">
              <w:rPr>
                <w:rStyle w:val="BookTitle"/>
                <w:smallCaps w:val="0"/>
                <w:spacing w:val="0"/>
              </w:rPr>
              <w:t>Agree</w:t>
            </w:r>
          </w:p>
        </w:tc>
        <w:tc>
          <w:tcPr>
            <w:tcW w:w="6952" w:type="dxa"/>
            <w:shd w:val="clear" w:color="auto" w:fill="FFFFFF" w:themeFill="background1"/>
          </w:tcPr>
          <w:p w:rsidR="00B75FDF" w:rsidRPr="000E20D1" w:rsidRDefault="00B75FDF" w:rsidP="000E20D1">
            <w:pPr>
              <w:spacing w:after="200"/>
              <w:rPr>
                <w:sz w:val="22"/>
              </w:rPr>
            </w:pPr>
            <w:r w:rsidRPr="000E20D1">
              <w:rPr>
                <w:sz w:val="22"/>
              </w:rPr>
              <w:t>The Government will introduce legislative amendments to provide greater clarity around the legality of services, strengthen the enforcement of the Interactive Gambling Act 2001, and deliver improved enforcement outcomes.</w:t>
            </w:r>
          </w:p>
          <w:p w:rsidR="00B75FDF" w:rsidRPr="000E20D1" w:rsidRDefault="00B75FDF" w:rsidP="000E20D1">
            <w:pPr>
              <w:spacing w:after="200"/>
              <w:rPr>
                <w:sz w:val="22"/>
              </w:rPr>
            </w:pPr>
            <w:r w:rsidRPr="000E20D1">
              <w:rPr>
                <w:sz w:val="22"/>
              </w:rPr>
              <w:t>It will also introduce the other mechanisms as outlined in the recommendation.</w:t>
            </w:r>
          </w:p>
          <w:p w:rsidR="00B75FDF" w:rsidRPr="000E20D1" w:rsidRDefault="00D96778" w:rsidP="000E20D1">
            <w:pPr>
              <w:spacing w:after="200"/>
              <w:rPr>
                <w:rFonts w:ascii="Arial" w:hAnsi="Arial"/>
              </w:rPr>
            </w:pPr>
            <w:r w:rsidRPr="000E20D1">
              <w:rPr>
                <w:rFonts w:cs="Arial"/>
                <w:sz w:val="22"/>
              </w:rPr>
              <w:t>The implementation of the national framework</w:t>
            </w:r>
            <w:r w:rsidR="007679A0" w:rsidRPr="000E20D1">
              <w:rPr>
                <w:rFonts w:cs="Arial"/>
                <w:sz w:val="22"/>
              </w:rPr>
              <w:t xml:space="preserve"> and other legislative and disruption measures</w:t>
            </w:r>
            <w:r w:rsidRPr="000E20D1">
              <w:rPr>
                <w:rFonts w:cs="Arial"/>
                <w:sz w:val="22"/>
              </w:rPr>
              <w:t xml:space="preserve"> may also be flow on benefits in the critical areas of sport and racing integrity.</w:t>
            </w:r>
          </w:p>
        </w:tc>
      </w:tr>
      <w:tr w:rsidR="00B75FDF" w:rsidRPr="00654B05" w:rsidTr="000E20D1">
        <w:tc>
          <w:tcPr>
            <w:tcW w:w="5920" w:type="dxa"/>
            <w:tcBorders>
              <w:bottom w:val="single" w:sz="4" w:space="0" w:color="auto"/>
            </w:tcBorders>
            <w:shd w:val="clear" w:color="auto" w:fill="FFFFFF" w:themeFill="background1"/>
          </w:tcPr>
          <w:p w:rsidR="00B75FDF" w:rsidRPr="000E20D1" w:rsidRDefault="00B75FDF" w:rsidP="00351A42">
            <w:pPr>
              <w:rPr>
                <w:rStyle w:val="BookTitle"/>
                <w:i/>
                <w:smallCaps w:val="0"/>
                <w:spacing w:val="0"/>
              </w:rPr>
            </w:pPr>
            <w:r w:rsidRPr="000E20D1">
              <w:rPr>
                <w:sz w:val="22"/>
              </w:rPr>
              <w:br w:type="page"/>
            </w:r>
            <w:r w:rsidRPr="000E20D1">
              <w:rPr>
                <w:sz w:val="22"/>
              </w:rPr>
              <w:br w:type="page"/>
              <w:t xml:space="preserve">18: Treasury, and other relevant agencies should work with banks and credit card providers to identify potential payment blocking strategies to disrupt illegal offshore wagering. Additionally, the recommendation from the </w:t>
            </w:r>
            <w:r w:rsidRPr="000E20D1">
              <w:rPr>
                <w:i/>
                <w:sz w:val="22"/>
              </w:rPr>
              <w:t>2012 Review of the Interactive Gambling Act 2001</w:t>
            </w:r>
            <w:r w:rsidRPr="000E20D1">
              <w:rPr>
                <w:sz w:val="22"/>
              </w:rPr>
              <w:t xml:space="preserve"> relating to ‘safe harbour’ provisions be adopted to support these efforts.</w:t>
            </w:r>
          </w:p>
        </w:tc>
        <w:tc>
          <w:tcPr>
            <w:tcW w:w="1276" w:type="dxa"/>
            <w:shd w:val="clear" w:color="auto" w:fill="92D050"/>
          </w:tcPr>
          <w:p w:rsidR="00B75FDF" w:rsidRPr="000E20D1" w:rsidRDefault="00B75FDF" w:rsidP="00351A42">
            <w:pPr>
              <w:jc w:val="center"/>
              <w:rPr>
                <w:rStyle w:val="BookTitle"/>
                <w:i/>
                <w:smallCaps w:val="0"/>
                <w:spacing w:val="0"/>
              </w:rPr>
            </w:pPr>
            <w:r w:rsidRPr="000E20D1">
              <w:rPr>
                <w:rStyle w:val="BookTitle"/>
                <w:smallCaps w:val="0"/>
                <w:spacing w:val="0"/>
              </w:rPr>
              <w:t xml:space="preserve">Agree </w:t>
            </w:r>
          </w:p>
        </w:tc>
        <w:tc>
          <w:tcPr>
            <w:tcW w:w="6952" w:type="dxa"/>
            <w:tcBorders>
              <w:bottom w:val="single" w:sz="4" w:space="0" w:color="auto"/>
            </w:tcBorders>
            <w:shd w:val="clear" w:color="auto" w:fill="FFFFFF" w:themeFill="background1"/>
          </w:tcPr>
          <w:p w:rsidR="00B75FDF" w:rsidRPr="000E20D1" w:rsidRDefault="00B75FDF" w:rsidP="000E20D1">
            <w:pPr>
              <w:spacing w:after="200"/>
              <w:rPr>
                <w:sz w:val="22"/>
              </w:rPr>
            </w:pPr>
            <w:r w:rsidRPr="000E20D1">
              <w:rPr>
                <w:sz w:val="22"/>
              </w:rPr>
              <w:t xml:space="preserve">While disruption strategies cannot provide a complete solution, payment blocking and restrictions have been used in other jurisdictions such as the United Kingdom, France and the United States as part of a multifaceted strategy designed to reduce the adverse outcomes of illegal online </w:t>
            </w:r>
            <w:r w:rsidR="007679A0" w:rsidRPr="000E20D1">
              <w:rPr>
                <w:sz w:val="22"/>
              </w:rPr>
              <w:t>wagering</w:t>
            </w:r>
            <w:r w:rsidRPr="000E20D1">
              <w:rPr>
                <w:sz w:val="22"/>
              </w:rPr>
              <w:t>.</w:t>
            </w:r>
          </w:p>
          <w:p w:rsidR="00B75FDF" w:rsidRPr="000E20D1" w:rsidRDefault="00B75FDF" w:rsidP="000E20D1">
            <w:pPr>
              <w:spacing w:after="200"/>
              <w:rPr>
                <w:sz w:val="22"/>
              </w:rPr>
            </w:pPr>
            <w:r w:rsidRPr="000E20D1">
              <w:rPr>
                <w:sz w:val="22"/>
              </w:rPr>
              <w:t>The Government will consult with the banks and credit card providers to assess the potential options and practicality of payment blocking strategies to address illegal offshore wagering and gaming.</w:t>
            </w:r>
          </w:p>
          <w:p w:rsidR="00B75FDF" w:rsidRPr="000E20D1" w:rsidRDefault="00B75FDF" w:rsidP="000E20D1">
            <w:pPr>
              <w:spacing w:after="200"/>
              <w:rPr>
                <w:rFonts w:ascii="Arial" w:hAnsi="Arial"/>
                <w:sz w:val="22"/>
              </w:rPr>
            </w:pPr>
            <w:r w:rsidRPr="000E20D1">
              <w:rPr>
                <w:sz w:val="22"/>
              </w:rPr>
              <w:t>The adoption of Recommendation 8 from the 2012 Review of the Interactive Gambling Act 2001 will be considered after the potential options have been explored.</w:t>
            </w:r>
          </w:p>
        </w:tc>
      </w:tr>
      <w:tr w:rsidR="00B75FDF" w:rsidRPr="00654B05" w:rsidTr="000E20D1">
        <w:trPr>
          <w:cantSplit/>
        </w:trPr>
        <w:tc>
          <w:tcPr>
            <w:tcW w:w="5920" w:type="dxa"/>
            <w:tcBorders>
              <w:right w:val="single" w:sz="4" w:space="0" w:color="auto"/>
            </w:tcBorders>
            <w:shd w:val="clear" w:color="auto" w:fill="FFFFFF" w:themeFill="background1"/>
          </w:tcPr>
          <w:p w:rsidR="00B75FDF" w:rsidRPr="000E20D1" w:rsidRDefault="00B75FDF" w:rsidP="00351A42">
            <w:pPr>
              <w:rPr>
                <w:rStyle w:val="BookTitle"/>
                <w:i/>
                <w:smallCaps w:val="0"/>
                <w:spacing w:val="0"/>
              </w:rPr>
            </w:pPr>
            <w:r w:rsidRPr="000E20D1">
              <w:rPr>
                <w:sz w:val="22"/>
              </w:rPr>
              <w:lastRenderedPageBreak/>
              <w:t>19: ACMA should seek to pursue voluntary agreements with ISP and/or content providers to block identified sites fostering illegal wagering activity within Australia. Failing this, consideration should be given to legislative options for applying website blocking to disrupt the use of offshore operators.</w:t>
            </w:r>
          </w:p>
        </w:tc>
        <w:tc>
          <w:tcPr>
            <w:tcW w:w="1276" w:type="dxa"/>
            <w:tcBorders>
              <w:left w:val="single" w:sz="4" w:space="0" w:color="auto"/>
            </w:tcBorders>
            <w:shd w:val="clear" w:color="auto" w:fill="D6E3BC" w:themeFill="accent3" w:themeFillTint="66"/>
          </w:tcPr>
          <w:p w:rsidR="00B75FDF" w:rsidRPr="000E20D1" w:rsidRDefault="00B75FDF" w:rsidP="00351A42">
            <w:pPr>
              <w:jc w:val="center"/>
              <w:rPr>
                <w:rStyle w:val="BookTitle"/>
                <w:i/>
                <w:smallCaps w:val="0"/>
                <w:spacing w:val="0"/>
              </w:rPr>
            </w:pPr>
            <w:r w:rsidRPr="000E20D1">
              <w:rPr>
                <w:rStyle w:val="BookTitle"/>
                <w:smallCaps w:val="0"/>
                <w:spacing w:val="0"/>
              </w:rPr>
              <w:t>Agree</w:t>
            </w:r>
          </w:p>
          <w:p w:rsidR="00B10ACA" w:rsidRPr="000E20D1" w:rsidRDefault="00D11348" w:rsidP="00351A42">
            <w:pPr>
              <w:jc w:val="center"/>
              <w:rPr>
                <w:rFonts w:ascii="Calibri" w:hAnsi="Calibri"/>
                <w:i/>
                <w:smallCaps/>
                <w:spacing w:val="5"/>
                <w:sz w:val="22"/>
              </w:rPr>
            </w:pPr>
            <w:r w:rsidRPr="000E20D1">
              <w:rPr>
                <w:rStyle w:val="BookTitle"/>
                <w:smallCaps w:val="0"/>
                <w:spacing w:val="0"/>
              </w:rPr>
              <w:t>i</w:t>
            </w:r>
            <w:r w:rsidR="006A6508" w:rsidRPr="000E20D1">
              <w:rPr>
                <w:rStyle w:val="BookTitle"/>
                <w:smallCaps w:val="0"/>
                <w:spacing w:val="0"/>
              </w:rPr>
              <w:t>n</w:t>
            </w:r>
            <w:r w:rsidR="00B10ACA" w:rsidRPr="000E20D1">
              <w:rPr>
                <w:rStyle w:val="BookTitle"/>
                <w:smallCaps w:val="0"/>
                <w:spacing w:val="0"/>
              </w:rPr>
              <w:t>-principle</w:t>
            </w:r>
          </w:p>
        </w:tc>
        <w:tc>
          <w:tcPr>
            <w:tcW w:w="6952" w:type="dxa"/>
            <w:shd w:val="clear" w:color="auto" w:fill="FFFFFF" w:themeFill="background1"/>
          </w:tcPr>
          <w:p w:rsidR="00B75FDF" w:rsidRPr="000E20D1" w:rsidRDefault="00B75FDF" w:rsidP="000E20D1">
            <w:pPr>
              <w:spacing w:after="200"/>
              <w:rPr>
                <w:sz w:val="22"/>
              </w:rPr>
            </w:pPr>
            <w:r w:rsidRPr="000E20D1">
              <w:rPr>
                <w:sz w:val="22"/>
              </w:rPr>
              <w:t>Many countries have used I</w:t>
            </w:r>
            <w:r w:rsidR="00447064" w:rsidRPr="000E20D1">
              <w:rPr>
                <w:sz w:val="22"/>
              </w:rPr>
              <w:t>nternet Service Providers (I</w:t>
            </w:r>
            <w:r w:rsidRPr="000E20D1">
              <w:rPr>
                <w:sz w:val="22"/>
              </w:rPr>
              <w:t>SP</w:t>
            </w:r>
            <w:r w:rsidR="00447064" w:rsidRPr="000E20D1">
              <w:rPr>
                <w:sz w:val="22"/>
              </w:rPr>
              <w:t>)</w:t>
            </w:r>
            <w:r w:rsidRPr="000E20D1">
              <w:rPr>
                <w:sz w:val="22"/>
              </w:rPr>
              <w:t xml:space="preserve"> blocking as part of a multifaceted strategy designed to reduce the adverse outcomes of illegal online gambling. </w:t>
            </w:r>
          </w:p>
          <w:p w:rsidR="00B75FDF" w:rsidRPr="000E20D1" w:rsidRDefault="00B10ACA" w:rsidP="000E20D1">
            <w:pPr>
              <w:spacing w:after="200"/>
              <w:rPr>
                <w:sz w:val="22"/>
              </w:rPr>
            </w:pPr>
            <w:r w:rsidRPr="000E20D1">
              <w:rPr>
                <w:sz w:val="22"/>
              </w:rPr>
              <w:t>The Government will consult with I</w:t>
            </w:r>
            <w:r w:rsidR="00447064" w:rsidRPr="000E20D1">
              <w:rPr>
                <w:sz w:val="22"/>
              </w:rPr>
              <w:t>SPs</w:t>
            </w:r>
            <w:r w:rsidRPr="000E20D1">
              <w:rPr>
                <w:sz w:val="22"/>
              </w:rPr>
              <w:t xml:space="preserve"> to assess the potential options and practicality of voluntarily disrupting access to overseas based online </w:t>
            </w:r>
            <w:r w:rsidR="007679A0" w:rsidRPr="000E20D1">
              <w:rPr>
                <w:sz w:val="22"/>
              </w:rPr>
              <w:t xml:space="preserve">wagering </w:t>
            </w:r>
            <w:r w:rsidRPr="000E20D1">
              <w:rPr>
                <w:sz w:val="22"/>
              </w:rPr>
              <w:t>providers who are not licen</w:t>
            </w:r>
            <w:r w:rsidR="00865068" w:rsidRPr="000E20D1">
              <w:rPr>
                <w:sz w:val="22"/>
              </w:rPr>
              <w:t>s</w:t>
            </w:r>
            <w:r w:rsidRPr="000E20D1">
              <w:rPr>
                <w:sz w:val="22"/>
              </w:rPr>
              <w:t>ed in Australia through the use of blocking or pop-up warning pages.</w:t>
            </w:r>
          </w:p>
        </w:tc>
      </w:tr>
    </w:tbl>
    <w:p w:rsidR="007B0256" w:rsidRPr="00520831" w:rsidRDefault="007B0256" w:rsidP="00520831">
      <w:pPr>
        <w:spacing w:line="240" w:lineRule="auto"/>
        <w:rPr>
          <w:rStyle w:val="BookTitle"/>
          <w:i/>
          <w:smallCaps w:val="0"/>
          <w:spacing w:val="0"/>
          <w:sz w:val="18"/>
        </w:rPr>
      </w:pPr>
    </w:p>
    <w:sectPr w:rsidR="007B0256" w:rsidRPr="00520831" w:rsidSect="00A0610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ACE" w:rsidRDefault="00280ACE">
      <w:pPr>
        <w:spacing w:line="240" w:lineRule="auto"/>
      </w:pPr>
      <w:r>
        <w:separator/>
      </w:r>
    </w:p>
    <w:p w:rsidR="00280ACE" w:rsidRDefault="00280ACE"/>
  </w:endnote>
  <w:endnote w:type="continuationSeparator" w:id="0">
    <w:p w:rsidR="00280ACE" w:rsidRDefault="00280ACE">
      <w:pPr>
        <w:spacing w:line="240" w:lineRule="auto"/>
      </w:pPr>
      <w:r>
        <w:continuationSeparator/>
      </w:r>
    </w:p>
    <w:p w:rsidR="00280ACE" w:rsidRDefault="00280ACE"/>
  </w:endnote>
  <w:endnote w:type="continuationNotice" w:id="1">
    <w:p w:rsidR="00280ACE" w:rsidRDefault="00280ACE">
      <w:pPr>
        <w:spacing w:line="240" w:lineRule="auto"/>
      </w:pPr>
    </w:p>
    <w:p w:rsidR="00280ACE" w:rsidRDefault="00280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232321"/>
      <w:docPartObj>
        <w:docPartGallery w:val="Page Numbers (Bottom of Page)"/>
        <w:docPartUnique/>
      </w:docPartObj>
    </w:sdtPr>
    <w:sdtEndPr>
      <w:rPr>
        <w:noProof/>
      </w:rPr>
    </w:sdtEndPr>
    <w:sdtContent>
      <w:p w:rsidR="00351A42" w:rsidRDefault="00351A42">
        <w:pPr>
          <w:pStyle w:val="Footer"/>
          <w:jc w:val="right"/>
        </w:pPr>
        <w:r>
          <w:fldChar w:fldCharType="begin"/>
        </w:r>
        <w:r>
          <w:instrText xml:space="preserve"> PAGE   \* MERGEFORMAT </w:instrText>
        </w:r>
        <w:r>
          <w:fldChar w:fldCharType="separate"/>
        </w:r>
        <w:r w:rsidR="001511DA">
          <w:rPr>
            <w:noProof/>
          </w:rPr>
          <w:t>2</w:t>
        </w:r>
        <w:r>
          <w:rPr>
            <w:noProof/>
          </w:rPr>
          <w:fldChar w:fldCharType="end"/>
        </w:r>
      </w:p>
    </w:sdtContent>
  </w:sdt>
  <w:p w:rsidR="00351A42" w:rsidRDefault="00351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ACE" w:rsidRDefault="00280ACE">
      <w:pPr>
        <w:spacing w:line="240" w:lineRule="auto"/>
      </w:pPr>
      <w:r>
        <w:separator/>
      </w:r>
    </w:p>
    <w:p w:rsidR="00280ACE" w:rsidRDefault="00280ACE"/>
  </w:footnote>
  <w:footnote w:type="continuationSeparator" w:id="0">
    <w:p w:rsidR="00280ACE" w:rsidRDefault="00280ACE">
      <w:pPr>
        <w:spacing w:line="240" w:lineRule="auto"/>
      </w:pPr>
      <w:r>
        <w:continuationSeparator/>
      </w:r>
    </w:p>
    <w:p w:rsidR="00280ACE" w:rsidRDefault="00280ACE"/>
  </w:footnote>
  <w:footnote w:type="continuationNotice" w:id="1">
    <w:p w:rsidR="00280ACE" w:rsidRDefault="00280ACE">
      <w:pPr>
        <w:spacing w:line="240" w:lineRule="auto"/>
      </w:pPr>
    </w:p>
    <w:p w:rsidR="00280ACE" w:rsidRDefault="00280ACE"/>
  </w:footnote>
  <w:footnote w:id="2">
    <w:p w:rsidR="00351A42" w:rsidRPr="00084933" w:rsidRDefault="00351A42" w:rsidP="00A50D8D">
      <w:pPr>
        <w:pStyle w:val="FootnoteText"/>
        <w:rPr>
          <w:sz w:val="16"/>
          <w:szCs w:val="16"/>
        </w:rPr>
      </w:pPr>
      <w:r w:rsidRPr="00084933">
        <w:rPr>
          <w:rStyle w:val="FootnoteReference"/>
          <w:sz w:val="16"/>
          <w:szCs w:val="16"/>
        </w:rPr>
        <w:footnoteRef/>
      </w:r>
      <w:r w:rsidRPr="00084933">
        <w:rPr>
          <w:sz w:val="16"/>
          <w:szCs w:val="16"/>
        </w:rPr>
        <w:t xml:space="preserve"> All data is drawn from the Review of Illegal offshore Wagering Report unless otherwise stated</w:t>
      </w:r>
    </w:p>
  </w:footnote>
  <w:footnote w:id="3">
    <w:p w:rsidR="00351A42" w:rsidRPr="00084933" w:rsidRDefault="00351A42" w:rsidP="00E26233">
      <w:pPr>
        <w:pStyle w:val="FootnoteText"/>
        <w:rPr>
          <w:sz w:val="16"/>
          <w:szCs w:val="16"/>
        </w:rPr>
      </w:pPr>
      <w:r w:rsidRPr="00084933">
        <w:rPr>
          <w:rStyle w:val="FootnoteReference"/>
          <w:sz w:val="16"/>
          <w:szCs w:val="16"/>
        </w:rPr>
        <w:footnoteRef/>
      </w:r>
      <w:r w:rsidRPr="00084933">
        <w:rPr>
          <w:sz w:val="16"/>
          <w:szCs w:val="16"/>
        </w:rPr>
        <w:t xml:space="preserve"> Victorian Government submission to the Illegal Offshore Wagering Review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AFF"/>
    <w:multiLevelType w:val="hybridMultilevel"/>
    <w:tmpl w:val="F99C9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1725CA"/>
    <w:multiLevelType w:val="hybridMultilevel"/>
    <w:tmpl w:val="57409C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14202F"/>
    <w:multiLevelType w:val="hybridMultilevel"/>
    <w:tmpl w:val="D5C6A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1A3E81"/>
    <w:multiLevelType w:val="hybridMultilevel"/>
    <w:tmpl w:val="3D869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335CD2"/>
    <w:multiLevelType w:val="multilevel"/>
    <w:tmpl w:val="43FCA82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16212021"/>
    <w:multiLevelType w:val="hybridMultilevel"/>
    <w:tmpl w:val="2116C4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6B95C50"/>
    <w:multiLevelType w:val="hybridMultilevel"/>
    <w:tmpl w:val="A87C1C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18691F5E"/>
    <w:multiLevelType w:val="hybridMultilevel"/>
    <w:tmpl w:val="1340C01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6530FE"/>
    <w:multiLevelType w:val="hybridMultilevel"/>
    <w:tmpl w:val="52482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993741"/>
    <w:multiLevelType w:val="hybridMultilevel"/>
    <w:tmpl w:val="D48A3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E36668"/>
    <w:multiLevelType w:val="hybridMultilevel"/>
    <w:tmpl w:val="33106E9A"/>
    <w:lvl w:ilvl="0" w:tplc="9190EB4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1350C4"/>
    <w:multiLevelType w:val="hybridMultilevel"/>
    <w:tmpl w:val="696A6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F50A17"/>
    <w:multiLevelType w:val="hybridMultilevel"/>
    <w:tmpl w:val="B18CB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A5943E2"/>
    <w:multiLevelType w:val="hybridMultilevel"/>
    <w:tmpl w:val="EC6A680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4">
    <w:nsid w:val="2E386466"/>
    <w:multiLevelType w:val="hybridMultilevel"/>
    <w:tmpl w:val="E5268892"/>
    <w:lvl w:ilvl="0" w:tplc="0C090001">
      <w:start w:val="1"/>
      <w:numFmt w:val="bullet"/>
      <w:lvlText w:val=""/>
      <w:lvlJc w:val="left"/>
      <w:pPr>
        <w:ind w:left="901" w:hanging="360"/>
      </w:pPr>
      <w:rPr>
        <w:rFonts w:ascii="Symbol" w:hAnsi="Symbol" w:hint="default"/>
      </w:rPr>
    </w:lvl>
    <w:lvl w:ilvl="1" w:tplc="0C090003">
      <w:start w:val="1"/>
      <w:numFmt w:val="bullet"/>
      <w:lvlText w:val="o"/>
      <w:lvlJc w:val="left"/>
      <w:pPr>
        <w:ind w:left="1621" w:hanging="360"/>
      </w:pPr>
      <w:rPr>
        <w:rFonts w:ascii="Courier New" w:hAnsi="Courier New" w:cs="Courier New" w:hint="default"/>
      </w:rPr>
    </w:lvl>
    <w:lvl w:ilvl="2" w:tplc="0C090005">
      <w:start w:val="1"/>
      <w:numFmt w:val="bullet"/>
      <w:lvlText w:val=""/>
      <w:lvlJc w:val="left"/>
      <w:pPr>
        <w:ind w:left="2341" w:hanging="360"/>
      </w:pPr>
      <w:rPr>
        <w:rFonts w:ascii="Wingdings" w:hAnsi="Wingdings" w:hint="default"/>
      </w:rPr>
    </w:lvl>
    <w:lvl w:ilvl="3" w:tplc="0C090001" w:tentative="1">
      <w:start w:val="1"/>
      <w:numFmt w:val="bullet"/>
      <w:lvlText w:val=""/>
      <w:lvlJc w:val="left"/>
      <w:pPr>
        <w:ind w:left="3061" w:hanging="360"/>
      </w:pPr>
      <w:rPr>
        <w:rFonts w:ascii="Symbol" w:hAnsi="Symbol" w:hint="default"/>
      </w:rPr>
    </w:lvl>
    <w:lvl w:ilvl="4" w:tplc="0C090003" w:tentative="1">
      <w:start w:val="1"/>
      <w:numFmt w:val="bullet"/>
      <w:lvlText w:val="o"/>
      <w:lvlJc w:val="left"/>
      <w:pPr>
        <w:ind w:left="3781" w:hanging="360"/>
      </w:pPr>
      <w:rPr>
        <w:rFonts w:ascii="Courier New" w:hAnsi="Courier New" w:cs="Courier New" w:hint="default"/>
      </w:rPr>
    </w:lvl>
    <w:lvl w:ilvl="5" w:tplc="0C090005" w:tentative="1">
      <w:start w:val="1"/>
      <w:numFmt w:val="bullet"/>
      <w:lvlText w:val=""/>
      <w:lvlJc w:val="left"/>
      <w:pPr>
        <w:ind w:left="4501" w:hanging="360"/>
      </w:pPr>
      <w:rPr>
        <w:rFonts w:ascii="Wingdings" w:hAnsi="Wingdings" w:hint="default"/>
      </w:rPr>
    </w:lvl>
    <w:lvl w:ilvl="6" w:tplc="0C090001" w:tentative="1">
      <w:start w:val="1"/>
      <w:numFmt w:val="bullet"/>
      <w:lvlText w:val=""/>
      <w:lvlJc w:val="left"/>
      <w:pPr>
        <w:ind w:left="5221" w:hanging="360"/>
      </w:pPr>
      <w:rPr>
        <w:rFonts w:ascii="Symbol" w:hAnsi="Symbol" w:hint="default"/>
      </w:rPr>
    </w:lvl>
    <w:lvl w:ilvl="7" w:tplc="0C090003" w:tentative="1">
      <w:start w:val="1"/>
      <w:numFmt w:val="bullet"/>
      <w:lvlText w:val="o"/>
      <w:lvlJc w:val="left"/>
      <w:pPr>
        <w:ind w:left="5941" w:hanging="360"/>
      </w:pPr>
      <w:rPr>
        <w:rFonts w:ascii="Courier New" w:hAnsi="Courier New" w:cs="Courier New" w:hint="default"/>
      </w:rPr>
    </w:lvl>
    <w:lvl w:ilvl="8" w:tplc="0C090005" w:tentative="1">
      <w:start w:val="1"/>
      <w:numFmt w:val="bullet"/>
      <w:lvlText w:val=""/>
      <w:lvlJc w:val="left"/>
      <w:pPr>
        <w:ind w:left="6661" w:hanging="360"/>
      </w:pPr>
      <w:rPr>
        <w:rFonts w:ascii="Wingdings" w:hAnsi="Wingdings" w:hint="default"/>
      </w:rPr>
    </w:lvl>
  </w:abstractNum>
  <w:abstractNum w:abstractNumId="15">
    <w:nsid w:val="3D2B6B71"/>
    <w:multiLevelType w:val="hybridMultilevel"/>
    <w:tmpl w:val="52A61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69D293B"/>
    <w:multiLevelType w:val="hybridMultilevel"/>
    <w:tmpl w:val="A97A2590"/>
    <w:lvl w:ilvl="0" w:tplc="F578A63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B0664E"/>
    <w:multiLevelType w:val="hybridMultilevel"/>
    <w:tmpl w:val="CB344862"/>
    <w:lvl w:ilvl="0" w:tplc="4D9234D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E62FD8"/>
    <w:multiLevelType w:val="hybridMultilevel"/>
    <w:tmpl w:val="4648B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E357DB"/>
    <w:multiLevelType w:val="hybridMultilevel"/>
    <w:tmpl w:val="118A266C"/>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5C9518D"/>
    <w:multiLevelType w:val="hybridMultilevel"/>
    <w:tmpl w:val="5A5AA286"/>
    <w:lvl w:ilvl="0" w:tplc="3AF4FFF8">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1">
    <w:nsid w:val="58893D1D"/>
    <w:multiLevelType w:val="hybridMultilevel"/>
    <w:tmpl w:val="94E22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7E7A34"/>
    <w:multiLevelType w:val="hybridMultilevel"/>
    <w:tmpl w:val="AA2035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599A363A"/>
    <w:multiLevelType w:val="multilevel"/>
    <w:tmpl w:val="0256118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9B947B3"/>
    <w:multiLevelType w:val="hybridMultilevel"/>
    <w:tmpl w:val="A8068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A2868AF"/>
    <w:multiLevelType w:val="hybridMultilevel"/>
    <w:tmpl w:val="953A5EC2"/>
    <w:lvl w:ilvl="0" w:tplc="A256499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D721AA7"/>
    <w:multiLevelType w:val="hybridMultilevel"/>
    <w:tmpl w:val="085C1468"/>
    <w:lvl w:ilvl="0" w:tplc="31285A9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DEB5289"/>
    <w:multiLevelType w:val="hybridMultilevel"/>
    <w:tmpl w:val="22848B5A"/>
    <w:lvl w:ilvl="0" w:tplc="0C09000F">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5FDA7F20"/>
    <w:multiLevelType w:val="hybridMultilevel"/>
    <w:tmpl w:val="9252B8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2A76584"/>
    <w:multiLevelType w:val="multilevel"/>
    <w:tmpl w:val="937A360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1F64B2"/>
    <w:multiLevelType w:val="hybridMultilevel"/>
    <w:tmpl w:val="3092A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B0C66E5"/>
    <w:multiLevelType w:val="hybridMultilevel"/>
    <w:tmpl w:val="33C45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D0C28A2"/>
    <w:multiLevelType w:val="hybridMultilevel"/>
    <w:tmpl w:val="268E5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DFA5046"/>
    <w:multiLevelType w:val="hybridMultilevel"/>
    <w:tmpl w:val="EB6E782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285440"/>
    <w:multiLevelType w:val="hybridMultilevel"/>
    <w:tmpl w:val="69F2F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nsid w:val="788E22D9"/>
    <w:multiLevelType w:val="hybridMultilevel"/>
    <w:tmpl w:val="E3480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A531B65"/>
    <w:multiLevelType w:val="hybridMultilevel"/>
    <w:tmpl w:val="B450E1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nsid w:val="7E652E04"/>
    <w:multiLevelType w:val="hybridMultilevel"/>
    <w:tmpl w:val="75FCC6D8"/>
    <w:lvl w:ilvl="0" w:tplc="D2489FE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22"/>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2"/>
  </w:num>
  <w:num w:numId="6">
    <w:abstractNumId w:val="5"/>
  </w:num>
  <w:num w:numId="7">
    <w:abstractNumId w:val="15"/>
  </w:num>
  <w:num w:numId="8">
    <w:abstractNumId w:val="24"/>
  </w:num>
  <w:num w:numId="9">
    <w:abstractNumId w:val="17"/>
  </w:num>
  <w:num w:numId="10">
    <w:abstractNumId w:val="10"/>
  </w:num>
  <w:num w:numId="11">
    <w:abstractNumId w:val="8"/>
  </w:num>
  <w:num w:numId="12">
    <w:abstractNumId w:val="3"/>
  </w:num>
  <w:num w:numId="13">
    <w:abstractNumId w:val="9"/>
  </w:num>
  <w:num w:numId="14">
    <w:abstractNumId w:val="14"/>
  </w:num>
  <w:num w:numId="15">
    <w:abstractNumId w:val="23"/>
  </w:num>
  <w:num w:numId="16">
    <w:abstractNumId w:val="29"/>
  </w:num>
  <w:num w:numId="17">
    <w:abstractNumId w:val="2"/>
  </w:num>
  <w:num w:numId="18">
    <w:abstractNumId w:val="32"/>
  </w:num>
  <w:num w:numId="19">
    <w:abstractNumId w:val="31"/>
  </w:num>
  <w:num w:numId="20">
    <w:abstractNumId w:val="20"/>
  </w:num>
  <w:num w:numId="21">
    <w:abstractNumId w:val="13"/>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6"/>
  </w:num>
  <w:num w:numId="29">
    <w:abstractNumId w:val="35"/>
  </w:num>
  <w:num w:numId="30">
    <w:abstractNumId w:val="37"/>
  </w:num>
  <w:num w:numId="31">
    <w:abstractNumId w:val="19"/>
  </w:num>
  <w:num w:numId="32">
    <w:abstractNumId w:val="27"/>
  </w:num>
  <w:num w:numId="33">
    <w:abstractNumId w:val="0"/>
  </w:num>
  <w:num w:numId="34">
    <w:abstractNumId w:val="4"/>
  </w:num>
  <w:num w:numId="35">
    <w:abstractNumId w:val="33"/>
  </w:num>
  <w:num w:numId="36">
    <w:abstractNumId w:val="18"/>
  </w:num>
  <w:num w:numId="37">
    <w:abstractNumId w:val="21"/>
  </w:num>
  <w:num w:numId="38">
    <w:abstractNumId w:val="7"/>
  </w:num>
  <w:num w:numId="39">
    <w:abstractNumId w:val="34"/>
  </w:num>
  <w:num w:numId="40">
    <w:abstractNumId w:val="28"/>
  </w:num>
  <w:num w:numId="41">
    <w:abstractNumId w:val="26"/>
  </w:num>
  <w:num w:numId="4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wton, Jared">
    <w15:presenceInfo w15:providerId="None" w15:userId="Newton, Jar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104"/>
    <w:rsid w:val="000033B0"/>
    <w:rsid w:val="000035DB"/>
    <w:rsid w:val="00005A90"/>
    <w:rsid w:val="000070B1"/>
    <w:rsid w:val="000219CA"/>
    <w:rsid w:val="00021C40"/>
    <w:rsid w:val="00022256"/>
    <w:rsid w:val="000235EC"/>
    <w:rsid w:val="00026998"/>
    <w:rsid w:val="000276AD"/>
    <w:rsid w:val="00031985"/>
    <w:rsid w:val="00031C59"/>
    <w:rsid w:val="000420AA"/>
    <w:rsid w:val="000449D7"/>
    <w:rsid w:val="00045E18"/>
    <w:rsid w:val="00052B5C"/>
    <w:rsid w:val="00052DA4"/>
    <w:rsid w:val="00053BDA"/>
    <w:rsid w:val="00054FDF"/>
    <w:rsid w:val="00057C94"/>
    <w:rsid w:val="000608BE"/>
    <w:rsid w:val="00061694"/>
    <w:rsid w:val="00064DFE"/>
    <w:rsid w:val="000705D6"/>
    <w:rsid w:val="000711DF"/>
    <w:rsid w:val="000752C1"/>
    <w:rsid w:val="0007688C"/>
    <w:rsid w:val="00080DD6"/>
    <w:rsid w:val="00082C24"/>
    <w:rsid w:val="00085281"/>
    <w:rsid w:val="00091525"/>
    <w:rsid w:val="000959AC"/>
    <w:rsid w:val="000A4014"/>
    <w:rsid w:val="000A5CF2"/>
    <w:rsid w:val="000B38EC"/>
    <w:rsid w:val="000B41FD"/>
    <w:rsid w:val="000C48C5"/>
    <w:rsid w:val="000D120B"/>
    <w:rsid w:val="000D57C6"/>
    <w:rsid w:val="000E1A9E"/>
    <w:rsid w:val="000E20D1"/>
    <w:rsid w:val="000E36E4"/>
    <w:rsid w:val="000F0B98"/>
    <w:rsid w:val="000F0CC2"/>
    <w:rsid w:val="000F26E4"/>
    <w:rsid w:val="000F4216"/>
    <w:rsid w:val="000F622E"/>
    <w:rsid w:val="000F6944"/>
    <w:rsid w:val="00101647"/>
    <w:rsid w:val="001056A5"/>
    <w:rsid w:val="00107EF7"/>
    <w:rsid w:val="00113C34"/>
    <w:rsid w:val="00121F6B"/>
    <w:rsid w:val="00122E33"/>
    <w:rsid w:val="00126305"/>
    <w:rsid w:val="0012631F"/>
    <w:rsid w:val="001420F1"/>
    <w:rsid w:val="001450D8"/>
    <w:rsid w:val="001453FD"/>
    <w:rsid w:val="001511DA"/>
    <w:rsid w:val="001534D8"/>
    <w:rsid w:val="00157FDB"/>
    <w:rsid w:val="0016029E"/>
    <w:rsid w:val="00160D74"/>
    <w:rsid w:val="001614E0"/>
    <w:rsid w:val="00161A79"/>
    <w:rsid w:val="00166B52"/>
    <w:rsid w:val="001812D0"/>
    <w:rsid w:val="00187DD7"/>
    <w:rsid w:val="001969A2"/>
    <w:rsid w:val="001A7DCB"/>
    <w:rsid w:val="001B2457"/>
    <w:rsid w:val="001B4045"/>
    <w:rsid w:val="001C1CED"/>
    <w:rsid w:val="001C38B4"/>
    <w:rsid w:val="001C6F08"/>
    <w:rsid w:val="001C72AF"/>
    <w:rsid w:val="001D43AE"/>
    <w:rsid w:val="001E14AB"/>
    <w:rsid w:val="001E5F3E"/>
    <w:rsid w:val="001E630D"/>
    <w:rsid w:val="001E7E77"/>
    <w:rsid w:val="001F370A"/>
    <w:rsid w:val="001F5D72"/>
    <w:rsid w:val="002047C8"/>
    <w:rsid w:val="00216A76"/>
    <w:rsid w:val="00217BED"/>
    <w:rsid w:val="002202EB"/>
    <w:rsid w:val="0022109C"/>
    <w:rsid w:val="00225218"/>
    <w:rsid w:val="00225962"/>
    <w:rsid w:val="002272EF"/>
    <w:rsid w:val="0023244D"/>
    <w:rsid w:val="00232579"/>
    <w:rsid w:val="00233E7F"/>
    <w:rsid w:val="00234593"/>
    <w:rsid w:val="0023707A"/>
    <w:rsid w:val="002376CB"/>
    <w:rsid w:val="00245F3B"/>
    <w:rsid w:val="002463F6"/>
    <w:rsid w:val="00256241"/>
    <w:rsid w:val="002600A9"/>
    <w:rsid w:val="0026054B"/>
    <w:rsid w:val="002631AC"/>
    <w:rsid w:val="00263975"/>
    <w:rsid w:val="00266C59"/>
    <w:rsid w:val="00273490"/>
    <w:rsid w:val="00274A10"/>
    <w:rsid w:val="0027500C"/>
    <w:rsid w:val="002756C8"/>
    <w:rsid w:val="002764AB"/>
    <w:rsid w:val="00277621"/>
    <w:rsid w:val="00280ACE"/>
    <w:rsid w:val="0028230E"/>
    <w:rsid w:val="00285BE7"/>
    <w:rsid w:val="002A497D"/>
    <w:rsid w:val="002A6FDE"/>
    <w:rsid w:val="002B0BE0"/>
    <w:rsid w:val="002B1568"/>
    <w:rsid w:val="002B4F6B"/>
    <w:rsid w:val="002B630E"/>
    <w:rsid w:val="002C530E"/>
    <w:rsid w:val="002D0A1E"/>
    <w:rsid w:val="002D1378"/>
    <w:rsid w:val="002D19DA"/>
    <w:rsid w:val="002D2269"/>
    <w:rsid w:val="002D23E6"/>
    <w:rsid w:val="002D5086"/>
    <w:rsid w:val="002D6BD1"/>
    <w:rsid w:val="002E1246"/>
    <w:rsid w:val="002E2DAB"/>
    <w:rsid w:val="002E3CB2"/>
    <w:rsid w:val="002E65E6"/>
    <w:rsid w:val="002F1EBF"/>
    <w:rsid w:val="002F328C"/>
    <w:rsid w:val="002F3896"/>
    <w:rsid w:val="003019CE"/>
    <w:rsid w:val="0030384D"/>
    <w:rsid w:val="00314BF1"/>
    <w:rsid w:val="00320FA2"/>
    <w:rsid w:val="003226CC"/>
    <w:rsid w:val="00324B0E"/>
    <w:rsid w:val="003264FA"/>
    <w:rsid w:val="0033013F"/>
    <w:rsid w:val="00331A85"/>
    <w:rsid w:val="00343743"/>
    <w:rsid w:val="003437DE"/>
    <w:rsid w:val="00343E6E"/>
    <w:rsid w:val="00351A42"/>
    <w:rsid w:val="00363DE6"/>
    <w:rsid w:val="00372934"/>
    <w:rsid w:val="00373DCE"/>
    <w:rsid w:val="003746C7"/>
    <w:rsid w:val="003814E3"/>
    <w:rsid w:val="0038746B"/>
    <w:rsid w:val="00391511"/>
    <w:rsid w:val="003A05C2"/>
    <w:rsid w:val="003A15AA"/>
    <w:rsid w:val="003A5689"/>
    <w:rsid w:val="003B11C0"/>
    <w:rsid w:val="003B2086"/>
    <w:rsid w:val="003B2BB8"/>
    <w:rsid w:val="003B2F36"/>
    <w:rsid w:val="003B6698"/>
    <w:rsid w:val="003C0DD9"/>
    <w:rsid w:val="003D28B8"/>
    <w:rsid w:val="003D34FF"/>
    <w:rsid w:val="003D3BDA"/>
    <w:rsid w:val="003D76F9"/>
    <w:rsid w:val="003E1086"/>
    <w:rsid w:val="003E2B0E"/>
    <w:rsid w:val="003F7CD9"/>
    <w:rsid w:val="00400BD7"/>
    <w:rsid w:val="004012A7"/>
    <w:rsid w:val="00401E47"/>
    <w:rsid w:val="00402D03"/>
    <w:rsid w:val="00403245"/>
    <w:rsid w:val="00412AEB"/>
    <w:rsid w:val="00412D3A"/>
    <w:rsid w:val="00413811"/>
    <w:rsid w:val="00415E2C"/>
    <w:rsid w:val="00421DBD"/>
    <w:rsid w:val="004263DF"/>
    <w:rsid w:val="00432B3D"/>
    <w:rsid w:val="00433FBE"/>
    <w:rsid w:val="00435142"/>
    <w:rsid w:val="00440708"/>
    <w:rsid w:val="004410F4"/>
    <w:rsid w:val="00443773"/>
    <w:rsid w:val="00447064"/>
    <w:rsid w:val="00452FC9"/>
    <w:rsid w:val="00454B5C"/>
    <w:rsid w:val="00456FBA"/>
    <w:rsid w:val="004658EF"/>
    <w:rsid w:val="00467C44"/>
    <w:rsid w:val="00472F55"/>
    <w:rsid w:val="00480A32"/>
    <w:rsid w:val="00481D1A"/>
    <w:rsid w:val="00485CE7"/>
    <w:rsid w:val="00485E70"/>
    <w:rsid w:val="00486DDE"/>
    <w:rsid w:val="00492D43"/>
    <w:rsid w:val="0049510C"/>
    <w:rsid w:val="00497FF7"/>
    <w:rsid w:val="004A29A2"/>
    <w:rsid w:val="004A6F79"/>
    <w:rsid w:val="004B0C19"/>
    <w:rsid w:val="004B3120"/>
    <w:rsid w:val="004B54CA"/>
    <w:rsid w:val="004C05D6"/>
    <w:rsid w:val="004C0C8C"/>
    <w:rsid w:val="004C3271"/>
    <w:rsid w:val="004C4496"/>
    <w:rsid w:val="004C69A8"/>
    <w:rsid w:val="004D05C8"/>
    <w:rsid w:val="004E23EF"/>
    <w:rsid w:val="004E29AF"/>
    <w:rsid w:val="004E3A94"/>
    <w:rsid w:val="004E5CBF"/>
    <w:rsid w:val="004E693E"/>
    <w:rsid w:val="004F16A7"/>
    <w:rsid w:val="004F4DD7"/>
    <w:rsid w:val="004F6486"/>
    <w:rsid w:val="004F7A34"/>
    <w:rsid w:val="0050458D"/>
    <w:rsid w:val="00504ED9"/>
    <w:rsid w:val="00505602"/>
    <w:rsid w:val="00510D16"/>
    <w:rsid w:val="00512421"/>
    <w:rsid w:val="00514A6C"/>
    <w:rsid w:val="005153E8"/>
    <w:rsid w:val="00520831"/>
    <w:rsid w:val="00521D8A"/>
    <w:rsid w:val="00522642"/>
    <w:rsid w:val="0052762C"/>
    <w:rsid w:val="0053071B"/>
    <w:rsid w:val="00532C20"/>
    <w:rsid w:val="00533B46"/>
    <w:rsid w:val="0053550D"/>
    <w:rsid w:val="0053615B"/>
    <w:rsid w:val="00546A82"/>
    <w:rsid w:val="0054763D"/>
    <w:rsid w:val="0055123F"/>
    <w:rsid w:val="0055462D"/>
    <w:rsid w:val="00560D3F"/>
    <w:rsid w:val="00560D9D"/>
    <w:rsid w:val="00565581"/>
    <w:rsid w:val="005669EB"/>
    <w:rsid w:val="005708A4"/>
    <w:rsid w:val="005735C2"/>
    <w:rsid w:val="0057714D"/>
    <w:rsid w:val="00581B18"/>
    <w:rsid w:val="00586DFE"/>
    <w:rsid w:val="00587DE8"/>
    <w:rsid w:val="00592823"/>
    <w:rsid w:val="0059406E"/>
    <w:rsid w:val="00594CA5"/>
    <w:rsid w:val="005957BD"/>
    <w:rsid w:val="005A0747"/>
    <w:rsid w:val="005A565A"/>
    <w:rsid w:val="005A5947"/>
    <w:rsid w:val="005A6143"/>
    <w:rsid w:val="005A6DDD"/>
    <w:rsid w:val="005B247D"/>
    <w:rsid w:val="005B3285"/>
    <w:rsid w:val="005C034C"/>
    <w:rsid w:val="005C07F4"/>
    <w:rsid w:val="005C30B5"/>
    <w:rsid w:val="005C3AA9"/>
    <w:rsid w:val="005E5193"/>
    <w:rsid w:val="005E7EA1"/>
    <w:rsid w:val="005F57FF"/>
    <w:rsid w:val="00603123"/>
    <w:rsid w:val="00605A23"/>
    <w:rsid w:val="00610A96"/>
    <w:rsid w:val="0061376F"/>
    <w:rsid w:val="00615D8F"/>
    <w:rsid w:val="00621356"/>
    <w:rsid w:val="00621762"/>
    <w:rsid w:val="0062740E"/>
    <w:rsid w:val="00630674"/>
    <w:rsid w:val="006309A7"/>
    <w:rsid w:val="00644675"/>
    <w:rsid w:val="0064493B"/>
    <w:rsid w:val="0065048C"/>
    <w:rsid w:val="006534A5"/>
    <w:rsid w:val="00654B05"/>
    <w:rsid w:val="00657A90"/>
    <w:rsid w:val="00657BDE"/>
    <w:rsid w:val="00657BE9"/>
    <w:rsid w:val="00663444"/>
    <w:rsid w:val="00666AF7"/>
    <w:rsid w:val="00672D74"/>
    <w:rsid w:val="00674CBC"/>
    <w:rsid w:val="00676289"/>
    <w:rsid w:val="00683FEB"/>
    <w:rsid w:val="00684331"/>
    <w:rsid w:val="00684C1C"/>
    <w:rsid w:val="0069208B"/>
    <w:rsid w:val="00693C80"/>
    <w:rsid w:val="00697E57"/>
    <w:rsid w:val="006A04C4"/>
    <w:rsid w:val="006A4CE7"/>
    <w:rsid w:val="006A6508"/>
    <w:rsid w:val="006B6415"/>
    <w:rsid w:val="006C7BE7"/>
    <w:rsid w:val="006D26B3"/>
    <w:rsid w:val="006E2441"/>
    <w:rsid w:val="006E2B79"/>
    <w:rsid w:val="006F0D61"/>
    <w:rsid w:val="006F66CD"/>
    <w:rsid w:val="006F70CD"/>
    <w:rsid w:val="0070179F"/>
    <w:rsid w:val="00705485"/>
    <w:rsid w:val="00714A75"/>
    <w:rsid w:val="00716305"/>
    <w:rsid w:val="00726633"/>
    <w:rsid w:val="007305B2"/>
    <w:rsid w:val="00734087"/>
    <w:rsid w:val="00734C77"/>
    <w:rsid w:val="007351BD"/>
    <w:rsid w:val="00737744"/>
    <w:rsid w:val="0074258C"/>
    <w:rsid w:val="00743147"/>
    <w:rsid w:val="0074489F"/>
    <w:rsid w:val="00760A16"/>
    <w:rsid w:val="007666FC"/>
    <w:rsid w:val="007679A0"/>
    <w:rsid w:val="00767FDC"/>
    <w:rsid w:val="00770013"/>
    <w:rsid w:val="00770064"/>
    <w:rsid w:val="00770410"/>
    <w:rsid w:val="00770B19"/>
    <w:rsid w:val="00782043"/>
    <w:rsid w:val="00785261"/>
    <w:rsid w:val="00787F83"/>
    <w:rsid w:val="00796745"/>
    <w:rsid w:val="007A1E16"/>
    <w:rsid w:val="007A4114"/>
    <w:rsid w:val="007B0256"/>
    <w:rsid w:val="007B094E"/>
    <w:rsid w:val="007B2ED2"/>
    <w:rsid w:val="007B34AA"/>
    <w:rsid w:val="007B5ED9"/>
    <w:rsid w:val="007B683A"/>
    <w:rsid w:val="007C09A0"/>
    <w:rsid w:val="007C1E0A"/>
    <w:rsid w:val="007C5E4B"/>
    <w:rsid w:val="007D095A"/>
    <w:rsid w:val="007D15B0"/>
    <w:rsid w:val="007E2691"/>
    <w:rsid w:val="007E4429"/>
    <w:rsid w:val="007E52F6"/>
    <w:rsid w:val="007F0045"/>
    <w:rsid w:val="007F455E"/>
    <w:rsid w:val="0080556C"/>
    <w:rsid w:val="008069F8"/>
    <w:rsid w:val="0080791C"/>
    <w:rsid w:val="00825BCC"/>
    <w:rsid w:val="00827615"/>
    <w:rsid w:val="00827655"/>
    <w:rsid w:val="00832EE2"/>
    <w:rsid w:val="00842A9F"/>
    <w:rsid w:val="00844F55"/>
    <w:rsid w:val="00846B41"/>
    <w:rsid w:val="00852B7A"/>
    <w:rsid w:val="008621F0"/>
    <w:rsid w:val="00865068"/>
    <w:rsid w:val="00871AF4"/>
    <w:rsid w:val="00880BD8"/>
    <w:rsid w:val="0089123A"/>
    <w:rsid w:val="00897A9C"/>
    <w:rsid w:val="008A2916"/>
    <w:rsid w:val="008A421B"/>
    <w:rsid w:val="008A696E"/>
    <w:rsid w:val="008B1E43"/>
    <w:rsid w:val="008C198C"/>
    <w:rsid w:val="008C41A7"/>
    <w:rsid w:val="008C4B25"/>
    <w:rsid w:val="008C701D"/>
    <w:rsid w:val="008D0584"/>
    <w:rsid w:val="008D51A0"/>
    <w:rsid w:val="008E01F1"/>
    <w:rsid w:val="008E2A56"/>
    <w:rsid w:val="008F641C"/>
    <w:rsid w:val="00902EC0"/>
    <w:rsid w:val="009039C4"/>
    <w:rsid w:val="009051ED"/>
    <w:rsid w:val="00907FE6"/>
    <w:rsid w:val="00916379"/>
    <w:rsid w:val="009175DA"/>
    <w:rsid w:val="00917806"/>
    <w:rsid w:val="00921A6C"/>
    <w:rsid w:val="009225F0"/>
    <w:rsid w:val="00923F76"/>
    <w:rsid w:val="00931612"/>
    <w:rsid w:val="0093296F"/>
    <w:rsid w:val="00943418"/>
    <w:rsid w:val="00943BCD"/>
    <w:rsid w:val="00946C43"/>
    <w:rsid w:val="009475CA"/>
    <w:rsid w:val="00956643"/>
    <w:rsid w:val="009569CD"/>
    <w:rsid w:val="00970C00"/>
    <w:rsid w:val="00972591"/>
    <w:rsid w:val="0097270B"/>
    <w:rsid w:val="009734B4"/>
    <w:rsid w:val="00973A0B"/>
    <w:rsid w:val="00973CA2"/>
    <w:rsid w:val="0097749A"/>
    <w:rsid w:val="009823E8"/>
    <w:rsid w:val="00982D11"/>
    <w:rsid w:val="00987710"/>
    <w:rsid w:val="009904E9"/>
    <w:rsid w:val="009949B0"/>
    <w:rsid w:val="00995BB9"/>
    <w:rsid w:val="00996BFB"/>
    <w:rsid w:val="0099780E"/>
    <w:rsid w:val="009B0C60"/>
    <w:rsid w:val="009B1575"/>
    <w:rsid w:val="009B53A2"/>
    <w:rsid w:val="009C37AD"/>
    <w:rsid w:val="009C7C1A"/>
    <w:rsid w:val="009D644E"/>
    <w:rsid w:val="009D7607"/>
    <w:rsid w:val="009E643B"/>
    <w:rsid w:val="009F1E93"/>
    <w:rsid w:val="009F6D94"/>
    <w:rsid w:val="00A0184B"/>
    <w:rsid w:val="00A02A25"/>
    <w:rsid w:val="00A043C4"/>
    <w:rsid w:val="00A06104"/>
    <w:rsid w:val="00A136E0"/>
    <w:rsid w:val="00A17B31"/>
    <w:rsid w:val="00A20234"/>
    <w:rsid w:val="00A20695"/>
    <w:rsid w:val="00A20870"/>
    <w:rsid w:val="00A20B58"/>
    <w:rsid w:val="00A2185C"/>
    <w:rsid w:val="00A2797C"/>
    <w:rsid w:val="00A44BE9"/>
    <w:rsid w:val="00A45707"/>
    <w:rsid w:val="00A50D8D"/>
    <w:rsid w:val="00A54115"/>
    <w:rsid w:val="00A57DF0"/>
    <w:rsid w:val="00A62242"/>
    <w:rsid w:val="00A800EF"/>
    <w:rsid w:val="00A821CE"/>
    <w:rsid w:val="00A85959"/>
    <w:rsid w:val="00A85AA1"/>
    <w:rsid w:val="00A871FA"/>
    <w:rsid w:val="00A87689"/>
    <w:rsid w:val="00A87C31"/>
    <w:rsid w:val="00A90963"/>
    <w:rsid w:val="00A90D4A"/>
    <w:rsid w:val="00A90D54"/>
    <w:rsid w:val="00A91F06"/>
    <w:rsid w:val="00A9355E"/>
    <w:rsid w:val="00A9794C"/>
    <w:rsid w:val="00AA5025"/>
    <w:rsid w:val="00AA67D3"/>
    <w:rsid w:val="00AB1919"/>
    <w:rsid w:val="00AB33F5"/>
    <w:rsid w:val="00AB373E"/>
    <w:rsid w:val="00AB3B4D"/>
    <w:rsid w:val="00AC059B"/>
    <w:rsid w:val="00AC0B77"/>
    <w:rsid w:val="00AC67B9"/>
    <w:rsid w:val="00AC69F2"/>
    <w:rsid w:val="00AD25F3"/>
    <w:rsid w:val="00AE1106"/>
    <w:rsid w:val="00AE2333"/>
    <w:rsid w:val="00AF0661"/>
    <w:rsid w:val="00AF36C4"/>
    <w:rsid w:val="00B024FA"/>
    <w:rsid w:val="00B06FAD"/>
    <w:rsid w:val="00B07538"/>
    <w:rsid w:val="00B1017C"/>
    <w:rsid w:val="00B10ACA"/>
    <w:rsid w:val="00B11F31"/>
    <w:rsid w:val="00B15F64"/>
    <w:rsid w:val="00B31454"/>
    <w:rsid w:val="00B32FBB"/>
    <w:rsid w:val="00B35B5F"/>
    <w:rsid w:val="00B3738A"/>
    <w:rsid w:val="00B445B5"/>
    <w:rsid w:val="00B4712D"/>
    <w:rsid w:val="00B51E3B"/>
    <w:rsid w:val="00B51FC4"/>
    <w:rsid w:val="00B53918"/>
    <w:rsid w:val="00B54F2B"/>
    <w:rsid w:val="00B634F3"/>
    <w:rsid w:val="00B70664"/>
    <w:rsid w:val="00B70F47"/>
    <w:rsid w:val="00B71450"/>
    <w:rsid w:val="00B7176A"/>
    <w:rsid w:val="00B75FDF"/>
    <w:rsid w:val="00B77738"/>
    <w:rsid w:val="00B84227"/>
    <w:rsid w:val="00B87D07"/>
    <w:rsid w:val="00B9397B"/>
    <w:rsid w:val="00BA2DB9"/>
    <w:rsid w:val="00BB020F"/>
    <w:rsid w:val="00BC011E"/>
    <w:rsid w:val="00BC69A9"/>
    <w:rsid w:val="00BD055F"/>
    <w:rsid w:val="00BE17D9"/>
    <w:rsid w:val="00BE18E4"/>
    <w:rsid w:val="00BE1931"/>
    <w:rsid w:val="00BE6B3C"/>
    <w:rsid w:val="00BE7148"/>
    <w:rsid w:val="00BE798F"/>
    <w:rsid w:val="00BF286F"/>
    <w:rsid w:val="00C05CE6"/>
    <w:rsid w:val="00C07CC3"/>
    <w:rsid w:val="00C122BA"/>
    <w:rsid w:val="00C12F23"/>
    <w:rsid w:val="00C148F5"/>
    <w:rsid w:val="00C17436"/>
    <w:rsid w:val="00C202D3"/>
    <w:rsid w:val="00C24681"/>
    <w:rsid w:val="00C26830"/>
    <w:rsid w:val="00C3375F"/>
    <w:rsid w:val="00C36F79"/>
    <w:rsid w:val="00C4284E"/>
    <w:rsid w:val="00C45455"/>
    <w:rsid w:val="00C505DF"/>
    <w:rsid w:val="00C51FFB"/>
    <w:rsid w:val="00C56C95"/>
    <w:rsid w:val="00C61CEB"/>
    <w:rsid w:val="00C66E10"/>
    <w:rsid w:val="00C706B9"/>
    <w:rsid w:val="00C74A0C"/>
    <w:rsid w:val="00C8062A"/>
    <w:rsid w:val="00C81231"/>
    <w:rsid w:val="00C8174E"/>
    <w:rsid w:val="00C83350"/>
    <w:rsid w:val="00C859D6"/>
    <w:rsid w:val="00C87B8B"/>
    <w:rsid w:val="00C92642"/>
    <w:rsid w:val="00C92BDE"/>
    <w:rsid w:val="00C964C9"/>
    <w:rsid w:val="00CA09B0"/>
    <w:rsid w:val="00CA278A"/>
    <w:rsid w:val="00CA6843"/>
    <w:rsid w:val="00CB0727"/>
    <w:rsid w:val="00CB15C1"/>
    <w:rsid w:val="00CC2315"/>
    <w:rsid w:val="00CC73F7"/>
    <w:rsid w:val="00CC759F"/>
    <w:rsid w:val="00CD7A2D"/>
    <w:rsid w:val="00CE026E"/>
    <w:rsid w:val="00CE6F87"/>
    <w:rsid w:val="00CF0418"/>
    <w:rsid w:val="00CF3597"/>
    <w:rsid w:val="00CF4457"/>
    <w:rsid w:val="00CF4A1C"/>
    <w:rsid w:val="00CF62FD"/>
    <w:rsid w:val="00CF64B4"/>
    <w:rsid w:val="00D031B6"/>
    <w:rsid w:val="00D054BD"/>
    <w:rsid w:val="00D07A73"/>
    <w:rsid w:val="00D11348"/>
    <w:rsid w:val="00D123EF"/>
    <w:rsid w:val="00D15F6A"/>
    <w:rsid w:val="00D16C5A"/>
    <w:rsid w:val="00D2213B"/>
    <w:rsid w:val="00D2474A"/>
    <w:rsid w:val="00D27063"/>
    <w:rsid w:val="00D301D3"/>
    <w:rsid w:val="00D34E37"/>
    <w:rsid w:val="00D37904"/>
    <w:rsid w:val="00D37F04"/>
    <w:rsid w:val="00D70EBA"/>
    <w:rsid w:val="00D75711"/>
    <w:rsid w:val="00D801E5"/>
    <w:rsid w:val="00D91A32"/>
    <w:rsid w:val="00D9432D"/>
    <w:rsid w:val="00D94881"/>
    <w:rsid w:val="00D9526F"/>
    <w:rsid w:val="00D96778"/>
    <w:rsid w:val="00DC15D9"/>
    <w:rsid w:val="00DD1D57"/>
    <w:rsid w:val="00DD6F2F"/>
    <w:rsid w:val="00DE0D16"/>
    <w:rsid w:val="00DE560C"/>
    <w:rsid w:val="00DE56F1"/>
    <w:rsid w:val="00DF0C80"/>
    <w:rsid w:val="00DF4931"/>
    <w:rsid w:val="00DF6A27"/>
    <w:rsid w:val="00E02BD9"/>
    <w:rsid w:val="00E040BF"/>
    <w:rsid w:val="00E0428E"/>
    <w:rsid w:val="00E06F56"/>
    <w:rsid w:val="00E15450"/>
    <w:rsid w:val="00E1656D"/>
    <w:rsid w:val="00E1747B"/>
    <w:rsid w:val="00E235B0"/>
    <w:rsid w:val="00E247EA"/>
    <w:rsid w:val="00E25937"/>
    <w:rsid w:val="00E26233"/>
    <w:rsid w:val="00E30096"/>
    <w:rsid w:val="00E41239"/>
    <w:rsid w:val="00E4133C"/>
    <w:rsid w:val="00E44F61"/>
    <w:rsid w:val="00E56BA4"/>
    <w:rsid w:val="00E56FBE"/>
    <w:rsid w:val="00E60DB5"/>
    <w:rsid w:val="00E616F9"/>
    <w:rsid w:val="00E6189A"/>
    <w:rsid w:val="00E655F2"/>
    <w:rsid w:val="00E81606"/>
    <w:rsid w:val="00E81B81"/>
    <w:rsid w:val="00E8270F"/>
    <w:rsid w:val="00E84F21"/>
    <w:rsid w:val="00E92939"/>
    <w:rsid w:val="00E93EC3"/>
    <w:rsid w:val="00E94FF3"/>
    <w:rsid w:val="00EA0E5A"/>
    <w:rsid w:val="00EA3C5F"/>
    <w:rsid w:val="00EA732B"/>
    <w:rsid w:val="00EB1158"/>
    <w:rsid w:val="00EB52A4"/>
    <w:rsid w:val="00EB7E92"/>
    <w:rsid w:val="00EC103D"/>
    <w:rsid w:val="00EC4C3A"/>
    <w:rsid w:val="00EC7640"/>
    <w:rsid w:val="00EC7825"/>
    <w:rsid w:val="00ED3FBC"/>
    <w:rsid w:val="00ED687B"/>
    <w:rsid w:val="00EE048D"/>
    <w:rsid w:val="00EE4B5C"/>
    <w:rsid w:val="00EE6377"/>
    <w:rsid w:val="00EF0EE2"/>
    <w:rsid w:val="00EF3D58"/>
    <w:rsid w:val="00EF6F11"/>
    <w:rsid w:val="00F02693"/>
    <w:rsid w:val="00F077AE"/>
    <w:rsid w:val="00F13DFA"/>
    <w:rsid w:val="00F154C6"/>
    <w:rsid w:val="00F16E59"/>
    <w:rsid w:val="00F2665D"/>
    <w:rsid w:val="00F30B56"/>
    <w:rsid w:val="00F3268E"/>
    <w:rsid w:val="00F35844"/>
    <w:rsid w:val="00F41B08"/>
    <w:rsid w:val="00F53BFD"/>
    <w:rsid w:val="00F604DC"/>
    <w:rsid w:val="00F859C3"/>
    <w:rsid w:val="00F90F6B"/>
    <w:rsid w:val="00F93D26"/>
    <w:rsid w:val="00F947AA"/>
    <w:rsid w:val="00FA1B6D"/>
    <w:rsid w:val="00FA2A23"/>
    <w:rsid w:val="00FA2EFD"/>
    <w:rsid w:val="00FA2F5A"/>
    <w:rsid w:val="00FA4A3D"/>
    <w:rsid w:val="00FA5234"/>
    <w:rsid w:val="00FA6AF5"/>
    <w:rsid w:val="00FC34F2"/>
    <w:rsid w:val="00FC4062"/>
    <w:rsid w:val="00FC63C7"/>
    <w:rsid w:val="00FD3E4A"/>
    <w:rsid w:val="00FE0EC4"/>
    <w:rsid w:val="00FE341B"/>
    <w:rsid w:val="00FE4A27"/>
    <w:rsid w:val="00FE6850"/>
    <w:rsid w:val="00FE7646"/>
    <w:rsid w:val="00FF3F78"/>
    <w:rsid w:val="00FF57E2"/>
    <w:rsid w:val="00FF632B"/>
    <w:rsid w:val="00FF7C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B08"/>
    <w:pPr>
      <w:spacing w:after="0"/>
    </w:pPr>
    <w:rPr>
      <w:sz w:val="18"/>
    </w:rPr>
  </w:style>
  <w:style w:type="paragraph" w:styleId="Heading1">
    <w:name w:val="heading 1"/>
    <w:basedOn w:val="Normal"/>
    <w:next w:val="Normal"/>
    <w:link w:val="Heading1Char"/>
    <w:uiPriority w:val="9"/>
    <w:qFormat/>
    <w:rsid w:val="009C37AD"/>
    <w:pPr>
      <w:spacing w:before="480" w:line="240" w:lineRule="auto"/>
      <w:contextualSpacing/>
      <w:jc w:val="center"/>
      <w:outlineLvl w:val="0"/>
    </w:pPr>
    <w:rPr>
      <w:rFonts w:eastAsiaTheme="majorEastAsia" w:cstheme="majorBidi"/>
      <w:b/>
      <w:bCs/>
      <w:sz w:val="56"/>
      <w:szCs w:val="28"/>
    </w:rPr>
  </w:style>
  <w:style w:type="paragraph" w:styleId="Heading2">
    <w:name w:val="heading 2"/>
    <w:basedOn w:val="Normal"/>
    <w:next w:val="Normal"/>
    <w:link w:val="Heading2Char"/>
    <w:uiPriority w:val="9"/>
    <w:unhideWhenUsed/>
    <w:qFormat/>
    <w:rsid w:val="0061376F"/>
    <w:pPr>
      <w:spacing w:before="8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61376F"/>
    <w:pPr>
      <w:spacing w:before="80" w:line="271" w:lineRule="auto"/>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9C37AD"/>
    <w:pPr>
      <w:spacing w:before="80"/>
      <w:outlineLvl w:val="4"/>
    </w:pPr>
    <w:rPr>
      <w:rFonts w:eastAsiaTheme="majorEastAsia" w:cstheme="majorBidi"/>
      <w:b/>
      <w:bCs/>
      <w:color w:val="000000" w:themeColor="text1"/>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7AD"/>
    <w:rPr>
      <w:rFonts w:eastAsiaTheme="majorEastAsia" w:cstheme="majorBidi"/>
      <w:b/>
      <w:bCs/>
      <w:sz w:val="56"/>
      <w:szCs w:val="28"/>
    </w:rPr>
  </w:style>
  <w:style w:type="character" w:customStyle="1" w:styleId="Heading2Char">
    <w:name w:val="Heading 2 Char"/>
    <w:basedOn w:val="DefaultParagraphFont"/>
    <w:link w:val="Heading2"/>
    <w:uiPriority w:val="9"/>
    <w:rsid w:val="0061376F"/>
    <w:rPr>
      <w:rFonts w:eastAsiaTheme="majorEastAsia" w:cstheme="majorBidi"/>
      <w:b/>
      <w:bCs/>
      <w:sz w:val="24"/>
      <w:szCs w:val="26"/>
    </w:rPr>
  </w:style>
  <w:style w:type="paragraph" w:styleId="NoSpacing">
    <w:name w:val="No Spacing"/>
    <w:basedOn w:val="Normal"/>
    <w:link w:val="NoSpacingChar"/>
    <w:uiPriority w:val="1"/>
    <w:qFormat/>
    <w:rsid w:val="0061376F"/>
    <w:pPr>
      <w:spacing w:before="120" w:line="240" w:lineRule="auto"/>
    </w:pPr>
    <w:rPr>
      <w:sz w:val="22"/>
    </w:rPr>
  </w:style>
  <w:style w:type="character" w:customStyle="1" w:styleId="Heading3Char">
    <w:name w:val="Heading 3 Char"/>
    <w:basedOn w:val="DefaultParagraphFont"/>
    <w:link w:val="Heading3"/>
    <w:uiPriority w:val="9"/>
    <w:rsid w:val="0061376F"/>
    <w:rPr>
      <w:rFonts w:eastAsiaTheme="majorEastAsia"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9C37AD"/>
    <w:rPr>
      <w:rFonts w:eastAsiaTheme="majorEastAsia" w:cstheme="majorBidi"/>
      <w:b/>
      <w:bCs/>
      <w:color w:val="000000" w:themeColor="text1"/>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basedOn w:val="Heading5Char"/>
    <w:uiPriority w:val="33"/>
    <w:qFormat/>
    <w:rsid w:val="00DD6F2F"/>
    <w:rPr>
      <w:rFonts w:asciiTheme="minorHAnsi" w:eastAsiaTheme="majorEastAsia" w:hAnsiTheme="minorHAnsi" w:cstheme="majorBidi"/>
      <w:b w:val="0"/>
      <w:bCs/>
      <w:i w:val="0"/>
      <w:iCs/>
      <w:smallCaps/>
      <w:color w:val="000000" w:themeColor="text1"/>
      <w:spacing w:val="5"/>
      <w:sz w:val="2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61376F"/>
  </w:style>
  <w:style w:type="character" w:customStyle="1" w:styleId="ListParagraphChar">
    <w:name w:val="List Paragraph Char"/>
    <w:link w:val="ListParagraph"/>
    <w:uiPriority w:val="34"/>
    <w:rsid w:val="00A06104"/>
    <w:rPr>
      <w:rFonts w:ascii="Arial" w:hAnsi="Arial"/>
    </w:rPr>
  </w:style>
  <w:style w:type="table" w:styleId="TableGrid">
    <w:name w:val="Table Grid"/>
    <w:basedOn w:val="TableNormal"/>
    <w:uiPriority w:val="59"/>
    <w:rsid w:val="00A06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6104"/>
    <w:pPr>
      <w:tabs>
        <w:tab w:val="center" w:pos="4513"/>
        <w:tab w:val="right" w:pos="9026"/>
      </w:tabs>
      <w:spacing w:line="240" w:lineRule="auto"/>
    </w:pPr>
  </w:style>
  <w:style w:type="character" w:customStyle="1" w:styleId="HeaderChar">
    <w:name w:val="Header Char"/>
    <w:basedOn w:val="DefaultParagraphFont"/>
    <w:link w:val="Header"/>
    <w:uiPriority w:val="99"/>
    <w:rsid w:val="00A06104"/>
    <w:rPr>
      <w:rFonts w:ascii="Arial" w:hAnsi="Arial"/>
    </w:rPr>
  </w:style>
  <w:style w:type="paragraph" w:styleId="Footer">
    <w:name w:val="footer"/>
    <w:basedOn w:val="Normal"/>
    <w:link w:val="FooterChar"/>
    <w:uiPriority w:val="99"/>
    <w:unhideWhenUsed/>
    <w:rsid w:val="00A06104"/>
    <w:pPr>
      <w:tabs>
        <w:tab w:val="center" w:pos="4513"/>
        <w:tab w:val="right" w:pos="9026"/>
      </w:tabs>
      <w:spacing w:line="240" w:lineRule="auto"/>
    </w:pPr>
  </w:style>
  <w:style w:type="character" w:customStyle="1" w:styleId="FooterChar">
    <w:name w:val="Footer Char"/>
    <w:basedOn w:val="DefaultParagraphFont"/>
    <w:link w:val="Footer"/>
    <w:uiPriority w:val="99"/>
    <w:rsid w:val="00A06104"/>
    <w:rPr>
      <w:rFonts w:ascii="Arial" w:hAnsi="Arial"/>
    </w:rPr>
  </w:style>
  <w:style w:type="paragraph" w:styleId="BalloonText">
    <w:name w:val="Balloon Text"/>
    <w:basedOn w:val="Normal"/>
    <w:link w:val="BalloonTextChar"/>
    <w:uiPriority w:val="99"/>
    <w:semiHidden/>
    <w:unhideWhenUsed/>
    <w:rsid w:val="002F32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28C"/>
    <w:rPr>
      <w:rFonts w:ascii="Tahoma" w:hAnsi="Tahoma" w:cs="Tahoma"/>
      <w:sz w:val="16"/>
      <w:szCs w:val="16"/>
    </w:rPr>
  </w:style>
  <w:style w:type="character" w:styleId="CommentReference">
    <w:name w:val="annotation reference"/>
    <w:basedOn w:val="DefaultParagraphFont"/>
    <w:uiPriority w:val="99"/>
    <w:semiHidden/>
    <w:unhideWhenUsed/>
    <w:rsid w:val="00F93D26"/>
    <w:rPr>
      <w:sz w:val="16"/>
      <w:szCs w:val="16"/>
    </w:rPr>
  </w:style>
  <w:style w:type="paragraph" w:styleId="CommentText">
    <w:name w:val="annotation text"/>
    <w:basedOn w:val="Normal"/>
    <w:link w:val="CommentTextChar"/>
    <w:uiPriority w:val="99"/>
    <w:unhideWhenUsed/>
    <w:rsid w:val="00BE18E4"/>
    <w:pPr>
      <w:spacing w:line="240" w:lineRule="auto"/>
    </w:pPr>
    <w:rPr>
      <w:sz w:val="20"/>
      <w:szCs w:val="20"/>
    </w:rPr>
  </w:style>
  <w:style w:type="character" w:customStyle="1" w:styleId="CommentTextChar">
    <w:name w:val="Comment Text Char"/>
    <w:basedOn w:val="DefaultParagraphFont"/>
    <w:link w:val="CommentText"/>
    <w:uiPriority w:val="99"/>
    <w:rsid w:val="00F93D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93D26"/>
    <w:rPr>
      <w:b/>
      <w:bCs/>
    </w:rPr>
  </w:style>
  <w:style w:type="character" w:customStyle="1" w:styleId="CommentSubjectChar">
    <w:name w:val="Comment Subject Char"/>
    <w:basedOn w:val="CommentTextChar"/>
    <w:link w:val="CommentSubject"/>
    <w:uiPriority w:val="99"/>
    <w:semiHidden/>
    <w:rsid w:val="00F93D26"/>
    <w:rPr>
      <w:rFonts w:ascii="Arial" w:hAnsi="Arial"/>
      <w:b/>
      <w:bCs/>
      <w:sz w:val="20"/>
      <w:szCs w:val="20"/>
    </w:rPr>
  </w:style>
  <w:style w:type="paragraph" w:styleId="Revision">
    <w:name w:val="Revision"/>
    <w:hidden/>
    <w:uiPriority w:val="99"/>
    <w:semiHidden/>
    <w:rsid w:val="00CB0727"/>
    <w:pPr>
      <w:spacing w:after="0" w:line="240" w:lineRule="auto"/>
    </w:pPr>
    <w:rPr>
      <w:rFonts w:ascii="Arial" w:hAnsi="Arial"/>
    </w:rPr>
  </w:style>
  <w:style w:type="paragraph" w:customStyle="1" w:styleId="Bullet">
    <w:name w:val="Bullet"/>
    <w:aliases w:val="b"/>
    <w:basedOn w:val="Normal"/>
    <w:qFormat/>
    <w:rsid w:val="004E23EF"/>
    <w:pPr>
      <w:numPr>
        <w:numId w:val="15"/>
      </w:numPr>
      <w:spacing w:before="280" w:after="200" w:line="240" w:lineRule="auto"/>
    </w:pPr>
    <w:rPr>
      <w:rFonts w:ascii="Times New Roman" w:eastAsia="Times New Roman" w:hAnsi="Times New Roman" w:cs="Times New Roman"/>
      <w:sz w:val="24"/>
      <w:szCs w:val="20"/>
      <w:lang w:eastAsia="en-AU"/>
    </w:rPr>
  </w:style>
  <w:style w:type="paragraph" w:customStyle="1" w:styleId="Dash">
    <w:name w:val="Dash"/>
    <w:basedOn w:val="Normal"/>
    <w:link w:val="DashChar"/>
    <w:qFormat/>
    <w:rsid w:val="004E23EF"/>
    <w:pPr>
      <w:numPr>
        <w:ilvl w:val="1"/>
        <w:numId w:val="15"/>
      </w:numPr>
      <w:spacing w:after="200"/>
    </w:pPr>
    <w:rPr>
      <w:rFonts w:ascii="Times New Roman" w:eastAsia="Times New Roman" w:hAnsi="Times New Roman" w:cs="Times New Roman"/>
      <w:b/>
      <w:sz w:val="24"/>
      <w:szCs w:val="24"/>
      <w:lang w:eastAsia="en-AU"/>
    </w:rPr>
  </w:style>
  <w:style w:type="character" w:customStyle="1" w:styleId="DashChar">
    <w:name w:val="Dash Char"/>
    <w:basedOn w:val="DefaultParagraphFont"/>
    <w:link w:val="Dash"/>
    <w:rsid w:val="004E23EF"/>
    <w:rPr>
      <w:rFonts w:ascii="Times New Roman" w:eastAsia="Times New Roman" w:hAnsi="Times New Roman" w:cs="Times New Roman"/>
      <w:b/>
      <w:sz w:val="24"/>
      <w:szCs w:val="24"/>
      <w:lang w:eastAsia="en-AU"/>
    </w:rPr>
  </w:style>
  <w:style w:type="paragraph" w:customStyle="1" w:styleId="DoubleDot">
    <w:name w:val="Double Dot"/>
    <w:basedOn w:val="Normal"/>
    <w:qFormat/>
    <w:rsid w:val="004E23EF"/>
    <w:pPr>
      <w:numPr>
        <w:ilvl w:val="2"/>
        <w:numId w:val="15"/>
      </w:numPr>
      <w:spacing w:after="200"/>
    </w:pPr>
    <w:rPr>
      <w:rFonts w:ascii="Times New Roman" w:eastAsia="Times New Roman" w:hAnsi="Times New Roman" w:cs="Times New Roman"/>
      <w:b/>
      <w:sz w:val="24"/>
      <w:szCs w:val="24"/>
      <w:lang w:eastAsia="en-AU"/>
    </w:rPr>
  </w:style>
  <w:style w:type="paragraph" w:styleId="FootnoteText">
    <w:name w:val="footnote text"/>
    <w:basedOn w:val="Normal"/>
    <w:link w:val="FootnoteTextChar"/>
    <w:uiPriority w:val="99"/>
    <w:unhideWhenUsed/>
    <w:rsid w:val="00456FBA"/>
    <w:pPr>
      <w:spacing w:line="240" w:lineRule="auto"/>
    </w:pPr>
    <w:rPr>
      <w:sz w:val="20"/>
      <w:szCs w:val="20"/>
    </w:rPr>
  </w:style>
  <w:style w:type="character" w:customStyle="1" w:styleId="FootnoteTextChar">
    <w:name w:val="Footnote Text Char"/>
    <w:basedOn w:val="DefaultParagraphFont"/>
    <w:link w:val="FootnoteText"/>
    <w:uiPriority w:val="99"/>
    <w:rsid w:val="00456FBA"/>
    <w:rPr>
      <w:rFonts w:ascii="Arial" w:hAnsi="Arial"/>
      <w:sz w:val="20"/>
      <w:szCs w:val="20"/>
    </w:rPr>
  </w:style>
  <w:style w:type="character" w:styleId="FootnoteReference">
    <w:name w:val="footnote reference"/>
    <w:basedOn w:val="DefaultParagraphFont"/>
    <w:uiPriority w:val="99"/>
    <w:semiHidden/>
    <w:unhideWhenUsed/>
    <w:rsid w:val="00456FBA"/>
    <w:rPr>
      <w:vertAlign w:val="superscript"/>
    </w:rPr>
  </w:style>
  <w:style w:type="paragraph" w:customStyle="1" w:styleId="RecommendationListCab">
    <w:name w:val="Recommendation List Cab"/>
    <w:basedOn w:val="Normal"/>
    <w:uiPriority w:val="1"/>
    <w:rsid w:val="00D96778"/>
    <w:pPr>
      <w:spacing w:before="120" w:line="240" w:lineRule="auto"/>
    </w:pPr>
    <w:rPr>
      <w:rFonts w:cs="Arial"/>
    </w:rPr>
  </w:style>
  <w:style w:type="character" w:styleId="Hyperlink">
    <w:name w:val="Hyperlink"/>
    <w:basedOn w:val="DefaultParagraphFont"/>
    <w:uiPriority w:val="99"/>
    <w:semiHidden/>
    <w:unhideWhenUsed/>
    <w:rsid w:val="001F37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B08"/>
    <w:pPr>
      <w:spacing w:after="0"/>
    </w:pPr>
    <w:rPr>
      <w:sz w:val="18"/>
    </w:rPr>
  </w:style>
  <w:style w:type="paragraph" w:styleId="Heading1">
    <w:name w:val="heading 1"/>
    <w:basedOn w:val="Normal"/>
    <w:next w:val="Normal"/>
    <w:link w:val="Heading1Char"/>
    <w:uiPriority w:val="9"/>
    <w:qFormat/>
    <w:rsid w:val="009C37AD"/>
    <w:pPr>
      <w:spacing w:before="480" w:line="240" w:lineRule="auto"/>
      <w:contextualSpacing/>
      <w:jc w:val="center"/>
      <w:outlineLvl w:val="0"/>
    </w:pPr>
    <w:rPr>
      <w:rFonts w:eastAsiaTheme="majorEastAsia" w:cstheme="majorBidi"/>
      <w:b/>
      <w:bCs/>
      <w:sz w:val="56"/>
      <w:szCs w:val="28"/>
    </w:rPr>
  </w:style>
  <w:style w:type="paragraph" w:styleId="Heading2">
    <w:name w:val="heading 2"/>
    <w:basedOn w:val="Normal"/>
    <w:next w:val="Normal"/>
    <w:link w:val="Heading2Char"/>
    <w:uiPriority w:val="9"/>
    <w:unhideWhenUsed/>
    <w:qFormat/>
    <w:rsid w:val="0061376F"/>
    <w:pPr>
      <w:spacing w:before="8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61376F"/>
    <w:pPr>
      <w:spacing w:before="80" w:line="271" w:lineRule="auto"/>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9C37AD"/>
    <w:pPr>
      <w:spacing w:before="80"/>
      <w:outlineLvl w:val="4"/>
    </w:pPr>
    <w:rPr>
      <w:rFonts w:eastAsiaTheme="majorEastAsia" w:cstheme="majorBidi"/>
      <w:b/>
      <w:bCs/>
      <w:color w:val="000000" w:themeColor="text1"/>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7AD"/>
    <w:rPr>
      <w:rFonts w:eastAsiaTheme="majorEastAsia" w:cstheme="majorBidi"/>
      <w:b/>
      <w:bCs/>
      <w:sz w:val="56"/>
      <w:szCs w:val="28"/>
    </w:rPr>
  </w:style>
  <w:style w:type="character" w:customStyle="1" w:styleId="Heading2Char">
    <w:name w:val="Heading 2 Char"/>
    <w:basedOn w:val="DefaultParagraphFont"/>
    <w:link w:val="Heading2"/>
    <w:uiPriority w:val="9"/>
    <w:rsid w:val="0061376F"/>
    <w:rPr>
      <w:rFonts w:eastAsiaTheme="majorEastAsia" w:cstheme="majorBidi"/>
      <w:b/>
      <w:bCs/>
      <w:sz w:val="24"/>
      <w:szCs w:val="26"/>
    </w:rPr>
  </w:style>
  <w:style w:type="paragraph" w:styleId="NoSpacing">
    <w:name w:val="No Spacing"/>
    <w:basedOn w:val="Normal"/>
    <w:link w:val="NoSpacingChar"/>
    <w:uiPriority w:val="1"/>
    <w:qFormat/>
    <w:rsid w:val="0061376F"/>
    <w:pPr>
      <w:spacing w:before="120" w:line="240" w:lineRule="auto"/>
    </w:pPr>
    <w:rPr>
      <w:sz w:val="22"/>
    </w:rPr>
  </w:style>
  <w:style w:type="character" w:customStyle="1" w:styleId="Heading3Char">
    <w:name w:val="Heading 3 Char"/>
    <w:basedOn w:val="DefaultParagraphFont"/>
    <w:link w:val="Heading3"/>
    <w:uiPriority w:val="9"/>
    <w:rsid w:val="0061376F"/>
    <w:rPr>
      <w:rFonts w:eastAsiaTheme="majorEastAsia"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9C37AD"/>
    <w:rPr>
      <w:rFonts w:eastAsiaTheme="majorEastAsia" w:cstheme="majorBidi"/>
      <w:b/>
      <w:bCs/>
      <w:color w:val="000000" w:themeColor="text1"/>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basedOn w:val="Heading5Char"/>
    <w:uiPriority w:val="33"/>
    <w:qFormat/>
    <w:rsid w:val="00DD6F2F"/>
    <w:rPr>
      <w:rFonts w:asciiTheme="minorHAnsi" w:eastAsiaTheme="majorEastAsia" w:hAnsiTheme="minorHAnsi" w:cstheme="majorBidi"/>
      <w:b w:val="0"/>
      <w:bCs/>
      <w:i w:val="0"/>
      <w:iCs/>
      <w:smallCaps/>
      <w:color w:val="000000" w:themeColor="text1"/>
      <w:spacing w:val="5"/>
      <w:sz w:val="2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61376F"/>
  </w:style>
  <w:style w:type="character" w:customStyle="1" w:styleId="ListParagraphChar">
    <w:name w:val="List Paragraph Char"/>
    <w:link w:val="ListParagraph"/>
    <w:uiPriority w:val="34"/>
    <w:rsid w:val="00A06104"/>
    <w:rPr>
      <w:rFonts w:ascii="Arial" w:hAnsi="Arial"/>
    </w:rPr>
  </w:style>
  <w:style w:type="table" w:styleId="TableGrid">
    <w:name w:val="Table Grid"/>
    <w:basedOn w:val="TableNormal"/>
    <w:uiPriority w:val="59"/>
    <w:rsid w:val="00A06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6104"/>
    <w:pPr>
      <w:tabs>
        <w:tab w:val="center" w:pos="4513"/>
        <w:tab w:val="right" w:pos="9026"/>
      </w:tabs>
      <w:spacing w:line="240" w:lineRule="auto"/>
    </w:pPr>
  </w:style>
  <w:style w:type="character" w:customStyle="1" w:styleId="HeaderChar">
    <w:name w:val="Header Char"/>
    <w:basedOn w:val="DefaultParagraphFont"/>
    <w:link w:val="Header"/>
    <w:uiPriority w:val="99"/>
    <w:rsid w:val="00A06104"/>
    <w:rPr>
      <w:rFonts w:ascii="Arial" w:hAnsi="Arial"/>
    </w:rPr>
  </w:style>
  <w:style w:type="paragraph" w:styleId="Footer">
    <w:name w:val="footer"/>
    <w:basedOn w:val="Normal"/>
    <w:link w:val="FooterChar"/>
    <w:uiPriority w:val="99"/>
    <w:unhideWhenUsed/>
    <w:rsid w:val="00A06104"/>
    <w:pPr>
      <w:tabs>
        <w:tab w:val="center" w:pos="4513"/>
        <w:tab w:val="right" w:pos="9026"/>
      </w:tabs>
      <w:spacing w:line="240" w:lineRule="auto"/>
    </w:pPr>
  </w:style>
  <w:style w:type="character" w:customStyle="1" w:styleId="FooterChar">
    <w:name w:val="Footer Char"/>
    <w:basedOn w:val="DefaultParagraphFont"/>
    <w:link w:val="Footer"/>
    <w:uiPriority w:val="99"/>
    <w:rsid w:val="00A06104"/>
    <w:rPr>
      <w:rFonts w:ascii="Arial" w:hAnsi="Arial"/>
    </w:rPr>
  </w:style>
  <w:style w:type="paragraph" w:styleId="BalloonText">
    <w:name w:val="Balloon Text"/>
    <w:basedOn w:val="Normal"/>
    <w:link w:val="BalloonTextChar"/>
    <w:uiPriority w:val="99"/>
    <w:semiHidden/>
    <w:unhideWhenUsed/>
    <w:rsid w:val="002F32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28C"/>
    <w:rPr>
      <w:rFonts w:ascii="Tahoma" w:hAnsi="Tahoma" w:cs="Tahoma"/>
      <w:sz w:val="16"/>
      <w:szCs w:val="16"/>
    </w:rPr>
  </w:style>
  <w:style w:type="character" w:styleId="CommentReference">
    <w:name w:val="annotation reference"/>
    <w:basedOn w:val="DefaultParagraphFont"/>
    <w:uiPriority w:val="99"/>
    <w:semiHidden/>
    <w:unhideWhenUsed/>
    <w:rsid w:val="00F93D26"/>
    <w:rPr>
      <w:sz w:val="16"/>
      <w:szCs w:val="16"/>
    </w:rPr>
  </w:style>
  <w:style w:type="paragraph" w:styleId="CommentText">
    <w:name w:val="annotation text"/>
    <w:basedOn w:val="Normal"/>
    <w:link w:val="CommentTextChar"/>
    <w:uiPriority w:val="99"/>
    <w:unhideWhenUsed/>
    <w:rsid w:val="00BE18E4"/>
    <w:pPr>
      <w:spacing w:line="240" w:lineRule="auto"/>
    </w:pPr>
    <w:rPr>
      <w:sz w:val="20"/>
      <w:szCs w:val="20"/>
    </w:rPr>
  </w:style>
  <w:style w:type="character" w:customStyle="1" w:styleId="CommentTextChar">
    <w:name w:val="Comment Text Char"/>
    <w:basedOn w:val="DefaultParagraphFont"/>
    <w:link w:val="CommentText"/>
    <w:uiPriority w:val="99"/>
    <w:rsid w:val="00F93D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93D26"/>
    <w:rPr>
      <w:b/>
      <w:bCs/>
    </w:rPr>
  </w:style>
  <w:style w:type="character" w:customStyle="1" w:styleId="CommentSubjectChar">
    <w:name w:val="Comment Subject Char"/>
    <w:basedOn w:val="CommentTextChar"/>
    <w:link w:val="CommentSubject"/>
    <w:uiPriority w:val="99"/>
    <w:semiHidden/>
    <w:rsid w:val="00F93D26"/>
    <w:rPr>
      <w:rFonts w:ascii="Arial" w:hAnsi="Arial"/>
      <w:b/>
      <w:bCs/>
      <w:sz w:val="20"/>
      <w:szCs w:val="20"/>
    </w:rPr>
  </w:style>
  <w:style w:type="paragraph" w:styleId="Revision">
    <w:name w:val="Revision"/>
    <w:hidden/>
    <w:uiPriority w:val="99"/>
    <w:semiHidden/>
    <w:rsid w:val="00CB0727"/>
    <w:pPr>
      <w:spacing w:after="0" w:line="240" w:lineRule="auto"/>
    </w:pPr>
    <w:rPr>
      <w:rFonts w:ascii="Arial" w:hAnsi="Arial"/>
    </w:rPr>
  </w:style>
  <w:style w:type="paragraph" w:customStyle="1" w:styleId="Bullet">
    <w:name w:val="Bullet"/>
    <w:aliases w:val="b"/>
    <w:basedOn w:val="Normal"/>
    <w:qFormat/>
    <w:rsid w:val="004E23EF"/>
    <w:pPr>
      <w:numPr>
        <w:numId w:val="15"/>
      </w:numPr>
      <w:spacing w:before="280" w:after="200" w:line="240" w:lineRule="auto"/>
    </w:pPr>
    <w:rPr>
      <w:rFonts w:ascii="Times New Roman" w:eastAsia="Times New Roman" w:hAnsi="Times New Roman" w:cs="Times New Roman"/>
      <w:sz w:val="24"/>
      <w:szCs w:val="20"/>
      <w:lang w:eastAsia="en-AU"/>
    </w:rPr>
  </w:style>
  <w:style w:type="paragraph" w:customStyle="1" w:styleId="Dash">
    <w:name w:val="Dash"/>
    <w:basedOn w:val="Normal"/>
    <w:link w:val="DashChar"/>
    <w:qFormat/>
    <w:rsid w:val="004E23EF"/>
    <w:pPr>
      <w:numPr>
        <w:ilvl w:val="1"/>
        <w:numId w:val="15"/>
      </w:numPr>
      <w:spacing w:after="200"/>
    </w:pPr>
    <w:rPr>
      <w:rFonts w:ascii="Times New Roman" w:eastAsia="Times New Roman" w:hAnsi="Times New Roman" w:cs="Times New Roman"/>
      <w:b/>
      <w:sz w:val="24"/>
      <w:szCs w:val="24"/>
      <w:lang w:eastAsia="en-AU"/>
    </w:rPr>
  </w:style>
  <w:style w:type="character" w:customStyle="1" w:styleId="DashChar">
    <w:name w:val="Dash Char"/>
    <w:basedOn w:val="DefaultParagraphFont"/>
    <w:link w:val="Dash"/>
    <w:rsid w:val="004E23EF"/>
    <w:rPr>
      <w:rFonts w:ascii="Times New Roman" w:eastAsia="Times New Roman" w:hAnsi="Times New Roman" w:cs="Times New Roman"/>
      <w:b/>
      <w:sz w:val="24"/>
      <w:szCs w:val="24"/>
      <w:lang w:eastAsia="en-AU"/>
    </w:rPr>
  </w:style>
  <w:style w:type="paragraph" w:customStyle="1" w:styleId="DoubleDot">
    <w:name w:val="Double Dot"/>
    <w:basedOn w:val="Normal"/>
    <w:qFormat/>
    <w:rsid w:val="004E23EF"/>
    <w:pPr>
      <w:numPr>
        <w:ilvl w:val="2"/>
        <w:numId w:val="15"/>
      </w:numPr>
      <w:spacing w:after="200"/>
    </w:pPr>
    <w:rPr>
      <w:rFonts w:ascii="Times New Roman" w:eastAsia="Times New Roman" w:hAnsi="Times New Roman" w:cs="Times New Roman"/>
      <w:b/>
      <w:sz w:val="24"/>
      <w:szCs w:val="24"/>
      <w:lang w:eastAsia="en-AU"/>
    </w:rPr>
  </w:style>
  <w:style w:type="paragraph" w:styleId="FootnoteText">
    <w:name w:val="footnote text"/>
    <w:basedOn w:val="Normal"/>
    <w:link w:val="FootnoteTextChar"/>
    <w:uiPriority w:val="99"/>
    <w:unhideWhenUsed/>
    <w:rsid w:val="00456FBA"/>
    <w:pPr>
      <w:spacing w:line="240" w:lineRule="auto"/>
    </w:pPr>
    <w:rPr>
      <w:sz w:val="20"/>
      <w:szCs w:val="20"/>
    </w:rPr>
  </w:style>
  <w:style w:type="character" w:customStyle="1" w:styleId="FootnoteTextChar">
    <w:name w:val="Footnote Text Char"/>
    <w:basedOn w:val="DefaultParagraphFont"/>
    <w:link w:val="FootnoteText"/>
    <w:uiPriority w:val="99"/>
    <w:rsid w:val="00456FBA"/>
    <w:rPr>
      <w:rFonts w:ascii="Arial" w:hAnsi="Arial"/>
      <w:sz w:val="20"/>
      <w:szCs w:val="20"/>
    </w:rPr>
  </w:style>
  <w:style w:type="character" w:styleId="FootnoteReference">
    <w:name w:val="footnote reference"/>
    <w:basedOn w:val="DefaultParagraphFont"/>
    <w:uiPriority w:val="99"/>
    <w:semiHidden/>
    <w:unhideWhenUsed/>
    <w:rsid w:val="00456FBA"/>
    <w:rPr>
      <w:vertAlign w:val="superscript"/>
    </w:rPr>
  </w:style>
  <w:style w:type="paragraph" w:customStyle="1" w:styleId="RecommendationListCab">
    <w:name w:val="Recommendation List Cab"/>
    <w:basedOn w:val="Normal"/>
    <w:uiPriority w:val="1"/>
    <w:rsid w:val="00D96778"/>
    <w:pPr>
      <w:spacing w:before="120" w:line="240" w:lineRule="auto"/>
    </w:pPr>
    <w:rPr>
      <w:rFonts w:cs="Arial"/>
    </w:rPr>
  </w:style>
  <w:style w:type="character" w:styleId="Hyperlink">
    <w:name w:val="Hyperlink"/>
    <w:basedOn w:val="DefaultParagraphFont"/>
    <w:uiPriority w:val="99"/>
    <w:semiHidden/>
    <w:unhideWhenUsed/>
    <w:rsid w:val="001F3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7577">
      <w:bodyDiv w:val="1"/>
      <w:marLeft w:val="0"/>
      <w:marRight w:val="0"/>
      <w:marTop w:val="0"/>
      <w:marBottom w:val="0"/>
      <w:divBdr>
        <w:top w:val="none" w:sz="0" w:space="0" w:color="auto"/>
        <w:left w:val="none" w:sz="0" w:space="0" w:color="auto"/>
        <w:bottom w:val="none" w:sz="0" w:space="0" w:color="auto"/>
        <w:right w:val="none" w:sz="0" w:space="0" w:color="auto"/>
      </w:divBdr>
    </w:div>
    <w:div w:id="453838794">
      <w:bodyDiv w:val="1"/>
      <w:marLeft w:val="0"/>
      <w:marRight w:val="0"/>
      <w:marTop w:val="0"/>
      <w:marBottom w:val="0"/>
      <w:divBdr>
        <w:top w:val="none" w:sz="0" w:space="0" w:color="auto"/>
        <w:left w:val="none" w:sz="0" w:space="0" w:color="auto"/>
        <w:bottom w:val="none" w:sz="0" w:space="0" w:color="auto"/>
        <w:right w:val="none" w:sz="0" w:space="0" w:color="auto"/>
      </w:divBdr>
    </w:div>
    <w:div w:id="525800539">
      <w:bodyDiv w:val="1"/>
      <w:marLeft w:val="0"/>
      <w:marRight w:val="0"/>
      <w:marTop w:val="0"/>
      <w:marBottom w:val="0"/>
      <w:divBdr>
        <w:top w:val="none" w:sz="0" w:space="0" w:color="auto"/>
        <w:left w:val="none" w:sz="0" w:space="0" w:color="auto"/>
        <w:bottom w:val="none" w:sz="0" w:space="0" w:color="auto"/>
        <w:right w:val="none" w:sz="0" w:space="0" w:color="auto"/>
      </w:divBdr>
    </w:div>
    <w:div w:id="615452769">
      <w:bodyDiv w:val="1"/>
      <w:marLeft w:val="0"/>
      <w:marRight w:val="0"/>
      <w:marTop w:val="0"/>
      <w:marBottom w:val="0"/>
      <w:divBdr>
        <w:top w:val="none" w:sz="0" w:space="0" w:color="auto"/>
        <w:left w:val="none" w:sz="0" w:space="0" w:color="auto"/>
        <w:bottom w:val="none" w:sz="0" w:space="0" w:color="auto"/>
        <w:right w:val="none" w:sz="0" w:space="0" w:color="auto"/>
      </w:divBdr>
    </w:div>
    <w:div w:id="653487340">
      <w:bodyDiv w:val="1"/>
      <w:marLeft w:val="0"/>
      <w:marRight w:val="0"/>
      <w:marTop w:val="0"/>
      <w:marBottom w:val="0"/>
      <w:divBdr>
        <w:top w:val="none" w:sz="0" w:space="0" w:color="auto"/>
        <w:left w:val="none" w:sz="0" w:space="0" w:color="auto"/>
        <w:bottom w:val="none" w:sz="0" w:space="0" w:color="auto"/>
        <w:right w:val="none" w:sz="0" w:space="0" w:color="auto"/>
      </w:divBdr>
    </w:div>
    <w:div w:id="1107429786">
      <w:bodyDiv w:val="1"/>
      <w:marLeft w:val="0"/>
      <w:marRight w:val="0"/>
      <w:marTop w:val="0"/>
      <w:marBottom w:val="0"/>
      <w:divBdr>
        <w:top w:val="none" w:sz="0" w:space="0" w:color="auto"/>
        <w:left w:val="none" w:sz="0" w:space="0" w:color="auto"/>
        <w:bottom w:val="none" w:sz="0" w:space="0" w:color="auto"/>
        <w:right w:val="none" w:sz="0" w:space="0" w:color="auto"/>
      </w:divBdr>
    </w:div>
    <w:div w:id="1156991415">
      <w:bodyDiv w:val="1"/>
      <w:marLeft w:val="0"/>
      <w:marRight w:val="0"/>
      <w:marTop w:val="0"/>
      <w:marBottom w:val="0"/>
      <w:divBdr>
        <w:top w:val="none" w:sz="0" w:space="0" w:color="auto"/>
        <w:left w:val="none" w:sz="0" w:space="0" w:color="auto"/>
        <w:bottom w:val="none" w:sz="0" w:space="0" w:color="auto"/>
        <w:right w:val="none" w:sz="0" w:space="0" w:color="auto"/>
      </w:divBdr>
    </w:div>
    <w:div w:id="1159685856">
      <w:bodyDiv w:val="1"/>
      <w:marLeft w:val="0"/>
      <w:marRight w:val="0"/>
      <w:marTop w:val="0"/>
      <w:marBottom w:val="0"/>
      <w:divBdr>
        <w:top w:val="none" w:sz="0" w:space="0" w:color="auto"/>
        <w:left w:val="none" w:sz="0" w:space="0" w:color="auto"/>
        <w:bottom w:val="none" w:sz="0" w:space="0" w:color="auto"/>
        <w:right w:val="none" w:sz="0" w:space="0" w:color="auto"/>
      </w:divBdr>
    </w:div>
    <w:div w:id="1323898719">
      <w:bodyDiv w:val="1"/>
      <w:marLeft w:val="0"/>
      <w:marRight w:val="0"/>
      <w:marTop w:val="0"/>
      <w:marBottom w:val="0"/>
      <w:divBdr>
        <w:top w:val="none" w:sz="0" w:space="0" w:color="auto"/>
        <w:left w:val="none" w:sz="0" w:space="0" w:color="auto"/>
        <w:bottom w:val="none" w:sz="0" w:space="0" w:color="auto"/>
        <w:right w:val="none" w:sz="0" w:space="0" w:color="auto"/>
      </w:divBdr>
    </w:div>
    <w:div w:id="1728412239">
      <w:bodyDiv w:val="1"/>
      <w:marLeft w:val="0"/>
      <w:marRight w:val="0"/>
      <w:marTop w:val="0"/>
      <w:marBottom w:val="0"/>
      <w:divBdr>
        <w:top w:val="none" w:sz="0" w:space="0" w:color="auto"/>
        <w:left w:val="none" w:sz="0" w:space="0" w:color="auto"/>
        <w:bottom w:val="none" w:sz="0" w:space="0" w:color="auto"/>
        <w:right w:val="none" w:sz="0" w:space="0" w:color="auto"/>
      </w:divBdr>
    </w:div>
    <w:div w:id="1774746865">
      <w:bodyDiv w:val="1"/>
      <w:marLeft w:val="0"/>
      <w:marRight w:val="0"/>
      <w:marTop w:val="0"/>
      <w:marBottom w:val="0"/>
      <w:divBdr>
        <w:top w:val="none" w:sz="0" w:space="0" w:color="auto"/>
        <w:left w:val="none" w:sz="0" w:space="0" w:color="auto"/>
        <w:bottom w:val="none" w:sz="0" w:space="0" w:color="auto"/>
        <w:right w:val="none" w:sz="0" w:space="0" w:color="auto"/>
      </w:divBdr>
    </w:div>
    <w:div w:id="182854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dss.gov.au/communities-and-vulnerable-people/programmes-services/gambling"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A5B4CE52DD28FC44B277BA1766498318" ma:contentTypeVersion="25" ma:contentTypeDescription=" " ma:contentTypeScope="" ma:versionID="7e94059297c89decf095ac49b8b33209">
  <xsd:schema xmlns:xsd="http://www.w3.org/2001/XMLSchema" xmlns:xs="http://www.w3.org/2001/XMLSchema" xmlns:p="http://schemas.microsoft.com/office/2006/metadata/properties" xmlns:ns1="http://schemas.microsoft.com/sharepoint/v3" xmlns:ns2="e544e5cc-ab70-42e1-849e-1a0f8bb1f4ef" xmlns:ns4="http://schemas.microsoft.com/sharepoint/v4" targetNamespace="http://schemas.microsoft.com/office/2006/metadata/properties" ma:root="true" ma:fieldsID="0bbf50e0c7c0c4f94a768b3373872efb" ns1:_="" ns2:_="" ns4:_="">
    <xsd:import namespace="http://schemas.microsoft.com/sharepoint/v3"/>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f3269563-16d6-4c6e-bcec-78fd73168974">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TaxCatchAll xmlns="e544e5cc-ab70-42e1-849e-1a0f8bb1f4ef">
      <Value>2</Value>
    </TaxCatchAll>
    <_dlc_DocId xmlns="e544e5cc-ab70-42e1-849e-1a0f8bb1f4ef">2015FG-130-98</_dlc_DocId>
    <_dlc_DocIdUrl xmlns="e544e5cc-ab70-42e1-849e-1a0f8bb1f4ef">
      <Url>http://tweb/sites/fg/spd/_layouts/15/DocIdRedir.aspx?ID=2015FG-130-98</Url>
      <Description>2015FG-130-98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45ADE-D7C2-4BE0-840D-575FBEDBF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C40AA-3575-41CC-A713-E103467F64BD}">
  <ds:schemaRefs>
    <ds:schemaRef ds:uri="http://schemas.microsoft.com/sharepoint/events"/>
  </ds:schemaRefs>
</ds:datastoreItem>
</file>

<file path=customXml/itemProps3.xml><?xml version="1.0" encoding="utf-8"?>
<ds:datastoreItem xmlns:ds="http://schemas.openxmlformats.org/officeDocument/2006/customXml" ds:itemID="{5923B82B-075B-4B10-AB1E-E46B58A97E8A}">
  <ds:schemaRefs>
    <ds:schemaRef ds:uri="office.server.policy"/>
  </ds:schemaRefs>
</ds:datastoreItem>
</file>

<file path=customXml/itemProps4.xml><?xml version="1.0" encoding="utf-8"?>
<ds:datastoreItem xmlns:ds="http://schemas.openxmlformats.org/officeDocument/2006/customXml" ds:itemID="{9E03CBEF-A031-42DC-A664-BFD026BFAB1B}">
  <ds:schemaRefs>
    <ds:schemaRef ds:uri="http://schemas.microsoft.com/sharepoint/v3/contenttype/forms"/>
  </ds:schemaRefs>
</ds:datastoreItem>
</file>

<file path=customXml/itemProps5.xml><?xml version="1.0" encoding="utf-8"?>
<ds:datastoreItem xmlns:ds="http://schemas.openxmlformats.org/officeDocument/2006/customXml" ds:itemID="{9CDD7063-3D7D-490C-9521-EC206E0A4B03}">
  <ds:schemaRefs>
    <ds:schemaRef ds:uri="http://schemas.microsoft.com/office/2006/metadata/properties"/>
    <ds:schemaRef ds:uri="http://schemas.microsoft.com/office/infopath/2007/PartnerControls"/>
    <ds:schemaRef ds:uri="http://schemas.microsoft.com/sharepoint/v4"/>
    <ds:schemaRef ds:uri="e544e5cc-ab70-42e1-849e-1a0f8bb1f4ef"/>
  </ds:schemaRefs>
</ds:datastoreItem>
</file>

<file path=customXml/itemProps6.xml><?xml version="1.0" encoding="utf-8"?>
<ds:datastoreItem xmlns:ds="http://schemas.openxmlformats.org/officeDocument/2006/customXml" ds:itemID="{AA3961C5-1A01-4A60-B84C-D54C5042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4400</Words>
  <Characters>25086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 Carole</dc:creator>
  <cp:lastModifiedBy>HOOPER, Robin</cp:lastModifiedBy>
  <cp:revision>5</cp:revision>
  <cp:lastPrinted>2016-04-06T22:26:00Z</cp:lastPrinted>
  <dcterms:created xsi:type="dcterms:W3CDTF">2016-04-28T00:44:00Z</dcterms:created>
  <dcterms:modified xsi:type="dcterms:W3CDTF">2016-04-28T01:37:00Z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0x010100348D01E61E107C4DA4B97E380EA20D4700A5B4CE52DD28FC44B277BA1766498318</vt:lpwstr>
  </property>
  <property fmtid="{D5CDD505-2E9C-101B-9397-08002B2CF9AE}" pid="3" name="TSYRecordClass">
    <vt:lpwstr>2;#TSY RA-8748 - Retain as national archives|243f2231-dbfc-4282-b24a-c9b768286bd0</vt:lpwstr>
  </property>
  <property fmtid="{D5CDD505-2E9C-101B-9397-08002B2CF9AE}" pid="4" name="_dlc_DocIdItemGuid">
    <vt:lpwstr>9a98a224-819e-47ec-aa48-c10d22e3a2fe</vt:lpwstr>
  </property>
  <property fmtid="{D5CDD505-2E9C-101B-9397-08002B2CF9AE}" pid="5" name="RecordPoint_WorkflowType">
    <vt:lpwstr>ActiveSubmitStub</vt:lpwstr>
  </property>
  <property fmtid="{D5CDD505-2E9C-101B-9397-08002B2CF9AE}" pid="6" name="RecordPoint_ActiveItemSiteId">
    <vt:lpwstr>{a3a280d1-e8f1-4ce7-94f0-aaa2322da0dd}</vt:lpwstr>
  </property>
  <property fmtid="{D5CDD505-2E9C-101B-9397-08002B2CF9AE}" pid="7" name="RecordPoint_ActiveItemListId">
    <vt:lpwstr>{1dc4833f-bfa2-4cec-9759-d77d17696dc3}</vt:lpwstr>
  </property>
  <property fmtid="{D5CDD505-2E9C-101B-9397-08002B2CF9AE}" pid="8" name="RecordPoint_ActiveItemUniqueId">
    <vt:lpwstr>{9a98a224-819e-47ec-aa48-c10d22e3a2fe}</vt:lpwstr>
  </property>
  <property fmtid="{D5CDD505-2E9C-101B-9397-08002B2CF9AE}" pid="9" name="RecordPoint_ActiveItemWebId">
    <vt:lpwstr>{ac2b4cc5-b8cd-4121-8055-95747869c0b0}</vt:lpwstr>
  </property>
  <property fmtid="{D5CDD505-2E9C-101B-9397-08002B2CF9AE}" pid="10" name="RecordPoint_RecordNumberSubmitted">
    <vt:lpwstr/>
  </property>
  <property fmtid="{D5CDD505-2E9C-101B-9397-08002B2CF9AE}" pid="11" name="RecordPoint_SubmissionCompleted">
    <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NewReviewCycle">
    <vt:lpwstr/>
  </property>
</Properties>
</file>